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D1" w:rsidRPr="00555BD1" w:rsidRDefault="00555BD1" w:rsidP="00552E31">
      <w:pPr>
        <w:spacing w:before="120" w:after="60"/>
        <w:rPr>
          <w:sz w:val="22"/>
          <w:szCs w:val="22"/>
        </w:rPr>
      </w:pPr>
      <w:bookmarkStart w:id="0" w:name="_Toc530739899"/>
      <w:r w:rsidRPr="00555BD1">
        <w:rPr>
          <w:sz w:val="22"/>
          <w:szCs w:val="22"/>
        </w:rPr>
        <w:t>Príloha č. 1:</w:t>
      </w:r>
    </w:p>
    <w:p w:rsidR="00552E31" w:rsidRDefault="00552E31" w:rsidP="00555BD1">
      <w:pPr>
        <w:pStyle w:val="Nadpis1"/>
        <w:numPr>
          <w:ilvl w:val="0"/>
          <w:numId w:val="0"/>
        </w:numPr>
        <w:spacing w:before="120" w:after="60"/>
        <w:ind w:left="360"/>
      </w:pPr>
      <w:r>
        <w:t xml:space="preserve">Informácie o účtovných zásadách a účtovných metódach  </w:t>
      </w:r>
      <w:bookmarkEnd w:id="0"/>
    </w:p>
    <w:p w:rsidR="00552E31" w:rsidRDefault="00552E31" w:rsidP="00552E31">
      <w:pPr>
        <w:pStyle w:val="Zkladntext"/>
      </w:pPr>
    </w:p>
    <w:p w:rsidR="00552E31" w:rsidRPr="00555BD1" w:rsidRDefault="00552E31" w:rsidP="00552E31">
      <w:pPr>
        <w:pStyle w:val="Pismenka"/>
        <w:tabs>
          <w:tab w:val="clear" w:pos="426"/>
        </w:tabs>
        <w:ind w:left="426"/>
        <w:rPr>
          <w:sz w:val="22"/>
          <w:szCs w:val="22"/>
        </w:rPr>
      </w:pPr>
      <w:r w:rsidRPr="00555BD1">
        <w:rPr>
          <w:sz w:val="22"/>
          <w:szCs w:val="22"/>
        </w:rPr>
        <w:t>Východiská pre zostavenie účtovnej závierky</w:t>
      </w:r>
    </w:p>
    <w:p w:rsidR="00552E31" w:rsidRPr="00555BD1" w:rsidRDefault="00552E31" w:rsidP="00552E31">
      <w:pPr>
        <w:pStyle w:val="Zkladntext"/>
        <w:ind w:left="450"/>
        <w:rPr>
          <w:sz w:val="22"/>
          <w:szCs w:val="22"/>
        </w:rPr>
      </w:pPr>
      <w:r w:rsidRPr="00555BD1">
        <w:rPr>
          <w:sz w:val="22"/>
          <w:szCs w:val="22"/>
        </w:rPr>
        <w:t>Účtovná závierka bola zostavená za predpokladu, že Spoločnosť bude nepretržite pokračovať vo svojej činnosti (</w:t>
      </w:r>
      <w:proofErr w:type="spellStart"/>
      <w:r w:rsidRPr="00555BD1">
        <w:rPr>
          <w:sz w:val="22"/>
          <w:szCs w:val="22"/>
        </w:rPr>
        <w:t>going</w:t>
      </w:r>
      <w:proofErr w:type="spellEnd"/>
      <w:r w:rsidRPr="00555BD1">
        <w:rPr>
          <w:sz w:val="22"/>
          <w:szCs w:val="22"/>
        </w:rPr>
        <w:t xml:space="preserve"> </w:t>
      </w:r>
      <w:proofErr w:type="spellStart"/>
      <w:r w:rsidRPr="00555BD1">
        <w:rPr>
          <w:sz w:val="22"/>
          <w:szCs w:val="22"/>
        </w:rPr>
        <w:t>concern</w:t>
      </w:r>
      <w:proofErr w:type="spellEnd"/>
      <w:r w:rsidRPr="00555BD1">
        <w:rPr>
          <w:sz w:val="22"/>
          <w:szCs w:val="22"/>
        </w:rPr>
        <w:t>).</w:t>
      </w:r>
    </w:p>
    <w:p w:rsidR="00552E31" w:rsidRPr="00555BD1" w:rsidRDefault="00552E31" w:rsidP="00552E31">
      <w:pPr>
        <w:pStyle w:val="Zkladntext"/>
        <w:ind w:left="450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ind w:left="450"/>
        <w:rPr>
          <w:sz w:val="22"/>
          <w:szCs w:val="22"/>
        </w:rPr>
      </w:pPr>
      <w:r w:rsidRPr="00555BD1">
        <w:rPr>
          <w:sz w:val="22"/>
          <w:szCs w:val="22"/>
        </w:rPr>
        <w:t>Účtovné metódy a všeobecné účtovné zásady boli účtovnou jednotkou konzistentne aplikované.</w:t>
      </w:r>
    </w:p>
    <w:p w:rsidR="00552E31" w:rsidRPr="00555BD1" w:rsidRDefault="00552E31" w:rsidP="00552E31">
      <w:pPr>
        <w:pStyle w:val="Zkladntext"/>
        <w:ind w:left="450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ind w:left="450"/>
        <w:rPr>
          <w:sz w:val="22"/>
          <w:szCs w:val="22"/>
        </w:rPr>
      </w:pPr>
      <w:r w:rsidRPr="00555BD1">
        <w:rPr>
          <w:sz w:val="22"/>
          <w:szCs w:val="22"/>
        </w:rPr>
        <w:t xml:space="preserve">V účtovnom období 2013 Spoločnosť nevykonala žiadne opravy významných chýb minulých účtovných období. </w:t>
      </w:r>
    </w:p>
    <w:p w:rsidR="00552E31" w:rsidRPr="00555BD1" w:rsidRDefault="00552E31" w:rsidP="00552E31">
      <w:pPr>
        <w:pStyle w:val="Zkladntext"/>
        <w:ind w:left="450"/>
        <w:rPr>
          <w:sz w:val="22"/>
          <w:szCs w:val="22"/>
        </w:rPr>
      </w:pPr>
    </w:p>
    <w:p w:rsidR="00552E31" w:rsidRPr="00555BD1" w:rsidRDefault="00552E31" w:rsidP="00552E31">
      <w:pPr>
        <w:pStyle w:val="Pismenka"/>
        <w:tabs>
          <w:tab w:val="clear" w:pos="426"/>
        </w:tabs>
        <w:ind w:left="426"/>
        <w:rPr>
          <w:sz w:val="22"/>
          <w:szCs w:val="22"/>
        </w:rPr>
      </w:pPr>
      <w:r w:rsidRPr="00555BD1">
        <w:rPr>
          <w:sz w:val="22"/>
          <w:szCs w:val="22"/>
        </w:rPr>
        <w:t>Dlhodobý nehmotný majetok a dlhodobý hmotný majetok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 xml:space="preserve">Dlhodobý majetok nakupovaný sa oceňuje obstarávacou cenou, ktorá zahŕňa cenu obstarania a náklady súvisiace s obstaraním (clo, prepravu, montáž, poistné a pod.). 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>Súčasťou obstarávacej ceny dlhodobého hmotného majetku nie sú úroky z cudzích zdrojov ani realizované kurzové rozdiely, ktoré vznikli do momentu uvedenia dlhodobého majetku do používania.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>Súčasťou obstarávacej ceny dlhodobého nehmotného majetku nie sú úroky z cudzích zdrojov, ktoré vznikli do momentu zaradenia dlhodobého nehmotného majetku do používania.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 xml:space="preserve">Dlhodobý majetok vytvorený vlastnou činnosťou sa oceňuje vlastnými nákladmi. Vlastnými nákladmi sú všetky priame náklady vynaložené na výrobu alebo inú činnosť a nepriame náklady, ktoré sa vzťahujú na výrobu alebo inú činnosť. 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>Náklady na výskum sa neaktivujú, účtujú sa do nákladov účtovného obdobia, v ktorom vznikli. Náklady na vývoj sa účtujú do obdobia, v ktorom vznikli, ale tie náklady na vývoj, ktoré sa vzťahujú na jasne definovaný výrobok alebo proces, pri ktorých je možné preukázať technickú realizovateľnosť a možnosť predaja a spoločnosť má dostatočné zdroje na dokončenie projektu, jeho predaj alebo na vnútorné využitie jeho výsledkov, sa aktivujú, a to vo výške, ktorá je pravdepodobná, že sa získa späť z budúcich ekonomických úžitkov.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>Aktivované náklady na vývoj sa odpisujú počas maximálne 5 rokov, a to v tých účtovných obdobiach, v ktorých sa očakáva predaj produktu alebo využívanie procesu. Ak sa zníži ich hodnota, odpisujú sa na sumu, ktorá je pravdepodobná, že sa získa späť z budúcich ekonomických úžitkov.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 xml:space="preserve"> 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>Odpisy dlhodobého nehmotného majetku sú stanovené vychádzajúc z predpokladanej doby jeho používania a predpokladaného priebehu jeho opotrebenia. Odpisovať sa začína prvým dňom mesiaca nasledujúceho po uvedení dlhodobého majetku do používania. Drobný dlhodobý nehmotný majetok, ktorého obstarávacia cena (resp. vlastné náklady) je 2 400 EUR a nižšia, sa odpisuje jednorazovo pri uvedení do používania. Predpokladaná doba používania, metóda odpisovania a odpisová sadzba sú uvedené v nasledujúcej tabuľke: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tbl>
      <w:tblPr>
        <w:tblW w:w="0" w:type="auto"/>
        <w:tblInd w:w="45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2"/>
        <w:gridCol w:w="404"/>
        <w:gridCol w:w="1544"/>
        <w:gridCol w:w="222"/>
        <w:gridCol w:w="1800"/>
        <w:gridCol w:w="222"/>
        <w:gridCol w:w="1662"/>
      </w:tblGrid>
      <w:tr w:rsidR="00552E31" w:rsidRPr="00555BD1" w:rsidTr="00D01068">
        <w:trPr>
          <w:trHeight w:val="250"/>
        </w:trPr>
        <w:tc>
          <w:tcPr>
            <w:tcW w:w="3402" w:type="dxa"/>
            <w:gridSpan w:val="2"/>
          </w:tcPr>
          <w:p w:rsidR="00552E31" w:rsidRPr="00555BD1" w:rsidRDefault="00552E31" w:rsidP="00D01068">
            <w:pPr>
              <w:pStyle w:val="Tabulka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br w:type="page"/>
            </w:r>
          </w:p>
        </w:tc>
        <w:tc>
          <w:tcPr>
            <w:tcW w:w="1559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Predpokladaná</w:t>
            </w:r>
          </w:p>
        </w:tc>
        <w:tc>
          <w:tcPr>
            <w:tcW w:w="142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Metóda</w:t>
            </w:r>
          </w:p>
        </w:tc>
        <w:tc>
          <w:tcPr>
            <w:tcW w:w="142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Ročná odpisová</w:t>
            </w:r>
          </w:p>
        </w:tc>
      </w:tr>
      <w:tr w:rsidR="00552E31" w:rsidRPr="00555BD1" w:rsidTr="00D01068">
        <w:trPr>
          <w:trHeight w:val="250"/>
        </w:trPr>
        <w:tc>
          <w:tcPr>
            <w:tcW w:w="2976" w:type="dxa"/>
            <w:tcBorders>
              <w:bottom w:val="single" w:sz="4" w:space="0" w:color="auto"/>
            </w:tcBorders>
          </w:tcPr>
          <w:p w:rsidR="00552E31" w:rsidRPr="00555BD1" w:rsidRDefault="00552E31" w:rsidP="00D01068">
            <w:pPr>
              <w:pStyle w:val="Tabulka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52E31" w:rsidRPr="00555BD1" w:rsidRDefault="00552E31" w:rsidP="00D01068">
            <w:pPr>
              <w:pStyle w:val="Tabulka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doba používania</w:t>
            </w:r>
            <w:r w:rsidRPr="00555BD1">
              <w:rPr>
                <w:sz w:val="22"/>
                <w:szCs w:val="22"/>
              </w:rPr>
              <w:br/>
              <w:t>v rokoch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odpisovania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sadzba v %</w:t>
            </w:r>
          </w:p>
        </w:tc>
      </w:tr>
      <w:tr w:rsidR="00552E31" w:rsidRPr="00555BD1" w:rsidTr="00D01068">
        <w:trPr>
          <w:trHeight w:val="250"/>
        </w:trPr>
        <w:tc>
          <w:tcPr>
            <w:tcW w:w="3402" w:type="dxa"/>
            <w:gridSpan w:val="2"/>
          </w:tcPr>
          <w:p w:rsidR="00552E31" w:rsidRPr="00555BD1" w:rsidRDefault="00552E31" w:rsidP="00D01068">
            <w:pPr>
              <w:pStyle w:val="Tabulka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Aktivované náklady na vývoj</w:t>
            </w:r>
          </w:p>
        </w:tc>
        <w:tc>
          <w:tcPr>
            <w:tcW w:w="1559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lineárna</w:t>
            </w:r>
          </w:p>
        </w:tc>
        <w:tc>
          <w:tcPr>
            <w:tcW w:w="142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20</w:t>
            </w:r>
          </w:p>
        </w:tc>
      </w:tr>
      <w:tr w:rsidR="00552E31" w:rsidRPr="00555BD1" w:rsidTr="00D01068">
        <w:trPr>
          <w:trHeight w:val="250"/>
        </w:trPr>
        <w:tc>
          <w:tcPr>
            <w:tcW w:w="3402" w:type="dxa"/>
            <w:gridSpan w:val="2"/>
          </w:tcPr>
          <w:p w:rsidR="00552E31" w:rsidRPr="00555BD1" w:rsidRDefault="00552E31" w:rsidP="00D01068">
            <w:pPr>
              <w:pStyle w:val="Tabulka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Softvér</w:t>
            </w:r>
          </w:p>
        </w:tc>
        <w:tc>
          <w:tcPr>
            <w:tcW w:w="1559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lineárna</w:t>
            </w:r>
          </w:p>
        </w:tc>
        <w:tc>
          <w:tcPr>
            <w:tcW w:w="142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25</w:t>
            </w:r>
          </w:p>
        </w:tc>
      </w:tr>
      <w:tr w:rsidR="00552E31" w:rsidRPr="00555BD1" w:rsidTr="00D01068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402" w:type="dxa"/>
            <w:gridSpan w:val="2"/>
          </w:tcPr>
          <w:p w:rsidR="00552E31" w:rsidRPr="00555BD1" w:rsidRDefault="00552E31" w:rsidP="00D01068">
            <w:pPr>
              <w:pStyle w:val="Tabulka"/>
              <w:ind w:hanging="84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Oceniteľné práva (licencia)</w:t>
            </w:r>
          </w:p>
        </w:tc>
        <w:tc>
          <w:tcPr>
            <w:tcW w:w="1559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lineárna</w:t>
            </w:r>
          </w:p>
        </w:tc>
        <w:tc>
          <w:tcPr>
            <w:tcW w:w="142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12,5</w:t>
            </w:r>
          </w:p>
        </w:tc>
      </w:tr>
      <w:tr w:rsidR="00552E31" w:rsidRPr="00555BD1" w:rsidTr="00D01068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402" w:type="dxa"/>
            <w:gridSpan w:val="2"/>
          </w:tcPr>
          <w:p w:rsidR="00552E31" w:rsidRPr="00555BD1" w:rsidRDefault="00552E31" w:rsidP="00D01068">
            <w:pPr>
              <w:pStyle w:val="Tabulka"/>
              <w:ind w:hanging="84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Drobný dlhodobý nehmotný majetok</w:t>
            </w:r>
          </w:p>
        </w:tc>
        <w:tc>
          <w:tcPr>
            <w:tcW w:w="1559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rôzna</w:t>
            </w:r>
          </w:p>
        </w:tc>
        <w:tc>
          <w:tcPr>
            <w:tcW w:w="142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jednorazový odpis</w:t>
            </w:r>
          </w:p>
        </w:tc>
        <w:tc>
          <w:tcPr>
            <w:tcW w:w="142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100</w:t>
            </w:r>
          </w:p>
        </w:tc>
      </w:tr>
    </w:tbl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>Odpisy dlhodobého hmotného majetku sú stanovené vychádzajúc z predpokladanej doby jeho používania a predpokladaného priebehu jeho opotrebenia. Odpisovať sa začína prvým dňom mesiaca nasledujúceho po uvedení dlhodobého majetku do používania. Drobný dlhodobý hmotný majetok, ktorého obstarávacia cena (resp. vlastné náklady) je 1 700 EUR a nižšia, sa odpisuje jednorazovo pri uvedení do používania. Pozemky sa neodpisujú. Predpokladaná doba používania, metóda odpisovania a odpisová sadzba sú uvedené v nasledujúcej tabuľke: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6"/>
        <w:gridCol w:w="142"/>
        <w:gridCol w:w="1985"/>
        <w:gridCol w:w="141"/>
        <w:gridCol w:w="1701"/>
        <w:gridCol w:w="142"/>
        <w:gridCol w:w="1701"/>
      </w:tblGrid>
      <w:tr w:rsidR="00552E31" w:rsidRPr="00555BD1" w:rsidTr="00D01068">
        <w:trPr>
          <w:trHeight w:val="250"/>
        </w:trPr>
        <w:tc>
          <w:tcPr>
            <w:tcW w:w="3118" w:type="dxa"/>
            <w:gridSpan w:val="2"/>
          </w:tcPr>
          <w:p w:rsidR="00552E31" w:rsidRPr="00555BD1" w:rsidRDefault="00552E31" w:rsidP="00D01068">
            <w:pPr>
              <w:pStyle w:val="Tabulka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Predpokladaná</w:t>
            </w:r>
          </w:p>
        </w:tc>
        <w:tc>
          <w:tcPr>
            <w:tcW w:w="141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Metóda</w:t>
            </w:r>
          </w:p>
        </w:tc>
        <w:tc>
          <w:tcPr>
            <w:tcW w:w="142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Ročná odpisová</w:t>
            </w:r>
          </w:p>
        </w:tc>
      </w:tr>
      <w:tr w:rsidR="00552E31" w:rsidRPr="00555BD1" w:rsidTr="00D01068">
        <w:trPr>
          <w:trHeight w:val="250"/>
        </w:trPr>
        <w:tc>
          <w:tcPr>
            <w:tcW w:w="2976" w:type="dxa"/>
            <w:tcBorders>
              <w:bottom w:val="single" w:sz="4" w:space="0" w:color="auto"/>
            </w:tcBorders>
          </w:tcPr>
          <w:p w:rsidR="00552E31" w:rsidRPr="00555BD1" w:rsidRDefault="00552E31" w:rsidP="00D01068">
            <w:pPr>
              <w:pStyle w:val="Tabulka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552E31" w:rsidRPr="00555BD1" w:rsidRDefault="00552E31" w:rsidP="00D01068">
            <w:pPr>
              <w:pStyle w:val="Tabulka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doba používania v rokoch</w:t>
            </w: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odpisovania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sadzba v %</w:t>
            </w:r>
          </w:p>
        </w:tc>
      </w:tr>
      <w:tr w:rsidR="00552E31" w:rsidRPr="00555BD1" w:rsidTr="00D01068">
        <w:trPr>
          <w:trHeight w:val="250"/>
        </w:trPr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552E31" w:rsidRPr="00555BD1" w:rsidRDefault="00552E31" w:rsidP="00D01068">
            <w:pPr>
              <w:pStyle w:val="Tabulka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Stavby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20</w:t>
            </w:r>
          </w:p>
        </w:tc>
        <w:tc>
          <w:tcPr>
            <w:tcW w:w="141" w:type="dxa"/>
            <w:tcBorders>
              <w:top w:val="single" w:sz="4" w:space="0" w:color="auto"/>
            </w:tcBorders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lineárna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5</w:t>
            </w:r>
          </w:p>
        </w:tc>
      </w:tr>
      <w:tr w:rsidR="00552E31" w:rsidRPr="00555BD1" w:rsidTr="00D01068">
        <w:trPr>
          <w:trHeight w:val="250"/>
        </w:trPr>
        <w:tc>
          <w:tcPr>
            <w:tcW w:w="3118" w:type="dxa"/>
            <w:gridSpan w:val="2"/>
          </w:tcPr>
          <w:p w:rsidR="00552E31" w:rsidRPr="00555BD1" w:rsidRDefault="00552E31" w:rsidP="00D01068">
            <w:pPr>
              <w:pStyle w:val="Tabulka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Stroje, prístroje a zariadenia</w:t>
            </w:r>
          </w:p>
        </w:tc>
        <w:tc>
          <w:tcPr>
            <w:tcW w:w="1985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6</w:t>
            </w:r>
          </w:p>
        </w:tc>
        <w:tc>
          <w:tcPr>
            <w:tcW w:w="141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lineárna</w:t>
            </w:r>
          </w:p>
        </w:tc>
        <w:tc>
          <w:tcPr>
            <w:tcW w:w="142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16,67</w:t>
            </w:r>
          </w:p>
        </w:tc>
      </w:tr>
      <w:tr w:rsidR="00552E31" w:rsidRPr="00555BD1" w:rsidTr="00D01068">
        <w:trPr>
          <w:trHeight w:val="250"/>
        </w:trPr>
        <w:tc>
          <w:tcPr>
            <w:tcW w:w="3118" w:type="dxa"/>
            <w:gridSpan w:val="2"/>
          </w:tcPr>
          <w:p w:rsidR="00552E31" w:rsidRPr="00555BD1" w:rsidRDefault="00552E31" w:rsidP="00D01068">
            <w:pPr>
              <w:pStyle w:val="Tabulka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Dopravné prostriedky</w:t>
            </w:r>
          </w:p>
        </w:tc>
        <w:tc>
          <w:tcPr>
            <w:tcW w:w="1985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1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degresívna</w:t>
            </w:r>
          </w:p>
        </w:tc>
        <w:tc>
          <w:tcPr>
            <w:tcW w:w="142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25</w:t>
            </w:r>
          </w:p>
        </w:tc>
      </w:tr>
      <w:tr w:rsidR="00552E31" w:rsidRPr="00555BD1" w:rsidTr="00D01068">
        <w:trPr>
          <w:trHeight w:val="250"/>
        </w:trPr>
        <w:tc>
          <w:tcPr>
            <w:tcW w:w="3118" w:type="dxa"/>
            <w:gridSpan w:val="2"/>
          </w:tcPr>
          <w:p w:rsidR="00552E31" w:rsidRPr="00555BD1" w:rsidRDefault="00552E31" w:rsidP="00D01068">
            <w:pPr>
              <w:pStyle w:val="Tabulka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Drobný dlhodobý hmotný majetok</w:t>
            </w:r>
          </w:p>
        </w:tc>
        <w:tc>
          <w:tcPr>
            <w:tcW w:w="1985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rôzna</w:t>
            </w:r>
          </w:p>
        </w:tc>
        <w:tc>
          <w:tcPr>
            <w:tcW w:w="141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jednorazový odpis</w:t>
            </w:r>
          </w:p>
        </w:tc>
        <w:tc>
          <w:tcPr>
            <w:tcW w:w="142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52E31" w:rsidRPr="00555BD1" w:rsidRDefault="00552E31" w:rsidP="00D01068">
            <w:pPr>
              <w:pStyle w:val="Tabulka"/>
              <w:jc w:val="center"/>
              <w:rPr>
                <w:sz w:val="22"/>
                <w:szCs w:val="22"/>
              </w:rPr>
            </w:pPr>
            <w:r w:rsidRPr="00555BD1">
              <w:rPr>
                <w:sz w:val="22"/>
                <w:szCs w:val="22"/>
              </w:rPr>
              <w:t>100</w:t>
            </w:r>
          </w:p>
        </w:tc>
      </w:tr>
    </w:tbl>
    <w:p w:rsidR="00552E31" w:rsidRPr="00555BD1" w:rsidRDefault="00552E31" w:rsidP="00552E31">
      <w:pPr>
        <w:pStyle w:val="Pismenka"/>
        <w:numPr>
          <w:ilvl w:val="0"/>
          <w:numId w:val="0"/>
        </w:numPr>
        <w:rPr>
          <w:sz w:val="22"/>
          <w:szCs w:val="22"/>
        </w:rPr>
      </w:pPr>
    </w:p>
    <w:p w:rsidR="00552E31" w:rsidRPr="00555BD1" w:rsidRDefault="00552E31" w:rsidP="00552E31">
      <w:pPr>
        <w:pStyle w:val="Pismenka"/>
        <w:tabs>
          <w:tab w:val="clear" w:pos="426"/>
        </w:tabs>
        <w:ind w:left="426"/>
        <w:rPr>
          <w:sz w:val="22"/>
          <w:szCs w:val="22"/>
        </w:rPr>
      </w:pPr>
      <w:r w:rsidRPr="00555BD1">
        <w:rPr>
          <w:sz w:val="22"/>
          <w:szCs w:val="22"/>
        </w:rPr>
        <w:t>Cenné papiere a podiely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 xml:space="preserve">Cenné papiere a podiely (okrem cenných papierov na obchodovanie) sa oceňujú obstarávacími cenami vrátane nákladov súvisiacich s obstaraním. Od obstarávacej ceny je odpočítané zníženie hodnoty cenných papierov a podielov. 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 xml:space="preserve">Cenné papiere na obchodovanie sa pri ich obstaraní oceňujú reálnou hodnotou. 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Pismenka"/>
        <w:tabs>
          <w:tab w:val="clear" w:pos="426"/>
        </w:tabs>
        <w:ind w:left="426"/>
        <w:rPr>
          <w:sz w:val="22"/>
          <w:szCs w:val="22"/>
        </w:rPr>
      </w:pPr>
      <w:r w:rsidRPr="00555BD1">
        <w:rPr>
          <w:sz w:val="22"/>
          <w:szCs w:val="22"/>
        </w:rPr>
        <w:t xml:space="preserve">Zásoby 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>Zásoby sa oceňujú nižšou z nasledujúcich hodnôt: obstarávacou cenou (nakupované zásoby) alebo vlastnými nákladmi (zásoby vytvorené vlastnou činnosťou) alebo čistou realizačnou hodnotou.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>Obstarávacia cena zahŕňa cenu zásob a náklady súvisiace s obstaraním (clo, prepravu, poistné, provízie, skonto a pod.). Úroky z cudzích zdrojov nie sú súčasťou obstarávacej ceny. Nakupované zásoby sa oceňujú váženým aritmetickým priemerom z obstarávacích cien.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>Vlastné náklady zahŕňajú priame náklady (priamy materiál, priame mzdy a ostatné priame náklady) a časť nepriamych nákladov bezprostredne súvisiacich s vytvorením zásob vlastnou činnosťou (výrobná réžia). Výrobná réžia sa do vlastných nákladov zahŕňa v závislosti od stupňa rozpracovanosti týchto zásob. Správna réžia a odbytové náklady nie sú súčasťou vlastných nákladov. Súčasťou vlastných nákladov nie sú úroky z cudzích zdrojov.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 xml:space="preserve">Čistá realizačná hodnota je predpokladaná predajná cena znížená o predpokladané náklady na ich dokončenie a o predpokladané náklady súvisiace s ich predajom.  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>Zníženie hodnoty zásob sa zohľadňuje vytvorením opravnej položky.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Pismenka"/>
        <w:tabs>
          <w:tab w:val="clear" w:pos="426"/>
        </w:tabs>
        <w:ind w:left="426"/>
        <w:rPr>
          <w:sz w:val="22"/>
          <w:szCs w:val="22"/>
        </w:rPr>
      </w:pPr>
      <w:r w:rsidRPr="00555BD1">
        <w:rPr>
          <w:sz w:val="22"/>
          <w:szCs w:val="22"/>
        </w:rPr>
        <w:t>Zákazková výroba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 xml:space="preserve">Zákazková výroba sa vykazuje použitím metódy stupňa dokončenia zákazky (angl. </w:t>
      </w:r>
      <w:proofErr w:type="spellStart"/>
      <w:r w:rsidRPr="00555BD1">
        <w:rPr>
          <w:sz w:val="22"/>
          <w:szCs w:val="22"/>
        </w:rPr>
        <w:t>percentage-of-completion-method</w:t>
      </w:r>
      <w:proofErr w:type="spellEnd"/>
      <w:r w:rsidRPr="00555BD1">
        <w:rPr>
          <w:sz w:val="22"/>
          <w:szCs w:val="22"/>
        </w:rPr>
        <w:t>).</w:t>
      </w:r>
    </w:p>
    <w:p w:rsidR="00552E31" w:rsidRPr="00555BD1" w:rsidRDefault="00552E31" w:rsidP="00552E31">
      <w:pPr>
        <w:pStyle w:val="Pismenka"/>
        <w:numPr>
          <w:ilvl w:val="0"/>
          <w:numId w:val="0"/>
        </w:numPr>
        <w:rPr>
          <w:b w:val="0"/>
          <w:sz w:val="22"/>
          <w:szCs w:val="22"/>
        </w:rPr>
      </w:pPr>
    </w:p>
    <w:p w:rsidR="00552E31" w:rsidRPr="00555BD1" w:rsidRDefault="00552E31" w:rsidP="00552E31">
      <w:pPr>
        <w:pStyle w:val="Pismenka"/>
        <w:tabs>
          <w:tab w:val="clear" w:pos="426"/>
        </w:tabs>
        <w:ind w:left="426"/>
        <w:rPr>
          <w:sz w:val="22"/>
          <w:szCs w:val="22"/>
        </w:rPr>
      </w:pPr>
      <w:r w:rsidRPr="00555BD1">
        <w:rPr>
          <w:sz w:val="22"/>
          <w:szCs w:val="22"/>
        </w:rPr>
        <w:t>Zákazková výstavba nehnuteľnosti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rPr>
          <w:b/>
          <w:i/>
          <w:sz w:val="22"/>
          <w:szCs w:val="22"/>
        </w:rPr>
      </w:pPr>
      <w:r w:rsidRPr="00555BD1">
        <w:rPr>
          <w:b/>
          <w:i/>
          <w:sz w:val="22"/>
          <w:szCs w:val="22"/>
        </w:rPr>
        <w:t>Zákazková výstavba nehnuteľnosti – priebežný transfer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 xml:space="preserve">Zákazková výstavba nehnuteľnosti určenej na predaj sa vykazuje podľa metódy stupňa dokončenia. 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rPr>
          <w:b/>
          <w:i/>
          <w:sz w:val="22"/>
          <w:szCs w:val="22"/>
        </w:rPr>
      </w:pPr>
      <w:r w:rsidRPr="00555BD1">
        <w:rPr>
          <w:b/>
          <w:i/>
          <w:sz w:val="22"/>
          <w:szCs w:val="22"/>
        </w:rPr>
        <w:t>Zákazková výstavba nehnuteľnosti – ostatná (nie priebežný transfer)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lastRenderedPageBreak/>
        <w:t>Zákazková výstavba nehnuteľnosti určenej na predaj – ostatná (nie priebežný transfer) sa vykazuje metódou tzv. nulového zisku, t. j. zisk sa vykáže až pri predaji nehnuteľnosti.</w:t>
      </w:r>
    </w:p>
    <w:p w:rsidR="00552E31" w:rsidRPr="00555BD1" w:rsidRDefault="00552E31" w:rsidP="00552E31">
      <w:pPr>
        <w:pStyle w:val="Pismenka"/>
        <w:numPr>
          <w:ilvl w:val="0"/>
          <w:numId w:val="0"/>
        </w:numPr>
        <w:rPr>
          <w:b w:val="0"/>
          <w:sz w:val="22"/>
          <w:szCs w:val="22"/>
        </w:rPr>
      </w:pPr>
    </w:p>
    <w:p w:rsidR="00552E31" w:rsidRPr="00555BD1" w:rsidRDefault="00552E31" w:rsidP="00552E31">
      <w:pPr>
        <w:pStyle w:val="Pismenka"/>
        <w:tabs>
          <w:tab w:val="clear" w:pos="426"/>
        </w:tabs>
        <w:ind w:left="426"/>
        <w:rPr>
          <w:sz w:val="22"/>
          <w:szCs w:val="22"/>
        </w:rPr>
      </w:pPr>
      <w:r w:rsidRPr="00555BD1">
        <w:rPr>
          <w:sz w:val="22"/>
          <w:szCs w:val="22"/>
        </w:rPr>
        <w:t>Pohľadávky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>Pohľadávky pri ich vzniku sa oceňujú ich menovitou hodnotou; postúpené pohľadávky a pohľadávky nadobudnuté vkladom do základného imania sa oceňujú obstarávacou cenou vrátane nákladov súvisiacich s obstaraním. Toto ocenenie sa znižuje o pochybné a nevymožiteľné pohľadávky.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Pismenka"/>
        <w:tabs>
          <w:tab w:val="clear" w:pos="426"/>
        </w:tabs>
        <w:ind w:left="426"/>
        <w:rPr>
          <w:sz w:val="22"/>
          <w:szCs w:val="22"/>
        </w:rPr>
      </w:pPr>
      <w:r w:rsidRPr="00555BD1">
        <w:rPr>
          <w:sz w:val="22"/>
          <w:szCs w:val="22"/>
        </w:rPr>
        <w:t>Peňažné prostriedky a ceniny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>Peňažné prostriedky a ceniny sa oceňujú ich menovitou hodnotou. Zníženie ich hodnoty sa vyjadruje opravnou položkou.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Pismenka"/>
        <w:tabs>
          <w:tab w:val="clear" w:pos="426"/>
        </w:tabs>
        <w:ind w:left="426"/>
        <w:rPr>
          <w:sz w:val="22"/>
          <w:szCs w:val="22"/>
        </w:rPr>
      </w:pPr>
      <w:r w:rsidRPr="00555BD1">
        <w:rPr>
          <w:sz w:val="22"/>
          <w:szCs w:val="22"/>
        </w:rPr>
        <w:t>Náklady budúcich období a príjmy budúcich období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>Náklady budúcich období a príjmy budúcich období sa vykazujú vo výške, ktorá je potrebná na dodržanie zásady vecnej a časovej súvislosti s účtovným obdobím.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Pismenka"/>
        <w:tabs>
          <w:tab w:val="clear" w:pos="426"/>
        </w:tabs>
        <w:ind w:left="426"/>
        <w:rPr>
          <w:sz w:val="22"/>
          <w:szCs w:val="22"/>
        </w:rPr>
      </w:pPr>
      <w:r w:rsidRPr="00555BD1">
        <w:rPr>
          <w:sz w:val="22"/>
          <w:szCs w:val="22"/>
        </w:rPr>
        <w:t>Rezervy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>Rezervy sú záväzky s neurčitým časovým vymedzením alebo výškou; tvoria sa na krytie známych rizík alebo strát z podnikania. Oceňujú sa v očakávanej výške záväzku.</w:t>
      </w:r>
    </w:p>
    <w:p w:rsidR="00552E31" w:rsidRPr="00555BD1" w:rsidRDefault="00552E31" w:rsidP="00552E31">
      <w:pPr>
        <w:pStyle w:val="Pismenka"/>
        <w:numPr>
          <w:ilvl w:val="0"/>
          <w:numId w:val="0"/>
        </w:numPr>
        <w:ind w:left="360"/>
        <w:rPr>
          <w:sz w:val="22"/>
          <w:szCs w:val="22"/>
        </w:rPr>
      </w:pPr>
    </w:p>
    <w:p w:rsidR="00552E31" w:rsidRPr="00555BD1" w:rsidRDefault="00552E31" w:rsidP="00552E31">
      <w:pPr>
        <w:pStyle w:val="Pismenka"/>
        <w:tabs>
          <w:tab w:val="clear" w:pos="426"/>
        </w:tabs>
        <w:ind w:left="426"/>
        <w:rPr>
          <w:sz w:val="22"/>
          <w:szCs w:val="22"/>
        </w:rPr>
      </w:pPr>
      <w:r w:rsidRPr="00555BD1">
        <w:rPr>
          <w:sz w:val="22"/>
          <w:szCs w:val="22"/>
        </w:rPr>
        <w:t>Záväzky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 xml:space="preserve">Záväzky pri ich vzniku sa oceňujú menovitou hodnotou. Záväzky pri ich prevzatí sa oceňujú obstarávacou cenou. Ak sa pri inventarizácii zistí, že suma záväzkov je iná ako ich výška v účtovníctve, uvedú sa záväzky v účtovníctve a v účtovnej závierke v tomto zistenom ocenení. </w:t>
      </w:r>
    </w:p>
    <w:p w:rsidR="00552E31" w:rsidRPr="00555BD1" w:rsidRDefault="00552E31" w:rsidP="00552E31">
      <w:pPr>
        <w:pStyle w:val="Pismenka"/>
        <w:numPr>
          <w:ilvl w:val="0"/>
          <w:numId w:val="0"/>
        </w:numPr>
        <w:ind w:left="360"/>
        <w:rPr>
          <w:sz w:val="22"/>
          <w:szCs w:val="22"/>
        </w:rPr>
      </w:pPr>
    </w:p>
    <w:p w:rsidR="00552E31" w:rsidRPr="00555BD1" w:rsidRDefault="00552E31" w:rsidP="00552E31">
      <w:pPr>
        <w:pStyle w:val="Pismenka"/>
        <w:tabs>
          <w:tab w:val="clear" w:pos="426"/>
        </w:tabs>
        <w:ind w:left="426"/>
        <w:rPr>
          <w:sz w:val="22"/>
          <w:szCs w:val="22"/>
        </w:rPr>
      </w:pPr>
      <w:r w:rsidRPr="00555BD1">
        <w:rPr>
          <w:sz w:val="22"/>
          <w:szCs w:val="22"/>
        </w:rPr>
        <w:t>Odložené dane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 xml:space="preserve">Odložené dane (odložená daňová pohľadávka a odložený daňový záväzok) sa vzťahujú na: </w:t>
      </w:r>
    </w:p>
    <w:p w:rsidR="00552E31" w:rsidRPr="00555BD1" w:rsidRDefault="00552E31" w:rsidP="00552E31">
      <w:pPr>
        <w:pStyle w:val="Zkladntext"/>
        <w:numPr>
          <w:ilvl w:val="0"/>
          <w:numId w:val="3"/>
        </w:numPr>
        <w:rPr>
          <w:sz w:val="22"/>
          <w:szCs w:val="22"/>
        </w:rPr>
      </w:pPr>
      <w:r w:rsidRPr="00555BD1">
        <w:rPr>
          <w:sz w:val="22"/>
          <w:szCs w:val="22"/>
        </w:rPr>
        <w:t>dočasné rozdiely medzi účtovnou hodnotou majetku a účtovnou hodnotou záväzkov vykázanou v súvahe a ich daňovou základňou,</w:t>
      </w:r>
    </w:p>
    <w:p w:rsidR="00552E31" w:rsidRPr="00555BD1" w:rsidRDefault="00552E31" w:rsidP="00552E31">
      <w:pPr>
        <w:pStyle w:val="Zkladntext"/>
        <w:numPr>
          <w:ilvl w:val="0"/>
          <w:numId w:val="3"/>
        </w:numPr>
        <w:rPr>
          <w:sz w:val="22"/>
          <w:szCs w:val="22"/>
        </w:rPr>
      </w:pPr>
      <w:r w:rsidRPr="00555BD1">
        <w:rPr>
          <w:sz w:val="22"/>
          <w:szCs w:val="22"/>
        </w:rPr>
        <w:t>možnosť umorovať daňovú stratu v budúcnosti, ktorou sa rozumie možnosť odpočítať daňovú stratu od základu dane v budúcnosti,</w:t>
      </w:r>
    </w:p>
    <w:p w:rsidR="00552E31" w:rsidRPr="00555BD1" w:rsidRDefault="00552E31" w:rsidP="00552E31">
      <w:pPr>
        <w:pStyle w:val="Zkladntext"/>
        <w:numPr>
          <w:ilvl w:val="0"/>
          <w:numId w:val="3"/>
        </w:numPr>
        <w:rPr>
          <w:sz w:val="22"/>
          <w:szCs w:val="22"/>
        </w:rPr>
      </w:pPr>
      <w:r w:rsidRPr="00555BD1">
        <w:rPr>
          <w:sz w:val="22"/>
          <w:szCs w:val="22"/>
        </w:rPr>
        <w:t>možnosť previesť nevyužité daňové odpočty a iné daňové nároky do budúcich období.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Pismenka"/>
        <w:tabs>
          <w:tab w:val="clear" w:pos="426"/>
        </w:tabs>
        <w:ind w:left="426"/>
        <w:rPr>
          <w:sz w:val="22"/>
          <w:szCs w:val="22"/>
        </w:rPr>
      </w:pPr>
      <w:r w:rsidRPr="00555BD1">
        <w:rPr>
          <w:sz w:val="22"/>
          <w:szCs w:val="22"/>
        </w:rPr>
        <w:t>Výdavky budúcich období a výnosy budúcich období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>Výdavky budúcich období a výnosy budúcich období sa vykazujú vo výške, ktorá je potrebná na dodržanie zásady vecnej a časovej súvislosti s účtovným obdobím.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Pismenka"/>
        <w:tabs>
          <w:tab w:val="clear" w:pos="426"/>
        </w:tabs>
        <w:ind w:left="426"/>
        <w:rPr>
          <w:sz w:val="22"/>
          <w:szCs w:val="22"/>
        </w:rPr>
      </w:pPr>
      <w:r w:rsidRPr="00555BD1">
        <w:rPr>
          <w:sz w:val="22"/>
          <w:szCs w:val="22"/>
        </w:rPr>
        <w:t>Dotácie zo štátneho rozpočtu</w:t>
      </w:r>
    </w:p>
    <w:p w:rsidR="00552E31" w:rsidRPr="00555BD1" w:rsidRDefault="00552E31" w:rsidP="00552E31">
      <w:pPr>
        <w:ind w:left="450"/>
        <w:jc w:val="both"/>
        <w:rPr>
          <w:sz w:val="22"/>
          <w:szCs w:val="22"/>
        </w:rPr>
      </w:pPr>
      <w:r w:rsidRPr="00555BD1">
        <w:rPr>
          <w:sz w:val="22"/>
          <w:szCs w:val="22"/>
        </w:rPr>
        <w:t xml:space="preserve">O nároku na dotácie zo štátneho rozpočtu sa účtuje, ak je takmer isté, že sa splnia všetky podmienky súvisiace s dotáciou a súčasne, že sa dotácia poskytne. </w:t>
      </w:r>
    </w:p>
    <w:p w:rsidR="00552E31" w:rsidRPr="00555BD1" w:rsidRDefault="00552E31" w:rsidP="00552E31">
      <w:pPr>
        <w:ind w:left="450"/>
        <w:jc w:val="both"/>
        <w:rPr>
          <w:sz w:val="22"/>
          <w:szCs w:val="22"/>
        </w:rPr>
      </w:pPr>
    </w:p>
    <w:p w:rsidR="00552E31" w:rsidRPr="00555BD1" w:rsidRDefault="00552E31" w:rsidP="00552E31">
      <w:pPr>
        <w:ind w:left="450"/>
        <w:jc w:val="both"/>
        <w:rPr>
          <w:sz w:val="22"/>
          <w:szCs w:val="22"/>
        </w:rPr>
      </w:pPr>
      <w:r w:rsidRPr="00555BD1">
        <w:rPr>
          <w:sz w:val="22"/>
          <w:szCs w:val="22"/>
        </w:rPr>
        <w:t>Dotácie na hospodársku činnosť Spoločnosti sa najskôr vykazujú ako výnosy budúcich období a do výkazu ziskov a strát sa rozpúšťajú ako výnosy z hospodárskej činnosti v časovej a vecnej súvislosti s vynaložením nákladov na príslušný účel.</w:t>
      </w:r>
    </w:p>
    <w:p w:rsidR="00552E31" w:rsidRPr="00555BD1" w:rsidRDefault="00552E31" w:rsidP="00552E31">
      <w:pPr>
        <w:ind w:left="450"/>
        <w:jc w:val="both"/>
        <w:rPr>
          <w:sz w:val="22"/>
          <w:szCs w:val="22"/>
        </w:rPr>
      </w:pPr>
    </w:p>
    <w:p w:rsidR="00552E31" w:rsidRPr="00555BD1" w:rsidRDefault="00552E31" w:rsidP="00552E31">
      <w:pPr>
        <w:ind w:left="450"/>
        <w:jc w:val="both"/>
        <w:rPr>
          <w:sz w:val="22"/>
          <w:szCs w:val="22"/>
        </w:rPr>
      </w:pPr>
      <w:r w:rsidRPr="00555BD1">
        <w:rPr>
          <w:sz w:val="22"/>
          <w:szCs w:val="22"/>
        </w:rPr>
        <w:t xml:space="preserve">Dotácie na obstaranie dlhodobého hmotného majetku a dlhodobého nehmotného majetku sa najskôr vykazujú ako výnosy budúcich období a do výkazu ziskov a strát sa rozpúšťajú v časovej a vecnej súvislosti so zaúčtovaním odpisov </w:t>
      </w:r>
      <w:r w:rsidRPr="00555BD1">
        <w:rPr>
          <w:sz w:val="22"/>
          <w:szCs w:val="22"/>
        </w:rPr>
        <w:br/>
        <w:t xml:space="preserve">z tohto dlhodobého majetku. 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Pismenka"/>
        <w:tabs>
          <w:tab w:val="clear" w:pos="426"/>
        </w:tabs>
        <w:ind w:left="426"/>
        <w:rPr>
          <w:sz w:val="22"/>
          <w:szCs w:val="22"/>
        </w:rPr>
      </w:pPr>
      <w:r w:rsidRPr="00555BD1">
        <w:rPr>
          <w:sz w:val="22"/>
          <w:szCs w:val="22"/>
        </w:rPr>
        <w:t>Prenájom (lízing)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>Majetok prenajatý na základe operatívneho prenájmu vykazuje ako svoj majetok jeho vlastník, nie nájomca.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lastRenderedPageBreak/>
        <w:t xml:space="preserve">Finančný prenájom je obstaranie dlhodobého hmotného majetku na základe nájomnej zmluvy s dojednaným právom kúpy prenajatej veci za dohodnuté platby počas dohodnutej doby nájmu. Majetok prenajatý  formou finančného prenájmu vykazuje ako svoj majetok a odpisuje ho jeho nájomca, nie vlastník. 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>Prijatie majetku nájomcom sa v účtovníctve nájomcu účtuje v deň prijatia majetku na ťarchu príslušného účtu majetku so súvzťažným zápisom v prospech účtu 474 – Záväzky z nájmu vo výške dohodnutých platieb znížených o nerealizované finančné náklady.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>Súčasťou dohodnutých platieb je aj kúpna cena, za ktorú na konci dohodnutej doby finančného prenájmu prechádza vlastnícke právo k prenajatému majetku z prenajímateľa na nájomcu. Dohodnutá doba nájmu je najmenej 60 % doby odpisovania podľa daňových predpisov, minimálne však 3 roky. Platba nájomného je alokovaná medzi splátku istiny a finančné náklady, vypočítané metódou efektívnej úrokovej miery. Finančné náklady sa účtujú na ťarchu účtu 562 – Úroky.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Pismenka"/>
        <w:tabs>
          <w:tab w:val="clear" w:pos="426"/>
        </w:tabs>
        <w:ind w:left="426"/>
        <w:rPr>
          <w:sz w:val="22"/>
          <w:szCs w:val="22"/>
        </w:rPr>
      </w:pPr>
      <w:bookmarkStart w:id="1" w:name="_GoBack"/>
      <w:bookmarkEnd w:id="1"/>
      <w:r w:rsidRPr="00555BD1">
        <w:rPr>
          <w:sz w:val="22"/>
          <w:szCs w:val="22"/>
        </w:rPr>
        <w:t>Majetok a záväzky zabezpečené derivátmi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 xml:space="preserve">Majetok a záväzky zabezpečené derivátmi sa oceňujú reálnou hodnotou. Zmeny reálnych hodnôt majetku a záväzkov zabezpečených derivátmi sa účtujú bez vplyvu na výsledok hospodárenia, priamo do vlastného imania. 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Pismenka"/>
        <w:tabs>
          <w:tab w:val="clear" w:pos="426"/>
        </w:tabs>
        <w:ind w:left="426"/>
        <w:rPr>
          <w:sz w:val="22"/>
          <w:szCs w:val="22"/>
        </w:rPr>
      </w:pPr>
      <w:r w:rsidRPr="00555BD1">
        <w:rPr>
          <w:sz w:val="22"/>
          <w:szCs w:val="22"/>
        </w:rPr>
        <w:t>Cudzia mena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 xml:space="preserve">Majetok a záväzky vyjadrené v cudzej mene sa ku dňu uskutočnenia účtovného prípadu prepočítavajú na menu euro referenčným výmenným kurzom určeným a vyhláseným Európskou centrálnou bankou alebo Národnou bankou Slovenska v deň predchádzajúci dňu uskutočnenia účtovného prípadu. 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>Na ocenenie prírastku cudzej meny nakúpenej za euro sa použije kurz, za ktorý bola táto cudzia mena nakúpená.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 xml:space="preserve">Na úbytok rovnakej cudzej meny v hotovosti alebo z devízového účtu sa na prepočet cudzej meny na eurá použije referenčný výmenný kurz určený a vyhlásený Európskou centrálnou bankou alebo Národnou bankou Slovenska v deň predchádzajúci dňu uskutočnenia účtovného prípadu. 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 xml:space="preserve">Majetok a záväzky vyjadrené v cudzej mene (okrem prijatých a poskytnutých preddavkov) sa ku dňu, ku ktorému sa zostavuje účtovná závierka, prepočítavajú na menu euro referenčným výmenným kurzom určeným a vyhláseným Európskou centrálnou bankou alebo Národnou bankou Slovenska v deň, ku ktorému sa zostavuje účtovná závierka, a účtujú sa s vplyvom na výsledok hospodárenia. 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 xml:space="preserve">Prijaté a poskytnuté preddavky v cudzej mene prostredníctvom účtu vedeného v tejto cudzej mene sa prepočítavajú na menu euro referenčným výmenným kurzom určeným a vyhláseným Európskou centrálnou bankou alebo Národnou bankou Slovenska v deň predchádzajúci dňu uskutočnenia účtovného prípadu. Ku dňu, ku ktorému sa zostavuje účtovná závierka, sa už neprepočítavajú. </w:t>
      </w:r>
    </w:p>
    <w:p w:rsidR="00555BD1" w:rsidRPr="00555BD1" w:rsidRDefault="00555BD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>Prijaté a poskytnuté preddavky v cudzej mene na účet zriadený v eurách a z účtu zriadeného v eurách sa prepočítavajú na menu euro kurzom, za ktorý boli tieto hodnoty nakúpené alebo predané.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</w:p>
    <w:p w:rsidR="00552E31" w:rsidRPr="00555BD1" w:rsidRDefault="00552E31" w:rsidP="00552E31">
      <w:pPr>
        <w:pStyle w:val="Pismenka"/>
        <w:tabs>
          <w:tab w:val="clear" w:pos="426"/>
        </w:tabs>
        <w:ind w:left="426"/>
        <w:rPr>
          <w:sz w:val="22"/>
          <w:szCs w:val="22"/>
        </w:rPr>
      </w:pPr>
      <w:r w:rsidRPr="00555BD1">
        <w:rPr>
          <w:sz w:val="22"/>
          <w:szCs w:val="22"/>
        </w:rPr>
        <w:t>Výnosy</w:t>
      </w:r>
    </w:p>
    <w:p w:rsidR="00552E31" w:rsidRPr="00555BD1" w:rsidRDefault="00552E31" w:rsidP="00552E31">
      <w:pPr>
        <w:pStyle w:val="Zkladntext"/>
        <w:rPr>
          <w:sz w:val="22"/>
          <w:szCs w:val="22"/>
        </w:rPr>
      </w:pPr>
      <w:r w:rsidRPr="00555BD1">
        <w:rPr>
          <w:sz w:val="22"/>
          <w:szCs w:val="22"/>
        </w:rPr>
        <w:t>Tržby za vlastné výkony a tovar neobsahujú daň z pridanej hodnoty. Sú tiež znížené o zľavy a zrážky (rabaty, bonusy, skontá, dobropisy a pod.), bez ohľadu na to, či zákazník mal vopred na zľavu nárok, alebo či ide o dodatočne uznanú zľavu.</w:t>
      </w:r>
    </w:p>
    <w:p w:rsidR="001B54BE" w:rsidRPr="00555BD1" w:rsidRDefault="001B54BE" w:rsidP="00552E31">
      <w:pPr>
        <w:rPr>
          <w:sz w:val="22"/>
          <w:szCs w:val="22"/>
        </w:rPr>
      </w:pPr>
    </w:p>
    <w:sectPr w:rsidR="001B54BE" w:rsidRPr="0055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7CD"/>
    <w:multiLevelType w:val="hybridMultilevel"/>
    <w:tmpl w:val="FB08211E"/>
    <w:lvl w:ilvl="0" w:tplc="04090017">
      <w:start w:val="1"/>
      <w:numFmt w:val="lowerLetter"/>
      <w:lvlText w:val="%1)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1">
    <w:nsid w:val="73473C13"/>
    <w:multiLevelType w:val="singleLevel"/>
    <w:tmpl w:val="2A50B936"/>
    <w:lvl w:ilvl="0">
      <w:start w:val="1"/>
      <w:numFmt w:val="upperLetter"/>
      <w:pStyle w:val="Nadpis1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abstractNum w:abstractNumId="2">
    <w:nsid w:val="78CD316A"/>
    <w:multiLevelType w:val="singleLevel"/>
    <w:tmpl w:val="28081C9C"/>
    <w:lvl w:ilvl="0">
      <w:start w:val="1"/>
      <w:numFmt w:val="lowerLetter"/>
      <w:pStyle w:val="Pismenka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31"/>
    <w:rsid w:val="001B54BE"/>
    <w:rsid w:val="00552E31"/>
    <w:rsid w:val="00555BD1"/>
    <w:rsid w:val="009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552E31"/>
    <w:pPr>
      <w:keepNext/>
      <w:numPr>
        <w:numId w:val="1"/>
      </w:numPr>
      <w:outlineLvl w:val="0"/>
    </w:pPr>
    <w:rPr>
      <w:b/>
      <w:cap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2E31"/>
    <w:rPr>
      <w:rFonts w:ascii="Times New Roman" w:eastAsia="Times New Roman" w:hAnsi="Times New Roman" w:cs="Times New Roman"/>
      <w:b/>
      <w:caps/>
      <w:sz w:val="18"/>
      <w:szCs w:val="20"/>
    </w:rPr>
  </w:style>
  <w:style w:type="paragraph" w:styleId="Zkladntext">
    <w:name w:val="Body Text"/>
    <w:basedOn w:val="Normlny"/>
    <w:link w:val="ZkladntextChar"/>
    <w:rsid w:val="00552E31"/>
    <w:pPr>
      <w:ind w:left="426"/>
      <w:jc w:val="both"/>
    </w:pPr>
    <w:rPr>
      <w:sz w:val="18"/>
    </w:rPr>
  </w:style>
  <w:style w:type="character" w:customStyle="1" w:styleId="ZkladntextChar">
    <w:name w:val="Základný text Char"/>
    <w:basedOn w:val="Predvolenpsmoodseku"/>
    <w:link w:val="Zkladntext"/>
    <w:rsid w:val="00552E31"/>
    <w:rPr>
      <w:rFonts w:ascii="Times New Roman" w:eastAsia="Times New Roman" w:hAnsi="Times New Roman" w:cs="Times New Roman"/>
      <w:sz w:val="18"/>
      <w:szCs w:val="20"/>
    </w:rPr>
  </w:style>
  <w:style w:type="paragraph" w:customStyle="1" w:styleId="Tabulka">
    <w:name w:val="Tabulka"/>
    <w:basedOn w:val="Normlny"/>
    <w:rsid w:val="00552E31"/>
    <w:rPr>
      <w:color w:val="000000"/>
      <w:sz w:val="18"/>
    </w:rPr>
  </w:style>
  <w:style w:type="paragraph" w:customStyle="1" w:styleId="Pismenka">
    <w:name w:val="Pismenka"/>
    <w:basedOn w:val="Zkladntext"/>
    <w:rsid w:val="00552E31"/>
    <w:pPr>
      <w:numPr>
        <w:numId w:val="2"/>
      </w:numPr>
      <w:tabs>
        <w:tab w:val="clear" w:pos="360"/>
        <w:tab w:val="num" w:pos="426"/>
      </w:tabs>
      <w:ind w:hanging="426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552E31"/>
    <w:pPr>
      <w:keepNext/>
      <w:numPr>
        <w:numId w:val="1"/>
      </w:numPr>
      <w:outlineLvl w:val="0"/>
    </w:pPr>
    <w:rPr>
      <w:b/>
      <w:cap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2E31"/>
    <w:rPr>
      <w:rFonts w:ascii="Times New Roman" w:eastAsia="Times New Roman" w:hAnsi="Times New Roman" w:cs="Times New Roman"/>
      <w:b/>
      <w:caps/>
      <w:sz w:val="18"/>
      <w:szCs w:val="20"/>
    </w:rPr>
  </w:style>
  <w:style w:type="paragraph" w:styleId="Zkladntext">
    <w:name w:val="Body Text"/>
    <w:basedOn w:val="Normlny"/>
    <w:link w:val="ZkladntextChar"/>
    <w:rsid w:val="00552E31"/>
    <w:pPr>
      <w:ind w:left="426"/>
      <w:jc w:val="both"/>
    </w:pPr>
    <w:rPr>
      <w:sz w:val="18"/>
    </w:rPr>
  </w:style>
  <w:style w:type="character" w:customStyle="1" w:styleId="ZkladntextChar">
    <w:name w:val="Základný text Char"/>
    <w:basedOn w:val="Predvolenpsmoodseku"/>
    <w:link w:val="Zkladntext"/>
    <w:rsid w:val="00552E31"/>
    <w:rPr>
      <w:rFonts w:ascii="Times New Roman" w:eastAsia="Times New Roman" w:hAnsi="Times New Roman" w:cs="Times New Roman"/>
      <w:sz w:val="18"/>
      <w:szCs w:val="20"/>
    </w:rPr>
  </w:style>
  <w:style w:type="paragraph" w:customStyle="1" w:styleId="Tabulka">
    <w:name w:val="Tabulka"/>
    <w:basedOn w:val="Normlny"/>
    <w:rsid w:val="00552E31"/>
    <w:rPr>
      <w:color w:val="000000"/>
      <w:sz w:val="18"/>
    </w:rPr>
  </w:style>
  <w:style w:type="paragraph" w:customStyle="1" w:styleId="Pismenka">
    <w:name w:val="Pismenka"/>
    <w:basedOn w:val="Zkladntext"/>
    <w:rsid w:val="00552E31"/>
    <w:pPr>
      <w:numPr>
        <w:numId w:val="2"/>
      </w:numPr>
      <w:tabs>
        <w:tab w:val="clear" w:pos="360"/>
        <w:tab w:val="num" w:pos="426"/>
      </w:tabs>
      <w:ind w:hanging="426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Iveta</dc:creator>
  <cp:lastModifiedBy>Kovacova Iveta</cp:lastModifiedBy>
  <cp:revision>3</cp:revision>
  <dcterms:created xsi:type="dcterms:W3CDTF">2014-03-26T11:35:00Z</dcterms:created>
  <dcterms:modified xsi:type="dcterms:W3CDTF">2014-03-28T09:58:00Z</dcterms:modified>
</cp:coreProperties>
</file>