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tbl>
      <w:tblPr>
        <w:tblW w:w="10194" w:type="dxa"/>
        <w:jc w:val="left"/>
        <w:tblInd w:w="-14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981"/>
        <w:gridCol w:w="2595"/>
        <w:gridCol w:w="336"/>
        <w:gridCol w:w="340"/>
        <w:gridCol w:w="337"/>
        <w:gridCol w:w="336"/>
        <w:gridCol w:w="341"/>
        <w:gridCol w:w="336"/>
        <w:gridCol w:w="341"/>
        <w:gridCol w:w="336"/>
        <w:gridCol w:w="567"/>
        <w:gridCol w:w="336"/>
        <w:gridCol w:w="337"/>
        <w:gridCol w:w="336"/>
        <w:gridCol w:w="339"/>
      </w:tblGrid>
      <w:tr>
        <w:trPr/>
        <w:tc>
          <w:tcPr>
            <w:tcW w:w="2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left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  <w:lang w:eastAsia="sk-SK"/>
              </w:rPr>
              <w:t>Poznámky (Úč  NUJ 3 – 01)</w:t>
            </w:r>
          </w:p>
        </w:tc>
        <w:tc>
          <w:tcPr>
            <w:tcW w:w="25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left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IČO 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/SID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</w:tr>
    </w:tbl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I.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200"/>
        <w:jc w:val="center"/>
        <w:outlineLvl w:val="1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Všeobecné údaje</w:t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zakladateľovi alebo zriaďovateľovi účtovnej jednotky:</w:t>
      </w:r>
    </w:p>
    <w:tbl>
      <w:tblPr>
        <w:tblW w:w="9781" w:type="dxa"/>
        <w:jc w:val="left"/>
        <w:tblInd w:w="10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977"/>
        <w:gridCol w:w="6803"/>
      </w:tblGrid>
      <w:tr>
        <w:trPr>
          <w:trHeight w:val="284" w:hRule="atLeast"/>
        </w:trPr>
        <w:tc>
          <w:tcPr>
            <w:tcW w:w="2977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>
        <w:trPr>
          <w:trHeight w:val="284" w:hRule="atLeast"/>
        </w:trPr>
        <w:tc>
          <w:tcPr>
            <w:tcW w:w="2977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Záujmové združenie občanov</w:t>
            </w:r>
          </w:p>
        </w:tc>
      </w:tr>
      <w:tr>
        <w:trPr>
          <w:trHeight w:val="284" w:hRule="atLeast"/>
        </w:trPr>
        <w:tc>
          <w:tcPr>
            <w:tcW w:w="2977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</w:tr>
      <w:tr>
        <w:trPr>
          <w:trHeight w:val="178" w:hRule="atLeast"/>
        </w:trPr>
        <w:tc>
          <w:tcPr>
            <w:tcW w:w="2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Dátum</w:t>
            </w:r>
            <w:r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5.12.2019</w:t>
            </w:r>
          </w:p>
        </w:tc>
      </w:tr>
    </w:tbl>
    <w:p>
      <w:pPr>
        <w:pStyle w:val="Normal"/>
        <w:spacing w:lineRule="auto" w:line="240" w:before="0" w:after="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360" w:hanging="0"/>
        <w:rPr>
          <w:sz w:val="18"/>
          <w:szCs w:val="18"/>
        </w:rPr>
      </w:pPr>
      <w:r>
        <w:rPr>
          <w:sz w:val="18"/>
          <w:szCs w:val="18"/>
        </w:rPr>
        <w:t xml:space="preserve">Údaje uvedené v Poznámkach sú v mene EUR, ak nie je uvedené inak. </w:t>
      </w:r>
    </w:p>
    <w:p>
      <w:pPr>
        <w:pStyle w:val="Normal"/>
        <w:spacing w:lineRule="auto" w:line="240" w:before="0" w:after="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Informácie o členoch štatutárnych orgánov, dozorných orgánov a iných orgánov účtovnej jednotky; uvádzajú sa mená a priezviská členov štatutárnych orgánov, dozorných orgánov a iných orgánov účtovnej jednotky.</w:t>
      </w:r>
    </w:p>
    <w:p>
      <w:pPr>
        <w:pStyle w:val="Textopatrenia"/>
        <w:spacing w:before="0" w:after="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tbl>
      <w:tblPr>
        <w:tblW w:w="9812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2844"/>
        <w:gridCol w:w="6967"/>
      </w:tblGrid>
      <w:tr>
        <w:trPr>
          <w:trHeight w:val="284" w:hRule="atLeast"/>
        </w:trPr>
        <w:tc>
          <w:tcPr>
            <w:tcW w:w="284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Predsedníctvo združenia: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Beáta Reifová, predseda združenia</w:t>
            </w:r>
          </w:p>
        </w:tc>
      </w:tr>
      <w:tr>
        <w:trPr>
          <w:trHeight w:val="284" w:hRule="atLeast"/>
        </w:trPr>
        <w:tc>
          <w:tcPr>
            <w:tcW w:w="284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art. Denis Farkaš, prvý podpredseda združenia</w:t>
            </w:r>
          </w:p>
        </w:tc>
      </w:tr>
      <w:tr>
        <w:trPr>
          <w:trHeight w:val="284" w:hRule="atLeast"/>
        </w:trPr>
        <w:tc>
          <w:tcPr>
            <w:tcW w:w="284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Daniel Reif, druhý podpredseda združenia</w:t>
            </w:r>
          </w:p>
        </w:tc>
      </w:tr>
      <w:tr>
        <w:trPr>
          <w:trHeight w:val="284" w:hRule="atLeast"/>
        </w:trPr>
        <w:tc>
          <w:tcPr>
            <w:tcW w:w="2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Dozorný orgán: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(Revízor)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color w:val="00000A"/>
                <w:sz w:val="16"/>
                <w:szCs w:val="16"/>
              </w:rPr>
              <w:t>Eva Šatanová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W w:w="9802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2831"/>
        <w:gridCol w:w="6970"/>
      </w:tblGrid>
      <w:tr>
        <w:trPr>
          <w:trHeight w:val="284" w:hRule="atLeast"/>
        </w:trPr>
        <w:tc>
          <w:tcPr>
            <w:tcW w:w="283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Hlavná činnosť:</w:t>
            </w:r>
          </w:p>
        </w:tc>
        <w:tc>
          <w:tcPr>
            <w:tcW w:w="6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Rozvoj a ochrana duchovných a kultúrnych hodnôt</w:t>
            </w:r>
          </w:p>
        </w:tc>
      </w:tr>
      <w:tr>
        <w:trPr>
          <w:trHeight w:val="284" w:hRule="atLeast"/>
        </w:trPr>
        <w:tc>
          <w:tcPr>
            <w:tcW w:w="283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Vykonávanie aktivít na poli kultúry</w:t>
            </w:r>
          </w:p>
        </w:tc>
      </w:tr>
      <w:tr>
        <w:trPr>
          <w:trHeight w:val="284" w:hRule="atLeast"/>
        </w:trPr>
        <w:tc>
          <w:tcPr>
            <w:tcW w:w="283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Výchovná a vzdelávacia činnosť pre mladých a talentovaných ľudí</w:t>
            </w:r>
          </w:p>
        </w:tc>
      </w:tr>
      <w:tr>
        <w:trPr>
          <w:trHeight w:val="284" w:hRule="atLeast"/>
        </w:trPr>
        <w:tc>
          <w:tcPr>
            <w:tcW w:w="283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Vzdelávacie aktivity realizované prostredníctvom workshopov</w:t>
            </w:r>
          </w:p>
        </w:tc>
      </w:tr>
      <w:tr>
        <w:trPr>
          <w:trHeight w:val="284" w:hRule="atLeast"/>
        </w:trPr>
        <w:tc>
          <w:tcPr>
            <w:tcW w:w="283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Spolupráca s inými občianskymi združeniami</w:t>
            </w:r>
          </w:p>
        </w:tc>
      </w:tr>
      <w:tr>
        <w:trPr>
          <w:trHeight w:val="284" w:hRule="atLeast"/>
        </w:trPr>
        <w:tc>
          <w:tcPr>
            <w:tcW w:w="28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Podnikateľská činnosť:</w:t>
            </w:r>
          </w:p>
        </w:tc>
        <w:tc>
          <w:tcPr>
            <w:tcW w:w="6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nevykonáva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>
      <w:pPr>
        <w:pStyle w:val="Normal"/>
        <w:spacing w:lineRule="auto" w:line="240" w:before="0" w:after="120"/>
        <w:ind w:firstLine="36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 ods. 4  o počte zamestnancov a dobrovoľníkov:</w:t>
      </w:r>
    </w:p>
    <w:tbl>
      <w:tblPr>
        <w:tblW w:w="4850" w:type="pct"/>
        <w:jc w:val="left"/>
        <w:tblInd w:w="10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432"/>
        <w:gridCol w:w="2613"/>
        <w:gridCol w:w="2633"/>
      </w:tblGrid>
      <w:tr>
        <w:trPr>
          <w:trHeight w:val="205" w:hRule="atLeast"/>
        </w:trPr>
        <w:tc>
          <w:tcPr>
            <w:tcW w:w="44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</w:tcPr>
          <w:p>
            <w:pPr>
              <w:pStyle w:val="Textopatrenia"/>
              <w:spacing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6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6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>
        <w:trPr>
          <w:trHeight w:val="205" w:hRule="atLeast"/>
        </w:trPr>
        <w:tc>
          <w:tcPr>
            <w:tcW w:w="44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26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6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05" w:hRule="atLeast"/>
        </w:trPr>
        <w:tc>
          <w:tcPr>
            <w:tcW w:w="44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26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6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05" w:hRule="atLeast"/>
        </w:trPr>
        <w:tc>
          <w:tcPr>
            <w:tcW w:w="44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6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6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05" w:hRule="atLeast"/>
        </w:trPr>
        <w:tc>
          <w:tcPr>
            <w:tcW w:w="44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6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6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Občianske združenie FALANGIR nezamestnávalo v priebehu účtovného obdobia zamestnancov. </w:t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 o organizáciách v zriaďovateľskej pôsobnosti účtovnej jednotky.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Občianske združenie FALANGIR nie je zriaďovateľom žiadnej inej účtovnej jednotky. </w:t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Údaje podľa čl. I, III a IV  sa uvádzajú v textovej podobe a tabuľkovej podobe. 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II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200"/>
        <w:jc w:val="center"/>
        <w:outlineLvl w:val="1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účtovných zásadách a účtovných metódach</w:t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Účtovná jednotka predpokladá pokračovať vo svojej činnosti aj v nasledujúcom účtovnom období.</w:t>
        <w:tab/>
        <w:t xml:space="preserve"> </w:t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  <w:t xml:space="preserve">Občianske združenie FALANGIR nezmenilo v priebehu účtovného obdobia účtovné metódy a ani účtovné zásady. 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  <w:t xml:space="preserve">Nenastali žiadne iné zmeny účtovných zásad a účtovných metód. 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Spôsob oceňovania jednotlivých položiek majetku a záväzkov v členení na</w:t>
      </w:r>
    </w:p>
    <w:tbl>
      <w:tblPr>
        <w:tblW w:w="9753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6264"/>
        <w:gridCol w:w="3488"/>
      </w:tblGrid>
      <w:tr>
        <w:trPr>
          <w:trHeight w:val="251" w:hRule="atLeast"/>
        </w:trPr>
        <w:tc>
          <w:tcPr>
            <w:tcW w:w="6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Majetok a záväzky</w:t>
            </w:r>
          </w:p>
        </w:tc>
        <w:tc>
          <w:tcPr>
            <w:tcW w:w="3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Spôsob oceňovania</w:t>
            </w:r>
          </w:p>
        </w:tc>
      </w:tr>
      <w:tr>
        <w:trPr>
          <w:trHeight w:val="251" w:hRule="atLeast"/>
        </w:trPr>
        <w:tc>
          <w:tcPr>
            <w:tcW w:w="6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3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51" w:hRule="atLeast"/>
        </w:trPr>
        <w:tc>
          <w:tcPr>
            <w:tcW w:w="6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3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51" w:hRule="atLeast"/>
        </w:trPr>
        <w:tc>
          <w:tcPr>
            <w:tcW w:w="6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3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51" w:hRule="atLeast"/>
        </w:trPr>
        <w:tc>
          <w:tcPr>
            <w:tcW w:w="6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3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51" w:hRule="atLeast"/>
        </w:trPr>
        <w:tc>
          <w:tcPr>
            <w:tcW w:w="6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3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51" w:hRule="atLeast"/>
        </w:trPr>
        <w:tc>
          <w:tcPr>
            <w:tcW w:w="6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dlhodobý hmotný majetok obstaraný iným spôsobom - darom</w:t>
            </w:r>
          </w:p>
        </w:tc>
        <w:tc>
          <w:tcPr>
            <w:tcW w:w="3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51" w:hRule="atLeast"/>
        </w:trPr>
        <w:tc>
          <w:tcPr>
            <w:tcW w:w="6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3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51" w:hRule="atLeast"/>
        </w:trPr>
        <w:tc>
          <w:tcPr>
            <w:tcW w:w="6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3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Neboli obstarané</w:t>
            </w:r>
          </w:p>
        </w:tc>
      </w:tr>
      <w:tr>
        <w:trPr>
          <w:trHeight w:val="251" w:hRule="atLeast"/>
        </w:trPr>
        <w:tc>
          <w:tcPr>
            <w:tcW w:w="6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3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Neboli vytvorené</w:t>
            </w:r>
          </w:p>
        </w:tc>
      </w:tr>
      <w:tr>
        <w:trPr>
          <w:trHeight w:val="251" w:hRule="atLeast"/>
        </w:trPr>
        <w:tc>
          <w:tcPr>
            <w:tcW w:w="6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3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Neboli obstarané</w:t>
            </w:r>
          </w:p>
        </w:tc>
      </w:tr>
      <w:tr>
        <w:trPr>
          <w:trHeight w:val="251" w:hRule="atLeast"/>
        </w:trPr>
        <w:tc>
          <w:tcPr>
            <w:tcW w:w="6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3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  <w:tr>
        <w:trPr>
          <w:trHeight w:val="251" w:hRule="atLeast"/>
        </w:trPr>
        <w:tc>
          <w:tcPr>
            <w:tcW w:w="6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3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  <w:tr>
        <w:trPr>
          <w:trHeight w:val="251" w:hRule="atLeast"/>
        </w:trPr>
        <w:tc>
          <w:tcPr>
            <w:tcW w:w="6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3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  <w:tr>
        <w:trPr>
          <w:trHeight w:val="251" w:hRule="atLeast"/>
        </w:trPr>
        <w:tc>
          <w:tcPr>
            <w:tcW w:w="6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3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  <w:tr>
        <w:trPr>
          <w:trHeight w:val="251" w:hRule="atLeast"/>
        </w:trPr>
        <w:tc>
          <w:tcPr>
            <w:tcW w:w="6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3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  <w:tr>
        <w:trPr>
          <w:trHeight w:val="251" w:hRule="atLeast"/>
        </w:trPr>
        <w:tc>
          <w:tcPr>
            <w:tcW w:w="6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deriváty</w:t>
            </w:r>
          </w:p>
        </w:tc>
        <w:tc>
          <w:tcPr>
            <w:tcW w:w="3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  <w:tr>
        <w:trPr>
          <w:trHeight w:val="251" w:hRule="atLeast"/>
        </w:trPr>
        <w:tc>
          <w:tcPr>
            <w:tcW w:w="6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3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  <w:tr>
        <w:trPr>
          <w:trHeight w:val="251" w:hRule="atLeast"/>
        </w:trPr>
        <w:tc>
          <w:tcPr>
            <w:tcW w:w="6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3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Spôsob zostavenia odpisového plánu pre jednotlivé druhy dlhodobého hmotného majetku  a dlhodobého nehmotného majetku, pričom sa uvádza doba odpisovania, použité sadzby odpisov a odpisové metódy pri určení účtovných odpisov. 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Netýka sa občianskeho združenia FALANGIR</w:t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Zásady pre zohľadnenie zníženia hodnoty majetku – účtovná jednotka uplatňuje: 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Netýka sa občianskeho združenia FALANGIR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III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dopĺňajú a vysvetľujú údaje v súvahe</w:t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dlhodobom nehmotnom majetku a dlhodobom hmotnom majetku za bežné účtovné obdobie: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  o stave a pohybe dlhodobého nehmotného majetku a dlhodobého hmotného majetku: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Netýka sa občianskeho združenia FALANGIR</w:t>
      </w:r>
    </w:p>
    <w:p>
      <w:pPr>
        <w:pStyle w:val="Normal"/>
        <w:spacing w:lineRule="auto" w:line="24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/>
      </w:pPr>
      <w:r>
        <w:rPr>
          <w:sz w:val="18"/>
          <w:szCs w:val="18"/>
        </w:rPr>
        <w:t>Prehľad dlhodobého majetku, na ktorý je zriadené záložné právo a dlhodobého majetku, pri ktorom má účtovná jednotka obmedzené právo s ním nakladať: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  <w:t xml:space="preserve">Občianske združenie FALANGIR nedisponuje s dlhodobým majetkom, na ktorý je zriadené záložné právo, resp. pri ktorom má účtovná jednotka obmedzené právo s ním nakladať. 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spôsobe a výške poistenia dlhodobého nehmotného majetku a dlhodobého hmotného majetku.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Občianske združenie FALANGIR plánuje realizovať svoju činnosť v prenajatých priestoroch, poistenie nehnuteľnosti bude súčasťou nájomného. </w:t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Občianske združenie FALANGIR neúčtuje o dlhodobom finančnom majetku. </w:t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 o výške tvorby, zníženia a zúčtovania opravných položiek k dlhodobému finančnému majetku a opis dôvodu ich tvorby, zníženia a zúčtovania.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  <w:t>Občianske združenie FALANGIR neúčtovalo o opravnej položke k dlhodobému finančnému majetku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 významných položkách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6  o položkách krátkodobého finančného majetku</w:t>
      </w:r>
    </w:p>
    <w:tbl>
      <w:tblPr>
        <w:tblW w:w="10185" w:type="dxa"/>
        <w:jc w:val="left"/>
        <w:tblInd w:w="-14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260"/>
        <w:gridCol w:w="3449"/>
        <w:gridCol w:w="3476"/>
      </w:tblGrid>
      <w:tr>
        <w:trPr>
          <w:trHeight w:val="228" w:hRule="atLeast"/>
        </w:trPr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34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 konci bežného účtovného obdobia</w:t>
            </w:r>
          </w:p>
        </w:tc>
        <w:tc>
          <w:tcPr>
            <w:tcW w:w="34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 konci bezprostredne predchádzajúceho účtovného obdobia</w:t>
            </w:r>
          </w:p>
        </w:tc>
      </w:tr>
      <w:tr>
        <w:trPr>
          <w:trHeight w:val="228" w:hRule="atLeast"/>
        </w:trPr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Pokladnica</w:t>
            </w:r>
          </w:p>
        </w:tc>
        <w:tc>
          <w:tcPr>
            <w:tcW w:w="34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58,00</w:t>
            </w:r>
          </w:p>
        </w:tc>
        <w:tc>
          <w:tcPr>
            <w:tcW w:w="34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58</w:t>
            </w:r>
          </w:p>
        </w:tc>
      </w:tr>
      <w:tr>
        <w:trPr>
          <w:trHeight w:val="228" w:hRule="atLeast"/>
        </w:trPr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Ceniny</w:t>
            </w:r>
          </w:p>
        </w:tc>
        <w:tc>
          <w:tcPr>
            <w:tcW w:w="34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4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28" w:hRule="atLeast"/>
        </w:trPr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bankové účty</w:t>
            </w:r>
          </w:p>
        </w:tc>
        <w:tc>
          <w:tcPr>
            <w:tcW w:w="34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2350,79</w:t>
            </w:r>
          </w:p>
        </w:tc>
        <w:tc>
          <w:tcPr>
            <w:tcW w:w="34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3533,22</w:t>
            </w:r>
          </w:p>
        </w:tc>
      </w:tr>
      <w:tr>
        <w:trPr>
          <w:trHeight w:val="228" w:hRule="atLeast"/>
        </w:trPr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4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4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28" w:hRule="atLeast"/>
        </w:trPr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Peniaze na ceste</w:t>
            </w:r>
          </w:p>
        </w:tc>
        <w:tc>
          <w:tcPr>
            <w:tcW w:w="34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4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28" w:hRule="atLeast"/>
        </w:trPr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4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2408,79</w:t>
            </w:r>
          </w:p>
        </w:tc>
        <w:tc>
          <w:tcPr>
            <w:tcW w:w="34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4107,30</w:t>
            </w:r>
          </w:p>
        </w:tc>
      </w:tr>
    </w:tbl>
    <w:p>
      <w:pPr>
        <w:pStyle w:val="Normal"/>
        <w:spacing w:lineRule="auto" w:line="240" w:before="0" w:after="12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Netýka sa občianskeho združenia FALANGIR</w:t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Opis významných pohľadávok v nadväznosti na položky súvahy a v členení na pohľadávky za hlavnú činnosť a podnikateľskú činnosť.</w:t>
      </w:r>
    </w:p>
    <w:tbl>
      <w:tblPr>
        <w:tblW w:w="5000" w:type="pct"/>
        <w:jc w:val="left"/>
        <w:tblInd w:w="-14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164"/>
        <w:gridCol w:w="4651"/>
        <w:gridCol w:w="2163"/>
      </w:tblGrid>
      <w:tr>
        <w:trPr>
          <w:trHeight w:val="284" w:hRule="atLeast"/>
        </w:trPr>
        <w:tc>
          <w:tcPr>
            <w:tcW w:w="31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Významné pohľadávky</w:t>
            </w:r>
          </w:p>
        </w:tc>
        <w:tc>
          <w:tcPr>
            <w:tcW w:w="46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Opis </w:t>
            </w:r>
          </w:p>
        </w:tc>
        <w:tc>
          <w:tcPr>
            <w:tcW w:w="21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31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n/a</w:t>
            </w:r>
          </w:p>
        </w:tc>
        <w:tc>
          <w:tcPr>
            <w:tcW w:w="46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1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highlight w:val="yellow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31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46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1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</w:tr>
    </w:tbl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9  o vývoji opravných položiek k pohľadávkam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  <w:t xml:space="preserve">Občianske združenie FALANGIR neúčtovalo o opravných položkách k pohľadávkam v priebehu účtovného obdobia. 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 pohľadávok do lehoty splatnosti a po lehote splatnosti.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jc w:val="left"/>
        <w:tblInd w:w="-14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910"/>
        <w:gridCol w:w="2931"/>
        <w:gridCol w:w="3137"/>
      </w:tblGrid>
      <w:tr>
        <w:trPr>
          <w:trHeight w:val="284" w:hRule="atLeast"/>
        </w:trPr>
        <w:tc>
          <w:tcPr>
            <w:tcW w:w="3910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06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3910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3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48" w:hRule="atLeast"/>
        </w:trPr>
        <w:tc>
          <w:tcPr>
            <w:tcW w:w="39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2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39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2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39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2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highlight w:val="yellow"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3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významných položiek časového rozlíšenia nákladov budúcich období a príjmov budúcich období.</w:t>
      </w:r>
    </w:p>
    <w:tbl>
      <w:tblPr>
        <w:tblW w:w="5000" w:type="pct"/>
        <w:jc w:val="left"/>
        <w:tblInd w:w="-14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931"/>
        <w:gridCol w:w="4889"/>
        <w:gridCol w:w="2158"/>
      </w:tblGrid>
      <w:tr>
        <w:trPr>
          <w:trHeight w:val="284" w:hRule="atLeast"/>
        </w:trPr>
        <w:tc>
          <w:tcPr>
            <w:tcW w:w="2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48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</w:t>
            </w:r>
          </w:p>
        </w:tc>
        <w:tc>
          <w:tcPr>
            <w:tcW w:w="2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2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bCs/>
                <w:sz w:val="16"/>
                <w:szCs w:val="16"/>
              </w:rPr>
              <w:t>381</w:t>
            </w:r>
          </w:p>
        </w:tc>
        <w:tc>
          <w:tcPr>
            <w:tcW w:w="48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Náklady roku 2023,2024 doména</w:t>
            </w:r>
          </w:p>
        </w:tc>
        <w:tc>
          <w:tcPr>
            <w:tcW w:w="2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59,80</w:t>
            </w:r>
          </w:p>
        </w:tc>
      </w:tr>
    </w:tbl>
    <w:p>
      <w:pPr>
        <w:pStyle w:val="Normal"/>
        <w:numPr>
          <w:ilvl w:val="0"/>
          <w:numId w:val="5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 xml:space="preserve">Opis a výška zmien vlastných zdrojov krytia neobežného majetku a obežného majetku podľa položiek súvahy za bežné účtovné obdobie, a to </w:t>
      </w:r>
    </w:p>
    <w:p>
      <w:pPr>
        <w:pStyle w:val="Normal"/>
        <w:numPr>
          <w:ilvl w:val="0"/>
          <w:numId w:val="7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>
      <w:pPr>
        <w:pStyle w:val="Normal"/>
        <w:spacing w:lineRule="auto" w:line="240"/>
        <w:rPr>
          <w:sz w:val="18"/>
          <w:szCs w:val="18"/>
        </w:rPr>
      </w:pPr>
      <w:r>
        <w:rPr>
          <w:sz w:val="18"/>
          <w:szCs w:val="18"/>
        </w:rPr>
        <w:t xml:space="preserve">Občianske združenie FALANGIR bolo zaregistrované Ministerstvom vnútra SR dňa 05.12.2019 pod registračným číslom VVS/1-900/90-57829. </w:t>
      </w:r>
    </w:p>
    <w:p>
      <w:pPr>
        <w:pStyle w:val="Normal"/>
        <w:numPr>
          <w:ilvl w:val="0"/>
          <w:numId w:val="7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>
      <w:pPr>
        <w:pStyle w:val="Normal"/>
        <w:spacing w:lineRule="auto" w:line="240" w:before="0" w:after="120"/>
        <w:rPr/>
      </w:pPr>
      <w:r>
        <w:rPr>
          <w:sz w:val="18"/>
          <w:szCs w:val="18"/>
        </w:rPr>
        <w:t>Občianske združenie FALANGIR neúčtovalo o opravách významných chýb minulého obdobia v priebehu účtovného obdobia 2022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12 o zmenách vlastných zdrojov krytia neobežného majetku a obežného majetku</w:t>
      </w:r>
      <w:r>
        <w:rPr>
          <w:i/>
          <w:iCs/>
          <w:sz w:val="18"/>
          <w:szCs w:val="18"/>
        </w:rPr>
        <w:t xml:space="preserve">    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i/>
          <w:iCs/>
          <w:sz w:val="18"/>
          <w:szCs w:val="18"/>
        </w:rPr>
      </w:r>
    </w:p>
    <w:tbl>
      <w:tblPr>
        <w:tblW w:w="4800" w:type="pct"/>
        <w:jc w:val="left"/>
        <w:tblInd w:w="-14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798"/>
        <w:gridCol w:w="1139"/>
        <w:gridCol w:w="1138"/>
        <w:gridCol w:w="1141"/>
        <w:gridCol w:w="1139"/>
        <w:gridCol w:w="1222"/>
      </w:tblGrid>
      <w:tr>
        <w:trPr>
          <w:trHeight w:val="21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Prírastky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(+)</w:t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Úbytky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(-)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Presuny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(+, -)</w:t>
            </w:r>
          </w:p>
        </w:tc>
        <w:tc>
          <w:tcPr>
            <w:tcW w:w="12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10" w:hRule="atLeast"/>
        </w:trPr>
        <w:tc>
          <w:tcPr>
            <w:tcW w:w="9577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</w:rPr>
              <w:t>Imanie a fondy</w:t>
            </w:r>
          </w:p>
        </w:tc>
      </w:tr>
      <w:tr>
        <w:trPr>
          <w:trHeight w:val="21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imanie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1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 toho: </w:t>
            </w:r>
          </w:p>
          <w:p>
            <w:pPr>
              <w:pStyle w:val="Normal"/>
              <w:numPr>
                <w:ilvl w:val="0"/>
                <w:numId w:val="8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1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numPr>
                <w:ilvl w:val="0"/>
                <w:numId w:val="8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vklady zakladateľov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1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numPr>
                <w:ilvl w:val="0"/>
                <w:numId w:val="8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prioritný majetok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1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1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 reprodukcie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1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10" w:hRule="atLeast"/>
        </w:trPr>
        <w:tc>
          <w:tcPr>
            <w:tcW w:w="9577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Fondy zo zisku</w:t>
            </w:r>
          </w:p>
        </w:tc>
      </w:tr>
      <w:tr>
        <w:trPr>
          <w:trHeight w:val="21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Rezervný fond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1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zo zisku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1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fondy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/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/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/>
            </w:r>
          </w:p>
        </w:tc>
      </w:tr>
      <w:tr>
        <w:trPr>
          <w:trHeight w:val="21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/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/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/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/>
            </w:r>
          </w:p>
        </w:tc>
        <w:tc>
          <w:tcPr>
            <w:tcW w:w="12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/>
            </w:r>
          </w:p>
        </w:tc>
      </w:tr>
      <w:tr>
        <w:trPr>
          <w:trHeight w:val="21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</w:t>
            </w:r>
            <w:r>
              <w:rPr>
                <w:sz w:val="16"/>
                <w:szCs w:val="16"/>
              </w:rPr>
              <w:t>506,29</w:t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-1122,63</w:t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</w:t>
            </w:r>
            <w:r>
              <w:rPr>
                <w:sz w:val="16"/>
                <w:szCs w:val="16"/>
              </w:rPr>
              <w:t>506,29</w:t>
            </w:r>
          </w:p>
        </w:tc>
        <w:tc>
          <w:tcPr>
            <w:tcW w:w="12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-1122,63</w:t>
            </w:r>
          </w:p>
        </w:tc>
      </w:tr>
      <w:tr>
        <w:trPr>
          <w:trHeight w:val="21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</w:t>
            </w:r>
            <w:r>
              <w:rPr>
                <w:sz w:val="16"/>
                <w:szCs w:val="16"/>
              </w:rPr>
              <w:t>506,29</w:t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-1122,63</w:t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</w:t>
            </w:r>
            <w:r>
              <w:rPr>
                <w:sz w:val="16"/>
                <w:szCs w:val="16"/>
              </w:rPr>
              <w:t>506,29</w:t>
            </w:r>
          </w:p>
        </w:tc>
        <w:tc>
          <w:tcPr>
            <w:tcW w:w="12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-1122,63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ind w:left="357" w:hanging="357"/>
        <w:rPr>
          <w:sz w:val="18"/>
          <w:szCs w:val="18"/>
        </w:rPr>
      </w:pPr>
      <w:r>
        <w:rPr>
          <w:sz w:val="18"/>
          <w:szCs w:val="18"/>
        </w:rPr>
        <w:t>Informácia o rozdelení účtovného zisku alebo vysporiadaní účtovnej straty vykázanej v minulých účtovných obdobiach.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13 o rozdelení účtovného zisku alebo vysporiadaní účtovnej straty</w:t>
      </w:r>
    </w:p>
    <w:tbl>
      <w:tblPr>
        <w:tblW w:w="3850" w:type="pct"/>
        <w:jc w:val="left"/>
        <w:tblInd w:w="-14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5436"/>
        <w:gridCol w:w="2246"/>
      </w:tblGrid>
      <w:tr>
        <w:trPr>
          <w:trHeight w:val="146" w:hRule="atLeast"/>
        </w:trPr>
        <w:tc>
          <w:tcPr>
            <w:tcW w:w="54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TopHeader"/>
              <w:rPr/>
            </w:pPr>
            <w:r>
              <w:rPr>
                <w:sz w:val="16"/>
                <w:szCs w:val="16"/>
              </w:rPr>
              <w:t>Názov položky</w:t>
            </w:r>
          </w:p>
        </w:tc>
        <w:tc>
          <w:tcPr>
            <w:tcW w:w="2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TopHeader"/>
              <w:rPr/>
            </w:pPr>
            <w:r>
              <w:rPr>
                <w:sz w:val="16"/>
                <w:szCs w:val="16"/>
              </w:rPr>
              <w:t>Bezprostredne predchádzajúce účtovné obdobie</w:t>
            </w:r>
          </w:p>
        </w:tc>
      </w:tr>
      <w:tr>
        <w:trPr>
          <w:trHeight w:val="146" w:hRule="atLeast"/>
        </w:trPr>
        <w:tc>
          <w:tcPr>
            <w:tcW w:w="54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  <w:color w:val="000000"/>
                <w:sz w:val="16"/>
                <w:szCs w:val="16"/>
              </w:rPr>
              <w:t>Účtovn</w:t>
            </w:r>
            <w:r>
              <w:rPr>
                <w:b/>
                <w:bCs/>
                <w:color w:val="000000"/>
                <w:sz w:val="16"/>
                <w:szCs w:val="16"/>
              </w:rPr>
              <w:t>á strata</w:t>
            </w:r>
          </w:p>
        </w:tc>
        <w:tc>
          <w:tcPr>
            <w:tcW w:w="2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506,29</w:t>
            </w:r>
          </w:p>
        </w:tc>
      </w:tr>
      <w:tr>
        <w:trPr>
          <w:trHeight w:val="146" w:hRule="atLeast"/>
        </w:trPr>
        <w:tc>
          <w:tcPr>
            <w:tcW w:w="768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  <w:color w:val="000000"/>
                <w:sz w:val="16"/>
                <w:szCs w:val="16"/>
              </w:rPr>
              <w:t>Rozdelenie účtovn</w:t>
            </w:r>
            <w:r>
              <w:rPr>
                <w:b/>
                <w:bCs/>
                <w:color w:val="000000"/>
                <w:sz w:val="16"/>
                <w:szCs w:val="16"/>
              </w:rPr>
              <w:t>ej straty</w:t>
            </w:r>
          </w:p>
        </w:tc>
      </w:tr>
      <w:tr>
        <w:trPr>
          <w:trHeight w:val="146" w:hRule="atLeast"/>
        </w:trPr>
        <w:tc>
          <w:tcPr>
            <w:tcW w:w="54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146" w:hRule="atLeast"/>
        </w:trPr>
        <w:tc>
          <w:tcPr>
            <w:tcW w:w="54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>Prídel do f</w:t>
            </w:r>
            <w:r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146" w:hRule="atLeast"/>
        </w:trPr>
        <w:tc>
          <w:tcPr>
            <w:tcW w:w="54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146" w:hRule="atLeast"/>
        </w:trPr>
        <w:tc>
          <w:tcPr>
            <w:tcW w:w="54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146" w:hRule="atLeast"/>
        </w:trPr>
        <w:tc>
          <w:tcPr>
            <w:tcW w:w="54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146" w:hRule="atLeast"/>
        </w:trPr>
        <w:tc>
          <w:tcPr>
            <w:tcW w:w="54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146" w:hRule="atLeast"/>
        </w:trPr>
        <w:tc>
          <w:tcPr>
            <w:tcW w:w="54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146" w:hRule="atLeast"/>
        </w:trPr>
        <w:tc>
          <w:tcPr>
            <w:tcW w:w="54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146" w:hRule="atLeast"/>
        </w:trPr>
        <w:tc>
          <w:tcPr>
            <w:tcW w:w="54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>Prevod  do n</w:t>
            </w:r>
            <w:r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506,29</w:t>
            </w:r>
          </w:p>
        </w:tc>
      </w:tr>
      <w:tr>
        <w:trPr>
          <w:trHeight w:val="146" w:hRule="atLeast"/>
        </w:trPr>
        <w:tc>
          <w:tcPr>
            <w:tcW w:w="54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numPr>
          <w:ilvl w:val="0"/>
          <w:numId w:val="5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Opis a výška cudzích zdrojov, a to</w:t>
      </w:r>
    </w:p>
    <w:p>
      <w:pPr>
        <w:pStyle w:val="Normal"/>
        <w:numPr>
          <w:ilvl w:val="0"/>
          <w:numId w:val="9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</w:t>
      </w:r>
    </w:p>
    <w:p>
      <w:pPr>
        <w:pStyle w:val="Normal"/>
        <w:spacing w:lineRule="auto" w:line="240" w:before="0" w:after="120"/>
        <w:ind w:left="360" w:hanging="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a) o  tvorbe a použití rezerv</w:t>
      </w:r>
    </w:p>
    <w:tbl>
      <w:tblPr>
        <w:tblW w:w="5000" w:type="pct"/>
        <w:jc w:val="lef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262"/>
        <w:gridCol w:w="1078"/>
        <w:gridCol w:w="1411"/>
        <w:gridCol w:w="1411"/>
        <w:gridCol w:w="1410"/>
        <w:gridCol w:w="1405"/>
      </w:tblGrid>
      <w:tr>
        <w:trPr>
          <w:trHeight w:val="284" w:hRule="atLeast"/>
        </w:trPr>
        <w:tc>
          <w:tcPr>
            <w:tcW w:w="3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rezervy</w:t>
            </w:r>
          </w:p>
        </w:tc>
        <w:tc>
          <w:tcPr>
            <w:tcW w:w="10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Tvorba rezerv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Použitie rezerv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Zrušenie alebo zníženie rezerv</w:t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3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0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0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Zákonné rezervy spolu</w:t>
            </w:r>
          </w:p>
        </w:tc>
        <w:tc>
          <w:tcPr>
            <w:tcW w:w="10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  <w:highlight w:val="yellow"/>
              </w:rPr>
            </w:pPr>
            <w:r>
              <w:rPr>
                <w:b/>
                <w:bCs/>
                <w:sz w:val="16"/>
                <w:szCs w:val="16"/>
                <w:highlight w:val="yellow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  <w:highlight w:val="yellow"/>
              </w:rPr>
            </w:pPr>
            <w:r>
              <w:rPr>
                <w:b/>
                <w:bCs/>
                <w:sz w:val="16"/>
                <w:szCs w:val="16"/>
                <w:highlight w:val="yellow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highlight w:val="yellow"/>
              </w:rPr>
            </w:pPr>
            <w:r>
              <w:rPr>
                <w:highlight w:val="yellow"/>
              </w:rPr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  <w:highlight w:val="yellow"/>
              </w:rPr>
            </w:pPr>
            <w:r>
              <w:rPr>
                <w:b/>
                <w:bCs/>
                <w:sz w:val="16"/>
                <w:szCs w:val="16"/>
                <w:highlight w:val="yellow"/>
              </w:rPr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  <w:highlight w:val="yellow"/>
              </w:rPr>
            </w:pPr>
            <w:r>
              <w:rPr>
                <w:b/>
                <w:bCs/>
                <w:sz w:val="16"/>
                <w:szCs w:val="16"/>
                <w:highlight w:val="yellow"/>
              </w:rPr>
            </w:r>
          </w:p>
        </w:tc>
      </w:tr>
      <w:tr>
        <w:trPr>
          <w:trHeight w:val="284" w:hRule="atLeast"/>
        </w:trPr>
        <w:tc>
          <w:tcPr>
            <w:tcW w:w="3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Rezerva na štatutárny audit</w:t>
            </w:r>
          </w:p>
        </w:tc>
        <w:tc>
          <w:tcPr>
            <w:tcW w:w="10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3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Rezerva na nevyčerpanú dovolenku vrát. odvodov</w:t>
            </w:r>
          </w:p>
        </w:tc>
        <w:tc>
          <w:tcPr>
            <w:tcW w:w="10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3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Ostatné rezervy spolu</w:t>
            </w:r>
          </w:p>
        </w:tc>
        <w:tc>
          <w:tcPr>
            <w:tcW w:w="10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3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Rezervy spolu</w:t>
            </w:r>
          </w:p>
        </w:tc>
        <w:tc>
          <w:tcPr>
            <w:tcW w:w="10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</w:tr>
    </w:tbl>
    <w:p>
      <w:pPr>
        <w:pStyle w:val="Normal"/>
        <w:numPr>
          <w:ilvl w:val="0"/>
          <w:numId w:val="9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údaje o významných položkách na účtoch 325 - Ostatné záväzky a 379 – Iné záväzky; uvádza sa začiatočný stav, prírastky, úbytky a konečný zostatok podľa jednotlivých druhov záväzkov,</w:t>
      </w:r>
    </w:p>
    <w:tbl>
      <w:tblPr>
        <w:tblW w:w="9921" w:type="dxa"/>
        <w:jc w:val="lef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393"/>
        <w:gridCol w:w="1336"/>
        <w:gridCol w:w="1357"/>
        <w:gridCol w:w="1559"/>
        <w:gridCol w:w="1276"/>
      </w:tblGrid>
      <w:tr>
        <w:trPr>
          <w:trHeight w:val="284" w:hRule="atLeast"/>
        </w:trPr>
        <w:tc>
          <w:tcPr>
            <w:tcW w:w="4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Konečný zostatok</w:t>
            </w:r>
          </w:p>
        </w:tc>
      </w:tr>
      <w:tr>
        <w:trPr>
          <w:trHeight w:val="284" w:hRule="atLeast"/>
        </w:trPr>
        <w:tc>
          <w:tcPr>
            <w:tcW w:w="4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n/a</w:t>
            </w:r>
          </w:p>
        </w:tc>
        <w:tc>
          <w:tcPr>
            <w:tcW w:w="1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4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Iné záväzky spolu</w:t>
            </w:r>
          </w:p>
        </w:tc>
        <w:tc>
          <w:tcPr>
            <w:tcW w:w="1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</w:tr>
    </w:tbl>
    <w:p>
      <w:pPr>
        <w:pStyle w:val="Normal"/>
        <w:numPr>
          <w:ilvl w:val="0"/>
          <w:numId w:val="9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 o výške záväzkov do lehoty splatnosti a po lehote splatnosti,</w:t>
      </w:r>
    </w:p>
    <w:tbl>
      <w:tblPr>
        <w:tblW w:w="9921" w:type="dxa"/>
        <w:jc w:val="lef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393"/>
        <w:gridCol w:w="2691"/>
        <w:gridCol w:w="2837"/>
      </w:tblGrid>
      <w:tr>
        <w:trPr>
          <w:trHeight w:val="284" w:hRule="atLeast"/>
        </w:trPr>
        <w:tc>
          <w:tcPr>
            <w:tcW w:w="4393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552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4393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6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4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do lehoty splatnosti</w:t>
            </w:r>
          </w:p>
        </w:tc>
        <w:tc>
          <w:tcPr>
            <w:tcW w:w="26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highlight w:val="yellow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2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4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26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2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4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Záväzky spolu</w:t>
            </w:r>
          </w:p>
        </w:tc>
        <w:tc>
          <w:tcPr>
            <w:tcW w:w="26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highlight w:val="yellow"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2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</w:tr>
    </w:tbl>
    <w:p>
      <w:pPr>
        <w:pStyle w:val="Normal"/>
        <w:spacing w:lineRule="auto" w:line="240" w:before="0" w:after="0"/>
        <w:ind w:left="363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9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 xml:space="preserve">prehľad o výške záväzkov podľa zostatkovej doby splatnosti v členení podľa položiek súvahy </w:t>
      </w:r>
    </w:p>
    <w:p>
      <w:pPr>
        <w:pStyle w:val="Normal"/>
        <w:spacing w:lineRule="auto" w:line="240" w:before="0" w:after="0"/>
        <w:ind w:left="72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120"/>
        <w:ind w:left="360" w:hanging="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c) a d) o záväzkoch</w:t>
      </w:r>
    </w:p>
    <w:tbl>
      <w:tblPr>
        <w:tblW w:w="5000" w:type="pct"/>
        <w:jc w:val="lef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981"/>
        <w:gridCol w:w="2496"/>
        <w:gridCol w:w="2501"/>
      </w:tblGrid>
      <w:tr>
        <w:trPr>
          <w:trHeight w:val="284" w:hRule="atLeast"/>
        </w:trPr>
        <w:tc>
          <w:tcPr>
            <w:tcW w:w="498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záväzkov</w:t>
            </w:r>
          </w:p>
        </w:tc>
        <w:tc>
          <w:tcPr>
            <w:tcW w:w="499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498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highlight w:val="yellow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</w:rPr>
            </w:pPr>
            <w:r>
              <w:rPr>
                <w:b/>
                <w:sz w:val="16"/>
                <w:szCs w:val="16"/>
              </w:rPr>
              <w:t>0,00</w:t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</w:rPr>
            </w:pPr>
            <w:r>
              <w:rPr>
                <w:b/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Krátkodobé a dlhodobé záväzky spolu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0,00</w:t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0,00</w:t>
            </w:r>
          </w:p>
        </w:tc>
      </w:tr>
    </w:tbl>
    <w:p>
      <w:pPr>
        <w:pStyle w:val="Normal"/>
        <w:numPr>
          <w:ilvl w:val="0"/>
          <w:numId w:val="9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>
      <w:pPr>
        <w:pStyle w:val="Normal"/>
        <w:spacing w:lineRule="auto" w:line="240" w:before="0" w:after="120"/>
        <w:ind w:left="360" w:hanging="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e) o vývoji sociálneho fondu</w:t>
      </w:r>
    </w:p>
    <w:tbl>
      <w:tblPr>
        <w:tblW w:w="5000" w:type="pct"/>
        <w:jc w:val="lef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721"/>
        <w:gridCol w:w="3147"/>
        <w:gridCol w:w="3110"/>
      </w:tblGrid>
      <w:tr>
        <w:trPr>
          <w:trHeight w:val="284" w:hRule="atLeast"/>
        </w:trPr>
        <w:tc>
          <w:tcPr>
            <w:tcW w:w="37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Sociálny fond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>
        <w:trPr>
          <w:trHeight w:val="284" w:hRule="atLeast"/>
        </w:trPr>
        <w:tc>
          <w:tcPr>
            <w:tcW w:w="37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k prvému dňu účtovného obdobia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highlight w:val="yellow"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3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37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 na ťarchu nákladov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37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 zo zisku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37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Čerpanie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37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3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</w:tr>
    </w:tbl>
    <w:p>
      <w:pPr>
        <w:pStyle w:val="Normal"/>
        <w:numPr>
          <w:ilvl w:val="0"/>
          <w:numId w:val="9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>
      <w:pPr>
        <w:pStyle w:val="Normal"/>
        <w:numPr>
          <w:ilvl w:val="0"/>
          <w:numId w:val="9"/>
        </w:numPr>
        <w:spacing w:lineRule="auto" w:line="240"/>
        <w:rPr/>
      </w:pPr>
      <w:r>
        <w:rPr>
          <w:sz w:val="18"/>
          <w:szCs w:val="18"/>
        </w:rPr>
        <w:t>prehľad o významných položkách časového rozlíšenia výdavkov budúcich období.</w:t>
      </w:r>
    </w:p>
    <w:p>
      <w:pPr>
        <w:pStyle w:val="Normal"/>
        <w:spacing w:lineRule="auto" w:line="240" w:before="0" w:after="0"/>
        <w:ind w:left="3" w:hanging="0"/>
        <w:rPr/>
      </w:pPr>
      <w:r>
        <w:rPr>
          <w:sz w:val="18"/>
          <w:szCs w:val="18"/>
        </w:rPr>
        <w:t>Organizácia eviduje položky na tomto účte časového rozlíšenia:59,80</w:t>
      </w:r>
    </w:p>
    <w:p>
      <w:pPr>
        <w:pStyle w:val="Normal"/>
        <w:spacing w:lineRule="auto" w:line="240" w:before="0" w:after="0"/>
        <w:ind w:left="3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60" w:hanging="357"/>
        <w:rPr>
          <w:sz w:val="18"/>
          <w:szCs w:val="18"/>
        </w:rPr>
      </w:pPr>
      <w:r>
        <w:rPr>
          <w:sz w:val="18"/>
          <w:szCs w:val="18"/>
        </w:rPr>
        <w:t xml:space="preserve">Prehľad o významných položkách výnosov budúcich období 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15 o významných položkách výnosov budúcich období</w:t>
      </w:r>
    </w:p>
    <w:tbl>
      <w:tblPr>
        <w:tblW w:w="10382" w:type="dxa"/>
        <w:jc w:val="lef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173"/>
        <w:gridCol w:w="1550"/>
        <w:gridCol w:w="1550"/>
        <w:gridCol w:w="1550"/>
        <w:gridCol w:w="1559"/>
      </w:tblGrid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n/a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obstaraného darom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highlight w:val="yellow"/>
              </w:rPr>
            </w:pPr>
            <w:r>
              <w:rPr>
                <w:highlight w:val="yellow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highlight w:val="yellow"/>
              </w:rPr>
            </w:pPr>
            <w:r>
              <w:rPr>
                <w:highlight w:val="yellow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highlight w:val="yellow"/>
              </w:rPr>
            </w:pPr>
            <w:r>
              <w:rPr>
                <w:highlight w:val="yellow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highlight w:val="yellow"/>
              </w:rPr>
            </w:pPr>
            <w:r>
              <w:rPr>
                <w:highlight w:val="yellow"/>
              </w:rPr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  <w:highlight w:val="yellow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  <w:highlight w:val="yellow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  <w:highlight w:val="yellow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  <w:highlight w:val="yellow"/>
              </w:rPr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  <w:highlight w:val="yellow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  <w:highlight w:val="yellow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  <w:highlight w:val="yellow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  <w:highlight w:val="yellow"/>
              </w:rPr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  <w:highlight w:val="yellow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  <w:highlight w:val="yellow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  <w:highlight w:val="yellow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  <w:highlight w:val="yellow"/>
              </w:rPr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  <w:highlight w:val="yellow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  <w:highlight w:val="yellow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  <w:highlight w:val="yellow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  <w:highlight w:val="yellow"/>
              </w:rPr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numPr>
          <w:ilvl w:val="0"/>
          <w:numId w:val="5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Údaje o majetku prenajatom formou finančného prenájmu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Organizácia nemá prenajatý dlhodobý finančný majetok formou finančného lízingu. 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r>
        <w:rPr>
          <w:b/>
          <w:bCs/>
        </w:rPr>
        <w:t>Čl. IV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</w:rPr>
      </w:pPr>
      <w:r>
        <w:rPr>
          <w:b/>
          <w:bCs/>
        </w:rPr>
        <w:t>Informácie, ktoré dopĺňajú a vysvetľujú údaje vo výkaze ziskov a strát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numPr>
          <w:ilvl w:val="0"/>
          <w:numId w:val="10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tbl>
      <w:tblPr>
        <w:tblW w:w="5000" w:type="pct"/>
        <w:jc w:val="right"/>
        <w:tblInd w:w="0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top w:w="0" w:type="dxa"/>
          <w:left w:w="-7" w:type="dxa"/>
          <w:bottom w:w="0" w:type="dxa"/>
          <w:right w:w="30" w:type="dxa"/>
        </w:tblCellMar>
        <w:tblLook w:firstRow="0" w:noVBand="0" w:lastRow="0" w:firstColumn="0" w:lastColumn="0" w:noHBand="0" w:val="0000"/>
      </w:tblPr>
      <w:tblGrid>
        <w:gridCol w:w="4025"/>
        <w:gridCol w:w="2973"/>
        <w:gridCol w:w="2980"/>
      </w:tblGrid>
      <w:tr>
        <w:trPr>
          <w:trHeight w:val="284" w:hRule="atLeast"/>
        </w:trPr>
        <w:tc>
          <w:tcPr>
            <w:tcW w:w="402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adpis3"/>
              <w:spacing w:before="0" w:after="0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cs="Arial Narrow" w:ascii="Arial Narrow" w:hAnsi="Arial Narrow"/>
                <w:sz w:val="16"/>
                <w:szCs w:val="16"/>
              </w:rPr>
              <w:t>Prehľad tržieb za vlastné výkony a služby, z toho</w:t>
            </w:r>
          </w:p>
        </w:tc>
        <w:tc>
          <w:tcPr>
            <w:tcW w:w="297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298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Podnikateľská činnosť</w:t>
            </w:r>
          </w:p>
        </w:tc>
      </w:tr>
      <w:tr>
        <w:trPr>
          <w:trHeight w:val="284" w:hRule="atLeast"/>
        </w:trPr>
        <w:tc>
          <w:tcPr>
            <w:tcW w:w="402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0"/>
                <w:sz w:val="16"/>
                <w:szCs w:val="16"/>
              </w:rPr>
              <w:t>služby</w:t>
            </w:r>
          </w:p>
        </w:tc>
        <w:tc>
          <w:tcPr>
            <w:tcW w:w="297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0"/>
                <w:sz w:val="16"/>
                <w:szCs w:val="16"/>
              </w:rPr>
              <w:t>650,00</w:t>
            </w:r>
          </w:p>
        </w:tc>
        <w:tc>
          <w:tcPr>
            <w:tcW w:w="298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0"/>
                <w:sz w:val="16"/>
                <w:szCs w:val="16"/>
              </w:rPr>
              <w:t>0,00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 xml:space="preserve">Opis a vyčíslenie hodnoty významných položiek prijatých darov, osobitných výnosov, zákonných poplatkov a iných ostatných výnosov. </w:t>
      </w:r>
    </w:p>
    <w:tbl>
      <w:tblPr>
        <w:tblW w:w="4900" w:type="pct"/>
        <w:jc w:val="lef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Sponzorské príspevky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7461,90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 dotácií a grantov, ktoré účtovná jednotka prijala v priebehu bežného účtovného obdobia.</w:t>
      </w:r>
    </w:p>
    <w:tbl>
      <w:tblPr>
        <w:tblW w:w="4900" w:type="pct"/>
        <w:jc w:val="lef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Prehľad dotácií a grantov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Mesto MA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1800,00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BSK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3300,00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Opis a suma významných položiek finančných výnosov; uvádza sa aj celková suma kurzových ziskov, pričom  osobitne sa uvádza hodnota kurzových ziskov účtovaná ku dňu, ku ktorému sa zostavuje účtovná závierka.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  <w:t xml:space="preserve">Organizácia nevykazuje významné položky finančných výnosov. 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 xml:space="preserve">Opis a vyčíslenie hodnoty významných položiek nákladov, nákladov na ostatné služby, osobitných nákladov a iných ostatných nákladov. </w:t>
      </w:r>
    </w:p>
    <w:tbl>
      <w:tblPr>
        <w:tblW w:w="4900" w:type="pct"/>
        <w:jc w:val="lef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Ostatné služby spolu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sz w:val="16"/>
                <w:szCs w:val="16"/>
              </w:rPr>
              <w:t>8840,37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Poplatky banke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i/>
                <w:sz w:val="16"/>
                <w:szCs w:val="16"/>
              </w:rPr>
              <w:t>232,60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i/>
                <w:sz w:val="16"/>
                <w:szCs w:val="16"/>
              </w:rPr>
              <w:t>spotreba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i/>
                <w:sz w:val="16"/>
                <w:szCs w:val="16"/>
              </w:rPr>
              <w:t>7103,56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i/>
                <w:sz w:val="16"/>
                <w:szCs w:val="16"/>
              </w:rPr>
              <w:t>repre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i/>
                <w:sz w:val="16"/>
                <w:szCs w:val="16"/>
              </w:rPr>
              <w:t>720,59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Iné ostatné náklady spolu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o účele a výške použitia podielu zaplatenej dane za bežné účtovné obdobie.</w:t>
      </w:r>
    </w:p>
    <w:p>
      <w:pPr>
        <w:pStyle w:val="Normal"/>
        <w:spacing w:lineRule="auto" w:line="240" w:before="0" w:after="120"/>
        <w:rPr>
          <w:b/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 xml:space="preserve">Tabuľka k čl. IV  ods. 6 o účele a výške použitia podielu zaplatenej dane    </w:t>
      </w:r>
    </w:p>
    <w:tbl>
      <w:tblPr>
        <w:tblW w:w="4900" w:type="pct"/>
        <w:jc w:val="lef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804"/>
        <w:gridCol w:w="2727"/>
        <w:gridCol w:w="0"/>
        <w:gridCol w:w="2247"/>
      </w:tblGrid>
      <w:tr>
        <w:trPr>
          <w:trHeight w:val="284" w:hRule="atLeast"/>
        </w:trPr>
        <w:tc>
          <w:tcPr>
            <w:tcW w:w="4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Účel použitia podielu zaplatenej dane</w:t>
            </w:r>
          </w:p>
        </w:tc>
        <w:tc>
          <w:tcPr>
            <w:tcW w:w="272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2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Použitá suma bežného účtovného obdobia</w:t>
            </w:r>
          </w:p>
        </w:tc>
      </w:tr>
      <w:tr>
        <w:trPr>
          <w:trHeight w:val="284" w:hRule="atLeast"/>
        </w:trPr>
        <w:tc>
          <w:tcPr>
            <w:tcW w:w="4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Materiál a služby</w:t>
            </w:r>
          </w:p>
        </w:tc>
        <w:tc>
          <w:tcPr>
            <w:tcW w:w="272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2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2562,59</w:t>
            </w:r>
          </w:p>
        </w:tc>
      </w:tr>
      <w:tr>
        <w:trPr>
          <w:trHeight w:val="284" w:hRule="atLeast"/>
        </w:trPr>
        <w:tc>
          <w:tcPr>
            <w:tcW w:w="4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/>
            </w:r>
          </w:p>
        </w:tc>
        <w:tc>
          <w:tcPr>
            <w:tcW w:w="272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2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753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224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Opis a suma významných položiek finančných nákladov; uvádza sa aj celková suma kurzových strát, pričom osobitne sa uvádza hodnota kurzových strát účtovaná ku dňu, ku ktorému sa zostavuje účtovná závierka.</w:t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  <w:t xml:space="preserve">Organizácia nevykazuje významné položky finančných nákladov. </w:t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V účtovnej jednotke, ktorá má povinnosť overenia účtovnej závierky audítorom, sa uvedie vymedzenie a suma nákladov za účtovné obdobie v členení na náklady za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overenie účtovnej závierky,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uisťovacie audítorské služby s výnimkou overenia účtovnej závierky,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súvisiace audítorské služby,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daňové poradenstvo,</w:t>
      </w:r>
    </w:p>
    <w:p>
      <w:pPr>
        <w:pStyle w:val="Normal"/>
        <w:numPr>
          <w:ilvl w:val="0"/>
          <w:numId w:val="11"/>
        </w:numPr>
        <w:spacing w:lineRule="auto" w:line="240" w:before="0" w:after="120"/>
        <w:ind w:left="720" w:hanging="357"/>
        <w:rPr>
          <w:sz w:val="18"/>
          <w:szCs w:val="18"/>
        </w:rPr>
      </w:pPr>
      <w:r>
        <w:rPr>
          <w:sz w:val="18"/>
          <w:szCs w:val="18"/>
        </w:rPr>
        <w:t>ostatné neaudítorské služby.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IV  ods. 8 o nákladoch vynaložených v súvislosti s auditom účtovnej závierky</w:t>
      </w:r>
    </w:p>
    <w:tbl>
      <w:tblPr>
        <w:tblW w:w="4900" w:type="pct"/>
        <w:jc w:val="lef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608"/>
        <w:gridCol w:w="3169"/>
      </w:tblGrid>
      <w:tr>
        <w:trPr>
          <w:trHeight w:val="284" w:hRule="atLeast"/>
        </w:trPr>
        <w:tc>
          <w:tcPr>
            <w:tcW w:w="66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Jednotlivé druhy nákladov za</w:t>
            </w:r>
          </w:p>
        </w:tc>
        <w:tc>
          <w:tcPr>
            <w:tcW w:w="31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6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31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66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1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r>
        <w:rPr>
          <w:b/>
          <w:bCs/>
        </w:rPr>
        <w:t>Čl. V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</w:rPr>
      </w:pPr>
      <w:r>
        <w:rPr>
          <w:b/>
          <w:bCs/>
        </w:rPr>
        <w:t>Opis údajov na podsúvahových účtoch</w:t>
      </w:r>
    </w:p>
    <w:p>
      <w:pPr>
        <w:pStyle w:val="Normal"/>
        <w:spacing w:lineRule="auto" w:line="240" w:before="0" w:after="0"/>
        <w:rPr/>
      </w:pPr>
      <w:r>
        <w:rPr>
          <w:sz w:val="18"/>
          <w:szCs w:val="18"/>
        </w:rPr>
        <w:t xml:space="preserve">Občianske združenie FALANGIR si plánuje prenajať nehnuteľnosť v priestoroch bývalých kasárni v Malackách. Tieto priestory plánuje využívať na poskytovanie svojich základných činností. 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r>
        <w:rPr>
          <w:b/>
          <w:bCs/>
        </w:rPr>
        <w:t>Čl. VI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</w:rPr>
      </w:pPr>
      <w:r>
        <w:rPr>
          <w:b/>
          <w:bCs/>
        </w:rPr>
        <w:t>Ďalšie informácie</w:t>
      </w:r>
    </w:p>
    <w:p>
      <w:pPr>
        <w:pStyle w:val="Textopatrenia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>
      <w:pPr>
        <w:pStyle w:val="Textopatrenia"/>
        <w:rPr>
          <w:sz w:val="18"/>
          <w:szCs w:val="18"/>
        </w:rPr>
      </w:pPr>
      <w:r>
        <w:rPr>
          <w:sz w:val="18"/>
          <w:szCs w:val="18"/>
        </w:rPr>
        <w:t>Účtovná jednotka nemá iné aktíva alebo pasíva, ktoré by nevykazovala v súvahe.</w:t>
      </w:r>
    </w:p>
    <w:p>
      <w:pPr>
        <w:pStyle w:val="Textopatrenia"/>
        <w:spacing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Textopatrenia"/>
        <w:numPr>
          <w:ilvl w:val="0"/>
          <w:numId w:val="12"/>
        </w:numPr>
        <w:spacing w:before="0" w:after="120"/>
        <w:ind w:left="357" w:hanging="357"/>
        <w:rPr>
          <w:sz w:val="18"/>
          <w:szCs w:val="18"/>
        </w:rPr>
      </w:pPr>
      <w:r>
        <w:rPr>
          <w:sz w:val="18"/>
          <w:szCs w:val="18"/>
        </w:rPr>
        <w:t>Opis a hodnota iných pasív vyplývajúcich zo súdnych rozhodnutí, z poskytnutých záruk, zo všeobecne záväzných právnych predpisov, z ručenia podľa jednotlivých druhov ručenia;  takýmito inými pasívami sú:</w:t>
      </w:r>
    </w:p>
    <w:p>
      <w:pPr>
        <w:pStyle w:val="Textopatrenia"/>
        <w:numPr>
          <w:ilvl w:val="0"/>
          <w:numId w:val="13"/>
        </w:numPr>
        <w:spacing w:before="0" w:after="120"/>
        <w:rPr>
          <w:sz w:val="18"/>
          <w:szCs w:val="18"/>
        </w:rPr>
      </w:pPr>
      <w:r>
        <w:rPr>
          <w:sz w:val="18"/>
          <w:szCs w:val="18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>
      <w:pPr>
        <w:pStyle w:val="Textopatrenia"/>
        <w:numPr>
          <w:ilvl w:val="0"/>
          <w:numId w:val="13"/>
        </w:numPr>
        <w:spacing w:before="0" w:after="120"/>
        <w:rPr>
          <w:sz w:val="18"/>
          <w:szCs w:val="18"/>
        </w:rPr>
      </w:pPr>
      <w:r>
        <w:rPr>
          <w:sz w:val="18"/>
          <w:szCs w:val="18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>
      <w:pPr>
        <w:pStyle w:val="Textopatrenia"/>
        <w:rPr>
          <w:sz w:val="18"/>
          <w:szCs w:val="18"/>
        </w:rPr>
      </w:pPr>
      <w:r>
        <w:rPr>
          <w:sz w:val="18"/>
          <w:szCs w:val="18"/>
        </w:rPr>
        <w:t>Účtovná jednotka nemá iné aktíva alebo pasíva, ktoré by nevykazovala v súvahe.</w:t>
      </w:r>
    </w:p>
    <w:p>
      <w:pPr>
        <w:pStyle w:val="Textopatrenia"/>
        <w:spacing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Textopatrenia"/>
        <w:numPr>
          <w:ilvl w:val="0"/>
          <w:numId w:val="12"/>
        </w:numPr>
        <w:spacing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>
      <w:pPr>
        <w:pStyle w:val="Textopatrenia"/>
        <w:numPr>
          <w:ilvl w:val="0"/>
          <w:numId w:val="14"/>
        </w:numPr>
        <w:spacing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povinnosť z devízových termínovaných obchodov a iných finančných derivátov,</w:t>
      </w:r>
    </w:p>
    <w:p>
      <w:pPr>
        <w:pStyle w:val="Textopatrenia"/>
        <w:numPr>
          <w:ilvl w:val="0"/>
          <w:numId w:val="14"/>
        </w:numPr>
        <w:spacing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povinnosť z opčných obchodov,</w:t>
      </w:r>
    </w:p>
    <w:p>
      <w:pPr>
        <w:pStyle w:val="Textopatrenia"/>
        <w:numPr>
          <w:ilvl w:val="0"/>
          <w:numId w:val="14"/>
        </w:numPr>
        <w:spacing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zákonná povinnosť alebo zmluvná povinnosť odobrať určité produkty alebo služby, napríklad z dodávateľských alebo odberateľských zmlúv,</w:t>
      </w:r>
    </w:p>
    <w:p>
      <w:pPr>
        <w:pStyle w:val="Textopatrenia"/>
        <w:numPr>
          <w:ilvl w:val="0"/>
          <w:numId w:val="14"/>
        </w:numPr>
        <w:spacing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povinnosť z leasingových, nájomných, servisných, poistných, koncesionárskych, licenčných zmlúv a podobných zmlúv,</w:t>
      </w:r>
    </w:p>
    <w:p>
      <w:pPr>
        <w:pStyle w:val="Textopatrenia"/>
        <w:numPr>
          <w:ilvl w:val="0"/>
          <w:numId w:val="14"/>
        </w:numPr>
        <w:spacing w:before="0" w:after="120"/>
        <w:ind w:left="720" w:hanging="357"/>
        <w:rPr>
          <w:sz w:val="18"/>
          <w:szCs w:val="18"/>
        </w:rPr>
      </w:pPr>
      <w:r>
        <w:rPr>
          <w:sz w:val="18"/>
          <w:szCs w:val="18"/>
        </w:rPr>
        <w:t xml:space="preserve">iné povinnosti. </w:t>
      </w:r>
    </w:p>
    <w:p>
      <w:pPr>
        <w:pStyle w:val="Textopatrenia"/>
        <w:rPr>
          <w:sz w:val="18"/>
          <w:szCs w:val="18"/>
        </w:rPr>
      </w:pPr>
      <w:r>
        <w:rPr>
          <w:sz w:val="18"/>
          <w:szCs w:val="18"/>
        </w:rPr>
        <w:t>Účtovná jednotka nemá ostatné finančné povinnosti, ktoré by nevykazovala v súvahe.</w:t>
      </w:r>
    </w:p>
    <w:p>
      <w:pPr>
        <w:pStyle w:val="Textopatrenia"/>
        <w:spacing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2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nehnuteľných kultúrnych pamiatok, ktoré sú v správe alebo vo vlastníctve účtovnej jednotky.</w:t>
      </w:r>
    </w:p>
    <w:p>
      <w:pPr>
        <w:pStyle w:val="Textopatrenia"/>
        <w:rPr>
          <w:sz w:val="18"/>
          <w:szCs w:val="18"/>
        </w:rPr>
      </w:pPr>
      <w:r>
        <w:rPr>
          <w:sz w:val="18"/>
          <w:szCs w:val="18"/>
        </w:rPr>
        <w:t>Účtovná jednotka nemá vo vlastníctve ani v správe žiadne kultúrne pamiatky.</w:t>
      </w:r>
    </w:p>
    <w:p>
      <w:pPr>
        <w:pStyle w:val="Normal"/>
        <w:numPr>
          <w:ilvl w:val="0"/>
          <w:numId w:val="12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Informácie o významných skutočnostiach, ktoré nastali medzi dňom, ku ktorému sa zostavuje účtovná závierka a dňom jej zostavenia.</w:t>
      </w:r>
    </w:p>
    <w:p>
      <w:pPr>
        <w:pStyle w:val="Textopatrenia"/>
        <w:spacing w:before="0" w:after="120"/>
        <w:ind w:left="3" w:hanging="0"/>
        <w:rPr/>
      </w:pPr>
      <w:r>
        <w:rPr>
          <w:sz w:val="18"/>
          <w:szCs w:val="18"/>
        </w:rPr>
        <w:t>Medzi dňom zostavenia účtovnej závierky a dňom, ku ktorému sa účtovná závierka zostavuje, nenastali žiadne iné významné skutočnosti, ktoré by mali významný vplyv na údaje vykázané v účtovnej závierke.</w:t>
      </w:r>
    </w:p>
    <w:p>
      <w:pPr>
        <w:pStyle w:val="Textopatrenia"/>
        <w:spacing w:before="0" w:after="0"/>
        <w:ind w:left="3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120"/>
        <w:ind w:left="3" w:hanging="0"/>
        <w:rPr/>
      </w:pPr>
      <w:r>
        <w:rPr/>
      </w:r>
    </w:p>
    <w:sectPr>
      <w:footerReference w:type="default" r:id="rId2"/>
      <w:type w:val="nextPage"/>
      <w:pgSz w:w="11906" w:h="16838"/>
      <w:pgMar w:left="964" w:right="964" w:header="0" w:top="1304" w:footer="454" w:bottom="1021" w:gutter="0"/>
      <w:pgNumType w:start="7" w:fmt="decimal"/>
      <w:formProt w:val="false"/>
      <w:textDirection w:val="lrTb"/>
      <w:docGrid w:type="default" w:linePitch="272" w:charSpace="20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spacing w:before="120" w:after="120"/>
      <w:jc w:val="right"/>
      <w:rPr/>
    </w:pPr>
    <w:r>
      <w:rPr/>
      <w:fldChar w:fldCharType="begin"/>
    </w:r>
    <w:r>
      <w:instrText> PAGE </w:instrText>
    </w:r>
    <w:r>
      <w:fldChar w:fldCharType="separate"/>
    </w:r>
    <w:r>
      <w:t>7</w:t>
    </w:r>
    <w:r>
      <w:fldChar w:fldCharType="end"/>
    </w:r>
  </w:p>
  <w:p>
    <w:pPr>
      <w:pStyle w:val="Pta"/>
      <w:tabs>
        <w:tab w:val="center" w:pos="4536" w:leader="none"/>
        <w:tab w:val="right" w:pos="9072" w:leader="none"/>
      </w:tabs>
      <w:spacing w:before="120" w:after="120"/>
      <w:rPr/>
    </w:pPr>
    <w:r>
      <w:rPr/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upperRoman"/>
      <w:suff w:val="nothing"/>
      <w:lvlText w:val="Čl. %1."/>
      <w:lvlJc w:val="center"/>
      <w:pPr>
        <w:ind w:left="0" w:hanging="0"/>
      </w:pPr>
      <w:rPr>
        <w:sz w:val="24"/>
        <w:i w:val="false"/>
        <w:b/>
        <w:szCs w:val="24"/>
        <w:iCs w:val="false"/>
        <w:bCs/>
        <w:rFonts w:cs="Arial"/>
      </w:r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i w:val="false"/>
        <w:b/>
        <w:iCs w:val="false"/>
        <w:bCs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sz w:val="16"/>
        <w:i w:val="false"/>
        <w:b w:val="false"/>
        <w:iCs w:val="false"/>
        <w:bCs w:val="false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sz w:val="18"/>
        <w:i w:val="false"/>
        <w:b w:val="false"/>
        <w:iCs w:val="false"/>
        <w:bCs w:val="false"/>
      </w:rPr>
    </w:lvl>
    <w:lvl w:ilvl="3">
      <w:start w:val="1"/>
      <w:numFmt w:val="none"/>
      <w:suff w:val="nothing"/>
      <w:lvlText w:val=""/>
      <w:lvlJc w:val="left"/>
      <w:pPr>
        <w:ind w:left="1440" w:hanging="360"/>
      </w:pPr>
    </w:lvl>
    <w:lvl w:ilvl="4">
      <w:start w:val="1"/>
      <w:numFmt w:val="none"/>
      <w:suff w:val="nothing"/>
      <w:lvlText w:val=""/>
      <w:lvlJc w:val="left"/>
      <w:pPr>
        <w:ind w:left="1800" w:hanging="360"/>
      </w:pPr>
    </w:lvl>
    <w:lvl w:ilvl="5">
      <w:start w:val="1"/>
      <w:numFmt w:val="none"/>
      <w:suff w:val="nothing"/>
      <w:lvlText w:val=""/>
      <w:lvlJc w:val="left"/>
      <w:pPr>
        <w:ind w:left="2160" w:hanging="360"/>
      </w:pPr>
    </w:lvl>
    <w:lvl w:ilvl="6">
      <w:start w:val="1"/>
      <w:numFmt w:val="none"/>
      <w:suff w:val="nothing"/>
      <w:lvlText w:val=""/>
      <w:lvlJc w:val="left"/>
      <w:pPr>
        <w:ind w:left="2520" w:hanging="360"/>
      </w:pPr>
    </w:lvl>
    <w:lvl w:ilvl="7">
      <w:start w:val="1"/>
      <w:numFmt w:val="none"/>
      <w:suff w:val="nothing"/>
      <w:lvlText w:val=""/>
      <w:lvlJc w:val="left"/>
      <w:pPr>
        <w:ind w:left="2880" w:hanging="360"/>
      </w:pPr>
    </w:lvl>
    <w:lvl w:ilvl="8">
      <w:start w:val="1"/>
      <w:numFmt w:val="none"/>
      <w:suff w:val="nothing"/>
      <w:lvlText w:val=""/>
      <w:lvlJc w:val="left"/>
      <w:pPr>
        <w:ind w:left="3240" w:hanging="360"/>
      </w:pPr>
    </w:lvl>
  </w:abstractNum>
  <w:abstractNum w:abstractNumId="5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16"/>
        <w:rFonts w:cs="Symbol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  <w:rFonts w:cs="Wingdings"/>
      </w:rPr>
    </w:lvl>
  </w:abstractNum>
  <w:abstractNum w:abstractNumId="9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lvl w:ilvl="0">
      <w:start w:val="1"/>
      <w:numFmt w:val="decimal"/>
      <w:lvlText w:val="(%1)"/>
      <w:lvlJc w:val="left"/>
      <w:pPr>
        <w:ind w:left="360" w:hanging="360"/>
      </w:pPr>
      <w:rPr>
        <w:sz w:val="18"/>
        <w:szCs w:val="16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</w:numbering>
</file>

<file path=word/settings.xml><?xml version="1.0" encoding="utf-8"?>
<w:settings xmlns:w="http://schemas.openxmlformats.org/wordprocessingml/2006/main">
  <w:zoom w:percent="170"/>
  <w:embedSystemFonts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szCs w:val="22"/>
        <w:lang w:val="sk-SK" w:eastAsia="sk-SK" w:bidi="ar-SA"/>
      </w:rPr>
    </w:rPrDefault>
    <w:pPrDefault>
      <w:pPr/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691dcc"/>
    <w:pPr>
      <w:widowControl/>
      <w:bidi w:val="0"/>
      <w:spacing w:lineRule="auto" w:line="360" w:before="120" w:after="120"/>
      <w:jc w:val="both"/>
    </w:pPr>
    <w:rPr>
      <w:rFonts w:ascii="Arial Narrow" w:hAnsi="Arial Narrow" w:eastAsia="Times New Roman" w:cs="Arial Narrow"/>
      <w:color w:val="00000A"/>
      <w:sz w:val="20"/>
      <w:szCs w:val="20"/>
      <w:lang w:val="sk-SK" w:eastAsia="cs-CZ" w:bidi="ar-SA"/>
    </w:rPr>
  </w:style>
  <w:style w:type="paragraph" w:styleId="Nadpis1">
    <w:name w:val="Heading 1"/>
    <w:basedOn w:val="Normal"/>
    <w:link w:val="Nadpis1Char"/>
    <w:uiPriority w:val="99"/>
    <w:qFormat/>
    <w:rsid w:val="00d440d5"/>
    <w:pPr>
      <w:keepNext/>
      <w:numPr>
        <w:ilvl w:val="0"/>
        <w:numId w:val="1"/>
      </w:numPr>
      <w:spacing w:lineRule="auto" w:line="240"/>
      <w:jc w:val="center"/>
      <w:outlineLvl w:val="0"/>
      <w:outlineLvl w:val="0"/>
    </w:pPr>
    <w:rPr>
      <w:rFonts w:ascii="Cambria" w:hAnsi="Cambria" w:cs="Cambria"/>
      <w:b/>
      <w:bCs/>
      <w:sz w:val="32"/>
      <w:szCs w:val="32"/>
    </w:rPr>
  </w:style>
  <w:style w:type="paragraph" w:styleId="Nadpis2">
    <w:name w:val="Heading 2"/>
    <w:basedOn w:val="Normal"/>
    <w:link w:val="Nadpis2Char"/>
    <w:uiPriority w:val="99"/>
    <w:qFormat/>
    <w:rsid w:val="00d440d5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al"/>
    <w:link w:val="Nadpis3Char"/>
    <w:uiPriority w:val="99"/>
    <w:qFormat/>
    <w:rsid w:val="00945816"/>
    <w:pPr>
      <w:keepNext/>
      <w:spacing w:lineRule="auto" w:line="240" w:before="240" w:after="60"/>
      <w:jc w:val="left"/>
      <w:outlineLvl w:val="2"/>
    </w:pPr>
    <w:rPr>
      <w:rFonts w:ascii="Arial" w:hAnsi="Arial" w:cs="Arial"/>
      <w:b/>
      <w:bCs/>
      <w:sz w:val="26"/>
      <w:szCs w:val="26"/>
      <w:lang w:val="cs-CZ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rsid w:val="00a02c03"/>
    <w:rPr>
      <w:rFonts w:ascii="Cambria" w:hAnsi="Cambria" w:cs="Cambria"/>
      <w:b/>
      <w:bCs/>
      <w:sz w:val="32"/>
      <w:szCs w:val="32"/>
      <w:lang w:eastAsia="cs-CZ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rsid w:val="00a02c03"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styleId="Nadpis3Char" w:customStyle="1">
    <w:name w:val="Nadpis 3 Char"/>
    <w:basedOn w:val="DefaultParagraphFont"/>
    <w:link w:val="Nadpis3"/>
    <w:uiPriority w:val="99"/>
    <w:qFormat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character" w:styleId="TltlnzovChar115ptAntiqueOliveNiejeTun" w:customStyle="1">
    <w:name w:val="Štýl Štýl § názov Char + 115 pt + Antique Olive Nie je Tučné"/>
    <w:uiPriority w:val="99"/>
    <w:qFormat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character" w:styleId="PtaChar" w:customStyle="1">
    <w:name w:val="Päta Char"/>
    <w:basedOn w:val="DefaultParagraphFont"/>
    <w:link w:val="Pta"/>
    <w:uiPriority w:val="99"/>
    <w:qFormat/>
    <w:rsid w:val="00a02c03"/>
    <w:rPr>
      <w:rFonts w:ascii="Arial" w:hAnsi="Arial" w:cs="Arial"/>
      <w:sz w:val="24"/>
      <w:szCs w:val="24"/>
      <w:lang w:eastAsia="cs-CZ"/>
    </w:rPr>
  </w:style>
  <w:style w:type="character" w:styleId="Pagenumber">
    <w:name w:val="page number"/>
    <w:basedOn w:val="DefaultParagraphFont"/>
    <w:uiPriority w:val="99"/>
    <w:qFormat/>
    <w:rsid w:val="0072048d"/>
    <w:rPr/>
  </w:style>
  <w:style w:type="character" w:styleId="Strong">
    <w:name w:val="Strong"/>
    <w:basedOn w:val="DefaultParagraphFont"/>
    <w:uiPriority w:val="99"/>
    <w:qFormat/>
    <w:rsid w:val="00db3c2d"/>
    <w:rPr>
      <w:b/>
      <w:bCs/>
    </w:rPr>
  </w:style>
  <w:style w:type="character" w:styleId="ZkladntextChar" w:customStyle="1">
    <w:name w:val="Základný text Char"/>
    <w:basedOn w:val="DefaultParagraphFont"/>
    <w:link w:val="Zkladntext"/>
    <w:uiPriority w:val="99"/>
    <w:qFormat/>
    <w:rsid w:val="00497323"/>
    <w:rPr>
      <w:rFonts w:ascii="Arial" w:hAnsi="Arial" w:cs="Arial"/>
      <w:sz w:val="24"/>
      <w:szCs w:val="24"/>
      <w:lang w:val="de-DE" w:eastAsia="cs-CZ"/>
    </w:rPr>
  </w:style>
  <w:style w:type="character" w:styleId="HlavikaChar" w:customStyle="1">
    <w:name w:val="Hlavička Char"/>
    <w:basedOn w:val="DefaultParagraphFont"/>
    <w:link w:val="Hlavika"/>
    <w:uiPriority w:val="99"/>
    <w:qFormat/>
    <w:rsid w:val="00804636"/>
    <w:rPr>
      <w:rFonts w:ascii="Arial Narrow" w:hAnsi="Arial Narrow" w:cs="Arial Narrow"/>
      <w:sz w:val="24"/>
      <w:szCs w:val="24"/>
      <w:lang w:eastAsia="cs-CZ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1058f5"/>
    <w:rPr>
      <w:rFonts w:ascii="Tahoma" w:hAnsi="Tahoma" w:cs="Tahoma"/>
      <w:sz w:val="16"/>
      <w:szCs w:val="16"/>
      <w:lang w:eastAsia="cs-CZ"/>
    </w:rPr>
  </w:style>
  <w:style w:type="character" w:styleId="ListLabel1" w:customStyle="1">
    <w:name w:val="ListLabel 1"/>
    <w:qFormat/>
    <w:rPr>
      <w:rFonts w:cs="Arial"/>
      <w:b/>
      <w:bCs/>
      <w:i w:val="false"/>
      <w:iCs w:val="false"/>
      <w:sz w:val="24"/>
      <w:szCs w:val="24"/>
    </w:rPr>
  </w:style>
  <w:style w:type="character" w:styleId="ListLabel2" w:customStyle="1">
    <w:name w:val="ListLabel 2"/>
    <w:qFormat/>
    <w:rPr>
      <w:b w:val="false"/>
      <w:bCs w:val="false"/>
      <w:i w:val="false"/>
      <w:iCs w:val="false"/>
    </w:rPr>
  </w:style>
  <w:style w:type="character" w:styleId="ListLabel3" w:customStyle="1">
    <w:name w:val="ListLabel 3"/>
    <w:qFormat/>
    <w:rPr>
      <w:rFonts w:cs="Arial"/>
      <w:b/>
      <w:bCs/>
      <w:i w:val="false"/>
      <w:iCs w:val="false"/>
      <w:sz w:val="24"/>
      <w:szCs w:val="24"/>
    </w:rPr>
  </w:style>
  <w:style w:type="character" w:styleId="ListLabel4" w:customStyle="1">
    <w:name w:val="ListLabel 4"/>
    <w:qFormat/>
    <w:rPr>
      <w:b w:val="false"/>
      <w:bCs w:val="false"/>
      <w:i w:val="false"/>
      <w:iCs w:val="false"/>
    </w:rPr>
  </w:style>
  <w:style w:type="character" w:styleId="ListLabel5" w:customStyle="1">
    <w:name w:val="ListLabel 5"/>
    <w:qFormat/>
    <w:rPr>
      <w:b/>
      <w:bCs/>
      <w:i w:val="false"/>
      <w:iCs w:val="false"/>
    </w:rPr>
  </w:style>
  <w:style w:type="character" w:styleId="ListLabel6" w:customStyle="1">
    <w:name w:val="ListLabel 6"/>
    <w:qFormat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7" w:customStyle="1">
    <w:name w:val="ListLabel 7"/>
    <w:qFormat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8" w:customStyle="1">
    <w:name w:val="ListLabel 8"/>
    <w:qFormat/>
    <w:rPr>
      <w:b/>
      <w:bCs/>
      <w:i w:val="false"/>
      <w:iCs w:val="false"/>
    </w:rPr>
  </w:style>
  <w:style w:type="character" w:styleId="ListLabel9" w:customStyle="1">
    <w:name w:val="ListLabel 9"/>
    <w:qFormat/>
    <w:rPr>
      <w:b w:val="false"/>
      <w:bCs w:val="false"/>
      <w:i w:val="false"/>
      <w:iCs w:val="false"/>
      <w:sz w:val="16"/>
    </w:rPr>
  </w:style>
  <w:style w:type="character" w:styleId="ListLabel10" w:customStyle="1">
    <w:name w:val="ListLabel 10"/>
    <w:qFormat/>
    <w:rPr>
      <w:b w:val="false"/>
      <w:bCs w:val="false"/>
      <w:i w:val="false"/>
      <w:iCs w:val="false"/>
      <w:sz w:val="18"/>
    </w:rPr>
  </w:style>
  <w:style w:type="character" w:styleId="ListLabel11" w:customStyle="1">
    <w:name w:val="ListLabel 11"/>
    <w:qFormat/>
    <w:rPr>
      <w:rFonts w:cs="Symbol"/>
      <w:b/>
      <w:sz w:val="16"/>
    </w:rPr>
  </w:style>
  <w:style w:type="character" w:styleId="ListLabel12" w:customStyle="1">
    <w:name w:val="ListLabel 12"/>
    <w:qFormat/>
    <w:rPr>
      <w:rFonts w:cs="Courier New"/>
    </w:rPr>
  </w:style>
  <w:style w:type="character" w:styleId="ListLabel13" w:customStyle="1">
    <w:name w:val="ListLabel 13"/>
    <w:qFormat/>
    <w:rPr>
      <w:rFonts w:cs="Wingdings"/>
    </w:rPr>
  </w:style>
  <w:style w:type="character" w:styleId="ListLabel14" w:customStyle="1">
    <w:name w:val="ListLabel 14"/>
    <w:qFormat/>
    <w:rPr>
      <w:rFonts w:cs="Symbol"/>
    </w:rPr>
  </w:style>
  <w:style w:type="character" w:styleId="ListLabel15" w:customStyle="1">
    <w:name w:val="ListLabel 15"/>
    <w:qFormat/>
    <w:rPr>
      <w:rFonts w:cs="Courier New"/>
    </w:rPr>
  </w:style>
  <w:style w:type="character" w:styleId="ListLabel16" w:customStyle="1">
    <w:name w:val="ListLabel 16"/>
    <w:qFormat/>
    <w:rPr>
      <w:rFonts w:cs="Wingdings"/>
    </w:rPr>
  </w:style>
  <w:style w:type="character" w:styleId="ListLabel17" w:customStyle="1">
    <w:name w:val="ListLabel 17"/>
    <w:qFormat/>
    <w:rPr>
      <w:rFonts w:cs="Symbol"/>
    </w:rPr>
  </w:style>
  <w:style w:type="character" w:styleId="ListLabel18" w:customStyle="1">
    <w:name w:val="ListLabel 18"/>
    <w:qFormat/>
    <w:rPr>
      <w:rFonts w:cs="Courier New"/>
    </w:rPr>
  </w:style>
  <w:style w:type="character" w:styleId="ListLabel19" w:customStyle="1">
    <w:name w:val="ListLabel 19"/>
    <w:qFormat/>
    <w:rPr>
      <w:rFonts w:cs="Wingdings"/>
    </w:rPr>
  </w:style>
  <w:style w:type="character" w:styleId="ListLabel20" w:customStyle="1">
    <w:name w:val="ListLabel 20"/>
    <w:qFormat/>
    <w:rPr>
      <w:rFonts w:cs="Symbol"/>
      <w:sz w:val="16"/>
    </w:rPr>
  </w:style>
  <w:style w:type="character" w:styleId="ListLabel21" w:customStyle="1">
    <w:name w:val="ListLabel 21"/>
    <w:qFormat/>
    <w:rPr>
      <w:rFonts w:cs="Courier New"/>
    </w:rPr>
  </w:style>
  <w:style w:type="character" w:styleId="ListLabel22" w:customStyle="1">
    <w:name w:val="ListLabel 22"/>
    <w:qFormat/>
    <w:rPr>
      <w:rFonts w:cs="Wingdings"/>
    </w:rPr>
  </w:style>
  <w:style w:type="character" w:styleId="ListLabel23" w:customStyle="1">
    <w:name w:val="ListLabel 23"/>
    <w:qFormat/>
    <w:rPr>
      <w:rFonts w:cs="Symbol"/>
    </w:rPr>
  </w:style>
  <w:style w:type="character" w:styleId="ListLabel24" w:customStyle="1">
    <w:name w:val="ListLabel 24"/>
    <w:qFormat/>
    <w:rPr>
      <w:rFonts w:cs="Courier New"/>
    </w:rPr>
  </w:style>
  <w:style w:type="character" w:styleId="ListLabel25" w:customStyle="1">
    <w:name w:val="ListLabel 25"/>
    <w:qFormat/>
    <w:rPr>
      <w:rFonts w:cs="Wingdings"/>
    </w:rPr>
  </w:style>
  <w:style w:type="character" w:styleId="ListLabel26" w:customStyle="1">
    <w:name w:val="ListLabel 26"/>
    <w:qFormat/>
    <w:rPr>
      <w:rFonts w:cs="Symbol"/>
    </w:rPr>
  </w:style>
  <w:style w:type="character" w:styleId="ListLabel27" w:customStyle="1">
    <w:name w:val="ListLabel 27"/>
    <w:qFormat/>
    <w:rPr>
      <w:rFonts w:cs="Courier New"/>
    </w:rPr>
  </w:style>
  <w:style w:type="character" w:styleId="ListLabel28" w:customStyle="1">
    <w:name w:val="ListLabel 28"/>
    <w:qFormat/>
    <w:rPr>
      <w:rFonts w:cs="Wingdings"/>
    </w:rPr>
  </w:style>
  <w:style w:type="character" w:styleId="ListLabel29" w:customStyle="1">
    <w:name w:val="ListLabel 29"/>
    <w:qFormat/>
    <w:rPr>
      <w:rFonts w:cs="Symbol"/>
      <w:sz w:val="16"/>
    </w:rPr>
  </w:style>
  <w:style w:type="character" w:styleId="ListLabel30" w:customStyle="1">
    <w:name w:val="ListLabel 30"/>
    <w:qFormat/>
    <w:rPr>
      <w:rFonts w:cs="Courier New"/>
    </w:rPr>
  </w:style>
  <w:style w:type="character" w:styleId="ListLabel31" w:customStyle="1">
    <w:name w:val="ListLabel 31"/>
    <w:qFormat/>
    <w:rPr>
      <w:rFonts w:cs="Wingdings"/>
    </w:rPr>
  </w:style>
  <w:style w:type="character" w:styleId="ListLabel32" w:customStyle="1">
    <w:name w:val="ListLabel 32"/>
    <w:qFormat/>
    <w:rPr>
      <w:rFonts w:cs="Symbol"/>
    </w:rPr>
  </w:style>
  <w:style w:type="character" w:styleId="ListLabel33" w:customStyle="1">
    <w:name w:val="ListLabel 33"/>
    <w:qFormat/>
    <w:rPr>
      <w:rFonts w:cs="Courier New"/>
    </w:rPr>
  </w:style>
  <w:style w:type="character" w:styleId="ListLabel34" w:customStyle="1">
    <w:name w:val="ListLabel 34"/>
    <w:qFormat/>
    <w:rPr>
      <w:rFonts w:cs="Wingdings"/>
    </w:rPr>
  </w:style>
  <w:style w:type="character" w:styleId="ListLabel35" w:customStyle="1">
    <w:name w:val="ListLabel 35"/>
    <w:qFormat/>
    <w:rPr>
      <w:rFonts w:cs="Symbol"/>
    </w:rPr>
  </w:style>
  <w:style w:type="character" w:styleId="ListLabel36" w:customStyle="1">
    <w:name w:val="ListLabel 36"/>
    <w:qFormat/>
    <w:rPr>
      <w:rFonts w:cs="Courier New"/>
    </w:rPr>
  </w:style>
  <w:style w:type="character" w:styleId="ListLabel37" w:customStyle="1">
    <w:name w:val="ListLabel 37"/>
    <w:qFormat/>
    <w:rPr>
      <w:rFonts w:cs="Wingdings"/>
    </w:rPr>
  </w:style>
  <w:style w:type="character" w:styleId="ListLabel38" w:customStyle="1">
    <w:name w:val="ListLabel 38"/>
    <w:qFormat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39" w:customStyle="1">
    <w:name w:val="ListLabel 39"/>
    <w:qFormat/>
    <w:rPr>
      <w:rFonts w:cs="Arial"/>
      <w:b/>
      <w:bCs/>
      <w:i w:val="false"/>
      <w:iCs w:val="false"/>
      <w:sz w:val="24"/>
      <w:szCs w:val="24"/>
    </w:rPr>
  </w:style>
  <w:style w:type="character" w:styleId="ListLabel40" w:customStyle="1">
    <w:name w:val="ListLabel 40"/>
    <w:qFormat/>
    <w:rPr>
      <w:b/>
      <w:bCs/>
      <w:i w:val="false"/>
      <w:iCs w:val="false"/>
    </w:rPr>
  </w:style>
  <w:style w:type="character" w:styleId="ListLabel41" w:customStyle="1">
    <w:name w:val="ListLabel 41"/>
    <w:qFormat/>
    <w:rPr>
      <w:b w:val="false"/>
      <w:bCs w:val="false"/>
      <w:i w:val="false"/>
      <w:iCs w:val="false"/>
      <w:sz w:val="16"/>
    </w:rPr>
  </w:style>
  <w:style w:type="character" w:styleId="ListLabel42" w:customStyle="1">
    <w:name w:val="ListLabel 42"/>
    <w:qFormat/>
    <w:rPr>
      <w:b w:val="false"/>
      <w:bCs w:val="false"/>
      <w:i w:val="false"/>
      <w:iCs w:val="false"/>
      <w:sz w:val="18"/>
    </w:rPr>
  </w:style>
  <w:style w:type="character" w:styleId="ListLabel43" w:customStyle="1">
    <w:name w:val="ListLabel 43"/>
    <w:qFormat/>
    <w:rPr>
      <w:rFonts w:cs="Symbol"/>
      <w:b/>
      <w:sz w:val="16"/>
    </w:rPr>
  </w:style>
  <w:style w:type="character" w:styleId="ListLabel44" w:customStyle="1">
    <w:name w:val="ListLabel 44"/>
    <w:qFormat/>
    <w:rPr>
      <w:rFonts w:cs="Courier New"/>
    </w:rPr>
  </w:style>
  <w:style w:type="character" w:styleId="ListLabel45" w:customStyle="1">
    <w:name w:val="ListLabel 45"/>
    <w:qFormat/>
    <w:rPr>
      <w:rFonts w:cs="Wingdings"/>
    </w:rPr>
  </w:style>
  <w:style w:type="character" w:styleId="ListLabel46" w:customStyle="1">
    <w:name w:val="ListLabel 46"/>
    <w:qFormat/>
    <w:rPr>
      <w:rFonts w:cs="Symbol"/>
    </w:rPr>
  </w:style>
  <w:style w:type="character" w:styleId="ListLabel47" w:customStyle="1">
    <w:name w:val="ListLabel 47"/>
    <w:qFormat/>
    <w:rPr>
      <w:rFonts w:cs="Courier New"/>
    </w:rPr>
  </w:style>
  <w:style w:type="character" w:styleId="ListLabel48" w:customStyle="1">
    <w:name w:val="ListLabel 48"/>
    <w:qFormat/>
    <w:rPr>
      <w:rFonts w:cs="Wingdings"/>
    </w:rPr>
  </w:style>
  <w:style w:type="character" w:styleId="ListLabel49" w:customStyle="1">
    <w:name w:val="ListLabel 49"/>
    <w:qFormat/>
    <w:rPr>
      <w:rFonts w:cs="Symbol"/>
    </w:rPr>
  </w:style>
  <w:style w:type="character" w:styleId="ListLabel50" w:customStyle="1">
    <w:name w:val="ListLabel 50"/>
    <w:qFormat/>
    <w:rPr>
      <w:rFonts w:cs="Courier New"/>
    </w:rPr>
  </w:style>
  <w:style w:type="character" w:styleId="ListLabel51" w:customStyle="1">
    <w:name w:val="ListLabel 51"/>
    <w:qFormat/>
    <w:rPr>
      <w:rFonts w:cs="Wingdings"/>
    </w:rPr>
  </w:style>
  <w:style w:type="character" w:styleId="ListLabel52" w:customStyle="1">
    <w:name w:val="ListLabel 52"/>
    <w:qFormat/>
    <w:rPr>
      <w:rFonts w:cs="Symbol"/>
      <w:sz w:val="16"/>
    </w:rPr>
  </w:style>
  <w:style w:type="character" w:styleId="ListLabel53" w:customStyle="1">
    <w:name w:val="ListLabel 53"/>
    <w:qFormat/>
    <w:rPr>
      <w:rFonts w:cs="Courier New"/>
    </w:rPr>
  </w:style>
  <w:style w:type="character" w:styleId="ListLabel54" w:customStyle="1">
    <w:name w:val="ListLabel 54"/>
    <w:qFormat/>
    <w:rPr>
      <w:rFonts w:cs="Wingdings"/>
    </w:rPr>
  </w:style>
  <w:style w:type="character" w:styleId="ListLabel55" w:customStyle="1">
    <w:name w:val="ListLabel 55"/>
    <w:qFormat/>
    <w:rPr>
      <w:rFonts w:cs="Symbol"/>
    </w:rPr>
  </w:style>
  <w:style w:type="character" w:styleId="ListLabel56" w:customStyle="1">
    <w:name w:val="ListLabel 56"/>
    <w:qFormat/>
    <w:rPr>
      <w:rFonts w:cs="Courier New"/>
    </w:rPr>
  </w:style>
  <w:style w:type="character" w:styleId="ListLabel57" w:customStyle="1">
    <w:name w:val="ListLabel 57"/>
    <w:qFormat/>
    <w:rPr>
      <w:rFonts w:cs="Wingdings"/>
    </w:rPr>
  </w:style>
  <w:style w:type="character" w:styleId="ListLabel58" w:customStyle="1">
    <w:name w:val="ListLabel 58"/>
    <w:qFormat/>
    <w:rPr>
      <w:rFonts w:cs="Symbol"/>
    </w:rPr>
  </w:style>
  <w:style w:type="character" w:styleId="ListLabel59" w:customStyle="1">
    <w:name w:val="ListLabel 59"/>
    <w:qFormat/>
    <w:rPr>
      <w:rFonts w:cs="Courier New"/>
    </w:rPr>
  </w:style>
  <w:style w:type="character" w:styleId="ListLabel60" w:customStyle="1">
    <w:name w:val="ListLabel 60"/>
    <w:qFormat/>
    <w:rPr>
      <w:rFonts w:cs="Wingdings"/>
    </w:rPr>
  </w:style>
  <w:style w:type="character" w:styleId="ListLabel61" w:customStyle="1">
    <w:name w:val="ListLabel 61"/>
    <w:qFormat/>
    <w:rPr>
      <w:rFonts w:cs="Symbol"/>
      <w:sz w:val="16"/>
    </w:rPr>
  </w:style>
  <w:style w:type="character" w:styleId="ListLabel62" w:customStyle="1">
    <w:name w:val="ListLabel 62"/>
    <w:qFormat/>
    <w:rPr>
      <w:rFonts w:cs="Courier New"/>
    </w:rPr>
  </w:style>
  <w:style w:type="character" w:styleId="ListLabel63" w:customStyle="1">
    <w:name w:val="ListLabel 63"/>
    <w:qFormat/>
    <w:rPr>
      <w:rFonts w:cs="Wingdings"/>
    </w:rPr>
  </w:style>
  <w:style w:type="character" w:styleId="ListLabel64" w:customStyle="1">
    <w:name w:val="ListLabel 64"/>
    <w:qFormat/>
    <w:rPr>
      <w:rFonts w:cs="Symbol"/>
    </w:rPr>
  </w:style>
  <w:style w:type="character" w:styleId="ListLabel65" w:customStyle="1">
    <w:name w:val="ListLabel 65"/>
    <w:qFormat/>
    <w:rPr>
      <w:rFonts w:cs="Courier New"/>
    </w:rPr>
  </w:style>
  <w:style w:type="character" w:styleId="ListLabel66" w:customStyle="1">
    <w:name w:val="ListLabel 66"/>
    <w:qFormat/>
    <w:rPr>
      <w:rFonts w:cs="Wingdings"/>
    </w:rPr>
  </w:style>
  <w:style w:type="character" w:styleId="ListLabel67" w:customStyle="1">
    <w:name w:val="ListLabel 67"/>
    <w:qFormat/>
    <w:rPr>
      <w:rFonts w:cs="Symbol"/>
    </w:rPr>
  </w:style>
  <w:style w:type="character" w:styleId="ListLabel68" w:customStyle="1">
    <w:name w:val="ListLabel 68"/>
    <w:qFormat/>
    <w:rPr>
      <w:rFonts w:cs="Courier New"/>
    </w:rPr>
  </w:style>
  <w:style w:type="character" w:styleId="ListLabel69" w:customStyle="1">
    <w:name w:val="ListLabel 69"/>
    <w:qFormat/>
    <w:rPr>
      <w:rFonts w:cs="Wingdings"/>
    </w:rPr>
  </w:style>
  <w:style w:type="character" w:styleId="ListLabel70">
    <w:name w:val="ListLabel 70"/>
    <w:qFormat/>
    <w:rPr>
      <w:rFonts w:cs="Arial"/>
      <w:b/>
      <w:bCs/>
      <w:i w:val="false"/>
      <w:iCs w:val="false"/>
      <w:sz w:val="24"/>
      <w:szCs w:val="24"/>
    </w:rPr>
  </w:style>
  <w:style w:type="character" w:styleId="ListLabel71">
    <w:name w:val="ListLabel 71"/>
    <w:qFormat/>
    <w:rPr>
      <w:b/>
      <w:bCs/>
      <w:i w:val="false"/>
      <w:iCs w:val="false"/>
    </w:rPr>
  </w:style>
  <w:style w:type="character" w:styleId="ListLabel72">
    <w:name w:val="ListLabel 72"/>
    <w:qFormat/>
    <w:rPr>
      <w:b w:val="false"/>
      <w:bCs w:val="false"/>
      <w:i w:val="false"/>
      <w:iCs w:val="false"/>
      <w:sz w:val="16"/>
    </w:rPr>
  </w:style>
  <w:style w:type="character" w:styleId="ListLabel73">
    <w:name w:val="ListLabel 73"/>
    <w:qFormat/>
    <w:rPr>
      <w:b w:val="false"/>
      <w:bCs w:val="false"/>
      <w:i w:val="false"/>
      <w:iCs w:val="false"/>
      <w:sz w:val="18"/>
    </w:rPr>
  </w:style>
  <w:style w:type="character" w:styleId="ListLabel74">
    <w:name w:val="ListLabel 74"/>
    <w:qFormat/>
    <w:rPr>
      <w:rFonts w:cs="Symbol"/>
      <w:b/>
      <w:sz w:val="16"/>
    </w:rPr>
  </w:style>
  <w:style w:type="character" w:styleId="ListLabel75">
    <w:name w:val="ListLabel 75"/>
    <w:qFormat/>
    <w:rPr>
      <w:rFonts w:cs="Courier New"/>
    </w:rPr>
  </w:style>
  <w:style w:type="character" w:styleId="ListLabel76">
    <w:name w:val="ListLabel 76"/>
    <w:qFormat/>
    <w:rPr>
      <w:rFonts w:cs="Wingdings"/>
    </w:rPr>
  </w:style>
  <w:style w:type="character" w:styleId="ListLabel77">
    <w:name w:val="ListLabel 77"/>
    <w:qFormat/>
    <w:rPr>
      <w:rFonts w:cs="Symbol"/>
    </w:rPr>
  </w:style>
  <w:style w:type="character" w:styleId="ListLabel78">
    <w:name w:val="ListLabel 78"/>
    <w:qFormat/>
    <w:rPr>
      <w:rFonts w:cs="Courier New"/>
    </w:rPr>
  </w:style>
  <w:style w:type="character" w:styleId="ListLabel79">
    <w:name w:val="ListLabel 79"/>
    <w:qFormat/>
    <w:rPr>
      <w:rFonts w:cs="Wingdings"/>
    </w:rPr>
  </w:style>
  <w:style w:type="character" w:styleId="ListLabel80">
    <w:name w:val="ListLabel 80"/>
    <w:qFormat/>
    <w:rPr>
      <w:rFonts w:cs="Symbol"/>
    </w:rPr>
  </w:style>
  <w:style w:type="character" w:styleId="ListLabel81">
    <w:name w:val="ListLabel 81"/>
    <w:qFormat/>
    <w:rPr>
      <w:rFonts w:cs="Courier New"/>
    </w:rPr>
  </w:style>
  <w:style w:type="character" w:styleId="ListLabel82">
    <w:name w:val="ListLabel 82"/>
    <w:qFormat/>
    <w:rPr>
      <w:rFonts w:cs="Wingdings"/>
    </w:rPr>
  </w:style>
  <w:style w:type="character" w:styleId="ListLabel83">
    <w:name w:val="ListLabel 83"/>
    <w:qFormat/>
    <w:rPr>
      <w:rFonts w:cs="Symbol"/>
      <w:sz w:val="16"/>
    </w:rPr>
  </w:style>
  <w:style w:type="character" w:styleId="ListLabel84">
    <w:name w:val="ListLabel 84"/>
    <w:qFormat/>
    <w:rPr>
      <w:rFonts w:cs="Courier New"/>
    </w:rPr>
  </w:style>
  <w:style w:type="character" w:styleId="ListLabel85">
    <w:name w:val="ListLabel 85"/>
    <w:qFormat/>
    <w:rPr>
      <w:rFonts w:cs="Wingdings"/>
    </w:rPr>
  </w:style>
  <w:style w:type="character" w:styleId="ListLabel86">
    <w:name w:val="ListLabel 86"/>
    <w:qFormat/>
    <w:rPr>
      <w:rFonts w:cs="Symbol"/>
    </w:rPr>
  </w:style>
  <w:style w:type="character" w:styleId="ListLabel87">
    <w:name w:val="ListLabel 87"/>
    <w:qFormat/>
    <w:rPr>
      <w:rFonts w:cs="Courier New"/>
    </w:rPr>
  </w:style>
  <w:style w:type="character" w:styleId="ListLabel88">
    <w:name w:val="ListLabel 88"/>
    <w:qFormat/>
    <w:rPr>
      <w:rFonts w:cs="Wingdings"/>
    </w:rPr>
  </w:style>
  <w:style w:type="character" w:styleId="ListLabel89">
    <w:name w:val="ListLabel 89"/>
    <w:qFormat/>
    <w:rPr>
      <w:rFonts w:cs="Symbol"/>
    </w:rPr>
  </w:style>
  <w:style w:type="character" w:styleId="ListLabel90">
    <w:name w:val="ListLabel 90"/>
    <w:qFormat/>
    <w:rPr>
      <w:rFonts w:cs="Courier New"/>
    </w:rPr>
  </w:style>
  <w:style w:type="character" w:styleId="ListLabel91">
    <w:name w:val="ListLabel 91"/>
    <w:qFormat/>
    <w:rPr>
      <w:rFonts w:cs="Wingdings"/>
    </w:rPr>
  </w:style>
  <w:style w:type="character" w:styleId="ListLabel92">
    <w:name w:val="ListLabel 92"/>
    <w:qFormat/>
    <w:rPr>
      <w:rFonts w:cs="Symbol"/>
      <w:sz w:val="16"/>
    </w:rPr>
  </w:style>
  <w:style w:type="character" w:styleId="ListLabel93">
    <w:name w:val="ListLabel 93"/>
    <w:qFormat/>
    <w:rPr>
      <w:rFonts w:cs="Courier New"/>
    </w:rPr>
  </w:style>
  <w:style w:type="character" w:styleId="ListLabel94">
    <w:name w:val="ListLabel 94"/>
    <w:qFormat/>
    <w:rPr>
      <w:rFonts w:cs="Wingdings"/>
    </w:rPr>
  </w:style>
  <w:style w:type="character" w:styleId="ListLabel95">
    <w:name w:val="ListLabel 95"/>
    <w:qFormat/>
    <w:rPr>
      <w:rFonts w:cs="Symbol"/>
    </w:rPr>
  </w:style>
  <w:style w:type="character" w:styleId="ListLabel96">
    <w:name w:val="ListLabel 96"/>
    <w:qFormat/>
    <w:rPr>
      <w:rFonts w:cs="Courier New"/>
    </w:rPr>
  </w:style>
  <w:style w:type="character" w:styleId="ListLabel97">
    <w:name w:val="ListLabel 97"/>
    <w:qFormat/>
    <w:rPr>
      <w:rFonts w:cs="Wingdings"/>
    </w:rPr>
  </w:style>
  <w:style w:type="character" w:styleId="ListLabel98">
    <w:name w:val="ListLabel 98"/>
    <w:qFormat/>
    <w:rPr>
      <w:rFonts w:cs="Symbol"/>
    </w:rPr>
  </w:style>
  <w:style w:type="character" w:styleId="ListLabel99">
    <w:name w:val="ListLabel 99"/>
    <w:qFormat/>
    <w:rPr>
      <w:rFonts w:cs="Courier New"/>
    </w:rPr>
  </w:style>
  <w:style w:type="character" w:styleId="ListLabel100">
    <w:name w:val="ListLabel 100"/>
    <w:qFormat/>
    <w:rPr>
      <w:rFonts w:cs="Wingdings"/>
    </w:rPr>
  </w:style>
  <w:style w:type="character" w:styleId="ListLabel101">
    <w:name w:val="ListLabel 101"/>
    <w:qFormat/>
    <w:rPr>
      <w:sz w:val="18"/>
      <w:szCs w:val="16"/>
    </w:rPr>
  </w:style>
  <w:style w:type="character" w:styleId="ListLabel102">
    <w:name w:val="ListLabel 102"/>
    <w:qFormat/>
    <w:rPr>
      <w:rFonts w:cs="Times New Roman"/>
      <w:b w:val="false"/>
      <w:bCs w:val="false"/>
      <w:i w:val="false"/>
      <w:iCs w:val="false"/>
      <w:caps w:val="false"/>
      <w:smallCaps w:val="false"/>
      <w:strike w:val="false"/>
      <w:dstrike w:val="false"/>
      <w:outline w:val="false"/>
      <w:shadow w:val="false"/>
      <w:emboss w:val="false"/>
      <w:imprint w:val="false"/>
      <w:vanish w:val="false"/>
      <w:color w:val="00000A"/>
      <w:spacing w:val="0"/>
      <w:w w:val="100"/>
      <w:position w:val="0"/>
      <w:sz w:val="24"/>
      <w:sz w:val="24"/>
      <w:szCs w:val="24"/>
      <w:u w:val="none" w:color="000000"/>
      <w:vertAlign w:val="baseline"/>
    </w:rPr>
  </w:style>
  <w:style w:type="character" w:styleId="ListLabel103">
    <w:name w:val="ListLabel 103"/>
    <w:qFormat/>
    <w:rPr>
      <w:rFonts w:cs="Times New Roman"/>
    </w:rPr>
  </w:style>
  <w:style w:type="character" w:styleId="ListLabel104">
    <w:name w:val="ListLabel 104"/>
    <w:qFormat/>
    <w:rPr>
      <w:rFonts w:cs="Times New Roman"/>
    </w:rPr>
  </w:style>
  <w:style w:type="character" w:styleId="ListLabel105">
    <w:name w:val="ListLabel 105"/>
    <w:qFormat/>
    <w:rPr>
      <w:rFonts w:cs="Times New Roman"/>
    </w:rPr>
  </w:style>
  <w:style w:type="character" w:styleId="ListLabel106">
    <w:name w:val="ListLabel 106"/>
    <w:qFormat/>
    <w:rPr>
      <w:rFonts w:cs="Times New Roman"/>
    </w:rPr>
  </w:style>
  <w:style w:type="character" w:styleId="ListLabel107">
    <w:name w:val="ListLabel 107"/>
    <w:qFormat/>
    <w:rPr>
      <w:rFonts w:cs="Times New Roman"/>
    </w:rPr>
  </w:style>
  <w:style w:type="character" w:styleId="ListLabel108">
    <w:name w:val="ListLabel 108"/>
    <w:qFormat/>
    <w:rPr>
      <w:rFonts w:cs="Times New Roman"/>
    </w:rPr>
  </w:style>
  <w:style w:type="character" w:styleId="ListLabel109">
    <w:name w:val="ListLabel 109"/>
    <w:qFormat/>
    <w:rPr>
      <w:rFonts w:cs="Times New Roman"/>
    </w:rPr>
  </w:style>
  <w:style w:type="character" w:styleId="ListLabel110">
    <w:name w:val="ListLabel 110"/>
    <w:qFormat/>
    <w:rPr>
      <w:rFonts w:cs="Times New Roman"/>
    </w:rPr>
  </w:style>
  <w:style w:type="character" w:styleId="ListLabel111">
    <w:name w:val="ListLabel 111"/>
    <w:qFormat/>
    <w:rPr>
      <w:b w:val="false"/>
      <w:i w:val="false"/>
    </w:rPr>
  </w:style>
  <w:style w:type="character" w:styleId="ListLabel112">
    <w:name w:val="ListLabel 112"/>
    <w:qFormat/>
    <w:rPr>
      <w:rFonts w:cs="Arial"/>
      <w:b/>
      <w:bCs/>
      <w:i w:val="false"/>
      <w:iCs w:val="false"/>
      <w:sz w:val="24"/>
      <w:szCs w:val="24"/>
    </w:rPr>
  </w:style>
  <w:style w:type="character" w:styleId="ListLabel113">
    <w:name w:val="ListLabel 113"/>
    <w:qFormat/>
    <w:rPr>
      <w:b/>
      <w:bCs/>
      <w:i w:val="false"/>
      <w:iCs w:val="false"/>
    </w:rPr>
  </w:style>
  <w:style w:type="character" w:styleId="ListLabel114">
    <w:name w:val="ListLabel 114"/>
    <w:qFormat/>
    <w:rPr>
      <w:b w:val="false"/>
      <w:bCs w:val="false"/>
      <w:i w:val="false"/>
      <w:iCs w:val="false"/>
      <w:sz w:val="16"/>
    </w:rPr>
  </w:style>
  <w:style w:type="character" w:styleId="ListLabel115">
    <w:name w:val="ListLabel 115"/>
    <w:qFormat/>
    <w:rPr>
      <w:b w:val="false"/>
      <w:bCs w:val="false"/>
      <w:i w:val="false"/>
      <w:iCs w:val="false"/>
      <w:sz w:val="18"/>
    </w:rPr>
  </w:style>
  <w:style w:type="character" w:styleId="ListLabel116">
    <w:name w:val="ListLabel 116"/>
    <w:qFormat/>
    <w:rPr>
      <w:rFonts w:cs="Symbol"/>
      <w:sz w:val="16"/>
    </w:rPr>
  </w:style>
  <w:style w:type="character" w:styleId="ListLabel117">
    <w:name w:val="ListLabel 117"/>
    <w:qFormat/>
    <w:rPr>
      <w:rFonts w:cs="Courier New"/>
    </w:rPr>
  </w:style>
  <w:style w:type="character" w:styleId="ListLabel118">
    <w:name w:val="ListLabel 118"/>
    <w:qFormat/>
    <w:rPr>
      <w:rFonts w:cs="Wingdings"/>
    </w:rPr>
  </w:style>
  <w:style w:type="character" w:styleId="ListLabel119">
    <w:name w:val="ListLabel 119"/>
    <w:qFormat/>
    <w:rPr>
      <w:rFonts w:cs="Symbol"/>
    </w:rPr>
  </w:style>
  <w:style w:type="character" w:styleId="ListLabel120">
    <w:name w:val="ListLabel 120"/>
    <w:qFormat/>
    <w:rPr>
      <w:rFonts w:cs="Courier New"/>
    </w:rPr>
  </w:style>
  <w:style w:type="character" w:styleId="ListLabel121">
    <w:name w:val="ListLabel 121"/>
    <w:qFormat/>
    <w:rPr>
      <w:rFonts w:cs="Wingdings"/>
    </w:rPr>
  </w:style>
  <w:style w:type="character" w:styleId="ListLabel122">
    <w:name w:val="ListLabel 122"/>
    <w:qFormat/>
    <w:rPr>
      <w:rFonts w:cs="Symbol"/>
    </w:rPr>
  </w:style>
  <w:style w:type="character" w:styleId="ListLabel123">
    <w:name w:val="ListLabel 123"/>
    <w:qFormat/>
    <w:rPr>
      <w:rFonts w:cs="Courier New"/>
    </w:rPr>
  </w:style>
  <w:style w:type="character" w:styleId="ListLabel124">
    <w:name w:val="ListLabel 124"/>
    <w:qFormat/>
    <w:rPr>
      <w:rFonts w:cs="Wingdings"/>
    </w:rPr>
  </w:style>
  <w:style w:type="character" w:styleId="ListLabel125">
    <w:name w:val="ListLabel 125"/>
    <w:qFormat/>
    <w:rPr>
      <w:sz w:val="18"/>
      <w:szCs w:val="16"/>
    </w:rPr>
  </w:style>
  <w:style w:type="character" w:styleId="ListLabel126">
    <w:name w:val="ListLabel 126"/>
    <w:qFormat/>
    <w:rPr>
      <w:rFonts w:cs="Arial"/>
      <w:b/>
      <w:bCs/>
      <w:i w:val="false"/>
      <w:iCs w:val="false"/>
      <w:sz w:val="24"/>
      <w:szCs w:val="24"/>
    </w:rPr>
  </w:style>
  <w:style w:type="character" w:styleId="ListLabel127">
    <w:name w:val="ListLabel 127"/>
    <w:qFormat/>
    <w:rPr>
      <w:b/>
      <w:bCs/>
      <w:i w:val="false"/>
      <w:iCs w:val="false"/>
    </w:rPr>
  </w:style>
  <w:style w:type="character" w:styleId="ListLabel128">
    <w:name w:val="ListLabel 128"/>
    <w:qFormat/>
    <w:rPr>
      <w:b w:val="false"/>
      <w:bCs w:val="false"/>
      <w:i w:val="false"/>
      <w:iCs w:val="false"/>
      <w:sz w:val="16"/>
    </w:rPr>
  </w:style>
  <w:style w:type="character" w:styleId="ListLabel129">
    <w:name w:val="ListLabel 129"/>
    <w:qFormat/>
    <w:rPr>
      <w:b w:val="false"/>
      <w:bCs w:val="false"/>
      <w:i w:val="false"/>
      <w:iCs w:val="false"/>
      <w:sz w:val="18"/>
    </w:rPr>
  </w:style>
  <w:style w:type="character" w:styleId="ListLabel130">
    <w:name w:val="ListLabel 130"/>
    <w:qFormat/>
    <w:rPr>
      <w:rFonts w:cs="Symbol"/>
      <w:sz w:val="16"/>
    </w:rPr>
  </w:style>
  <w:style w:type="character" w:styleId="ListLabel131">
    <w:name w:val="ListLabel 131"/>
    <w:qFormat/>
    <w:rPr>
      <w:rFonts w:cs="Courier New"/>
    </w:rPr>
  </w:style>
  <w:style w:type="character" w:styleId="ListLabel132">
    <w:name w:val="ListLabel 132"/>
    <w:qFormat/>
    <w:rPr>
      <w:rFonts w:cs="Wingdings"/>
    </w:rPr>
  </w:style>
  <w:style w:type="character" w:styleId="ListLabel133">
    <w:name w:val="ListLabel 133"/>
    <w:qFormat/>
    <w:rPr>
      <w:rFonts w:cs="Symbol"/>
    </w:rPr>
  </w:style>
  <w:style w:type="character" w:styleId="ListLabel134">
    <w:name w:val="ListLabel 134"/>
    <w:qFormat/>
    <w:rPr>
      <w:rFonts w:cs="Courier New"/>
    </w:rPr>
  </w:style>
  <w:style w:type="character" w:styleId="ListLabel135">
    <w:name w:val="ListLabel 135"/>
    <w:qFormat/>
    <w:rPr>
      <w:rFonts w:cs="Wingdings"/>
    </w:rPr>
  </w:style>
  <w:style w:type="character" w:styleId="ListLabel136">
    <w:name w:val="ListLabel 136"/>
    <w:qFormat/>
    <w:rPr>
      <w:rFonts w:cs="Symbol"/>
    </w:rPr>
  </w:style>
  <w:style w:type="character" w:styleId="ListLabel137">
    <w:name w:val="ListLabel 137"/>
    <w:qFormat/>
    <w:rPr>
      <w:rFonts w:cs="Courier New"/>
    </w:rPr>
  </w:style>
  <w:style w:type="character" w:styleId="ListLabel138">
    <w:name w:val="ListLabel 138"/>
    <w:qFormat/>
    <w:rPr>
      <w:rFonts w:cs="Wingdings"/>
    </w:rPr>
  </w:style>
  <w:style w:type="character" w:styleId="ListLabel139">
    <w:name w:val="ListLabel 139"/>
    <w:qFormat/>
    <w:rPr>
      <w:sz w:val="18"/>
      <w:szCs w:val="16"/>
    </w:rPr>
  </w:style>
  <w:style w:type="character" w:styleId="ListLabel140">
    <w:name w:val="ListLabel 140"/>
    <w:qFormat/>
    <w:rPr>
      <w:rFonts w:cs="Arial"/>
      <w:b/>
      <w:bCs/>
      <w:i w:val="false"/>
      <w:iCs w:val="false"/>
      <w:sz w:val="24"/>
      <w:szCs w:val="24"/>
    </w:rPr>
  </w:style>
  <w:style w:type="character" w:styleId="ListLabel141">
    <w:name w:val="ListLabel 141"/>
    <w:qFormat/>
    <w:rPr>
      <w:b/>
      <w:bCs/>
      <w:i w:val="false"/>
      <w:iCs w:val="false"/>
    </w:rPr>
  </w:style>
  <w:style w:type="character" w:styleId="ListLabel142">
    <w:name w:val="ListLabel 142"/>
    <w:qFormat/>
    <w:rPr>
      <w:b w:val="false"/>
      <w:bCs w:val="false"/>
      <w:i w:val="false"/>
      <w:iCs w:val="false"/>
      <w:sz w:val="16"/>
    </w:rPr>
  </w:style>
  <w:style w:type="character" w:styleId="ListLabel143">
    <w:name w:val="ListLabel 143"/>
    <w:qFormat/>
    <w:rPr>
      <w:b w:val="false"/>
      <w:bCs w:val="false"/>
      <w:i w:val="false"/>
      <w:iCs w:val="false"/>
      <w:sz w:val="18"/>
    </w:rPr>
  </w:style>
  <w:style w:type="character" w:styleId="ListLabel144">
    <w:name w:val="ListLabel 144"/>
    <w:qFormat/>
    <w:rPr>
      <w:rFonts w:cs="Symbol"/>
      <w:sz w:val="16"/>
    </w:rPr>
  </w:style>
  <w:style w:type="character" w:styleId="ListLabel145">
    <w:name w:val="ListLabel 145"/>
    <w:qFormat/>
    <w:rPr>
      <w:rFonts w:cs="Courier New"/>
    </w:rPr>
  </w:style>
  <w:style w:type="character" w:styleId="ListLabel146">
    <w:name w:val="ListLabel 146"/>
    <w:qFormat/>
    <w:rPr>
      <w:rFonts w:cs="Wingdings"/>
    </w:rPr>
  </w:style>
  <w:style w:type="character" w:styleId="ListLabel147">
    <w:name w:val="ListLabel 147"/>
    <w:qFormat/>
    <w:rPr>
      <w:rFonts w:cs="Symbol"/>
    </w:rPr>
  </w:style>
  <w:style w:type="character" w:styleId="ListLabel148">
    <w:name w:val="ListLabel 148"/>
    <w:qFormat/>
    <w:rPr>
      <w:rFonts w:cs="Courier New"/>
    </w:rPr>
  </w:style>
  <w:style w:type="character" w:styleId="ListLabel149">
    <w:name w:val="ListLabel 149"/>
    <w:qFormat/>
    <w:rPr>
      <w:rFonts w:cs="Wingdings"/>
    </w:rPr>
  </w:style>
  <w:style w:type="character" w:styleId="ListLabel150">
    <w:name w:val="ListLabel 150"/>
    <w:qFormat/>
    <w:rPr>
      <w:rFonts w:cs="Symbol"/>
    </w:rPr>
  </w:style>
  <w:style w:type="character" w:styleId="ListLabel151">
    <w:name w:val="ListLabel 151"/>
    <w:qFormat/>
    <w:rPr>
      <w:rFonts w:cs="Courier New"/>
    </w:rPr>
  </w:style>
  <w:style w:type="character" w:styleId="ListLabel152">
    <w:name w:val="ListLabel 152"/>
    <w:qFormat/>
    <w:rPr>
      <w:rFonts w:cs="Wingdings"/>
    </w:rPr>
  </w:style>
  <w:style w:type="character" w:styleId="ListLabel153">
    <w:name w:val="ListLabel 153"/>
    <w:qFormat/>
    <w:rPr>
      <w:sz w:val="18"/>
      <w:szCs w:val="16"/>
    </w:rPr>
  </w:style>
  <w:style w:type="character" w:styleId="ListLabel154">
    <w:name w:val="ListLabel 154"/>
    <w:qFormat/>
    <w:rPr>
      <w:rFonts w:cs="Arial"/>
      <w:b/>
      <w:bCs/>
      <w:i w:val="false"/>
      <w:iCs w:val="false"/>
      <w:sz w:val="24"/>
      <w:szCs w:val="24"/>
    </w:rPr>
  </w:style>
  <w:style w:type="character" w:styleId="ListLabel155">
    <w:name w:val="ListLabel 155"/>
    <w:qFormat/>
    <w:rPr>
      <w:b/>
      <w:bCs/>
      <w:i w:val="false"/>
      <w:iCs w:val="false"/>
    </w:rPr>
  </w:style>
  <w:style w:type="character" w:styleId="ListLabel156">
    <w:name w:val="ListLabel 156"/>
    <w:qFormat/>
    <w:rPr>
      <w:b w:val="false"/>
      <w:bCs w:val="false"/>
      <w:i w:val="false"/>
      <w:iCs w:val="false"/>
      <w:sz w:val="16"/>
    </w:rPr>
  </w:style>
  <w:style w:type="character" w:styleId="ListLabel157">
    <w:name w:val="ListLabel 157"/>
    <w:qFormat/>
    <w:rPr>
      <w:b w:val="false"/>
      <w:bCs w:val="false"/>
      <w:i w:val="false"/>
      <w:iCs w:val="false"/>
      <w:sz w:val="18"/>
    </w:rPr>
  </w:style>
  <w:style w:type="character" w:styleId="ListLabel158">
    <w:name w:val="ListLabel 158"/>
    <w:qFormat/>
    <w:rPr>
      <w:rFonts w:cs="Symbol"/>
      <w:sz w:val="16"/>
    </w:rPr>
  </w:style>
  <w:style w:type="character" w:styleId="ListLabel159">
    <w:name w:val="ListLabel 159"/>
    <w:qFormat/>
    <w:rPr>
      <w:rFonts w:cs="Courier New"/>
    </w:rPr>
  </w:style>
  <w:style w:type="character" w:styleId="ListLabel160">
    <w:name w:val="ListLabel 160"/>
    <w:qFormat/>
    <w:rPr>
      <w:rFonts w:cs="Wingdings"/>
    </w:rPr>
  </w:style>
  <w:style w:type="character" w:styleId="ListLabel161">
    <w:name w:val="ListLabel 161"/>
    <w:qFormat/>
    <w:rPr>
      <w:rFonts w:cs="Symbol"/>
    </w:rPr>
  </w:style>
  <w:style w:type="character" w:styleId="ListLabel162">
    <w:name w:val="ListLabel 162"/>
    <w:qFormat/>
    <w:rPr>
      <w:rFonts w:cs="Courier New"/>
    </w:rPr>
  </w:style>
  <w:style w:type="character" w:styleId="ListLabel163">
    <w:name w:val="ListLabel 163"/>
    <w:qFormat/>
    <w:rPr>
      <w:rFonts w:cs="Wingdings"/>
    </w:rPr>
  </w:style>
  <w:style w:type="character" w:styleId="ListLabel164">
    <w:name w:val="ListLabel 164"/>
    <w:qFormat/>
    <w:rPr>
      <w:rFonts w:cs="Symbol"/>
    </w:rPr>
  </w:style>
  <w:style w:type="character" w:styleId="ListLabel165">
    <w:name w:val="ListLabel 165"/>
    <w:qFormat/>
    <w:rPr>
      <w:rFonts w:cs="Courier New"/>
    </w:rPr>
  </w:style>
  <w:style w:type="character" w:styleId="ListLabel166">
    <w:name w:val="ListLabel 166"/>
    <w:qFormat/>
    <w:rPr>
      <w:rFonts w:cs="Wingdings"/>
    </w:rPr>
  </w:style>
  <w:style w:type="character" w:styleId="ListLabel167">
    <w:name w:val="ListLabel 167"/>
    <w:qFormat/>
    <w:rPr>
      <w:sz w:val="18"/>
      <w:szCs w:val="16"/>
    </w:rPr>
  </w:style>
  <w:style w:type="character" w:styleId="ListLabel168">
    <w:name w:val="ListLabel 168"/>
    <w:qFormat/>
    <w:rPr>
      <w:rFonts w:cs="Arial"/>
      <w:b/>
      <w:bCs/>
      <w:i w:val="false"/>
      <w:iCs w:val="false"/>
      <w:sz w:val="24"/>
      <w:szCs w:val="24"/>
    </w:rPr>
  </w:style>
  <w:style w:type="character" w:styleId="ListLabel169">
    <w:name w:val="ListLabel 169"/>
    <w:qFormat/>
    <w:rPr>
      <w:b/>
      <w:bCs/>
      <w:i w:val="false"/>
      <w:iCs w:val="false"/>
    </w:rPr>
  </w:style>
  <w:style w:type="character" w:styleId="ListLabel170">
    <w:name w:val="ListLabel 170"/>
    <w:qFormat/>
    <w:rPr>
      <w:b w:val="false"/>
      <w:bCs w:val="false"/>
      <w:i w:val="false"/>
      <w:iCs w:val="false"/>
      <w:sz w:val="16"/>
    </w:rPr>
  </w:style>
  <w:style w:type="character" w:styleId="ListLabel171">
    <w:name w:val="ListLabel 171"/>
    <w:qFormat/>
    <w:rPr>
      <w:b w:val="false"/>
      <w:bCs w:val="false"/>
      <w:i w:val="false"/>
      <w:iCs w:val="false"/>
      <w:sz w:val="18"/>
    </w:rPr>
  </w:style>
  <w:style w:type="character" w:styleId="ListLabel172">
    <w:name w:val="ListLabel 172"/>
    <w:qFormat/>
    <w:rPr>
      <w:rFonts w:cs="Symbol"/>
      <w:sz w:val="16"/>
    </w:rPr>
  </w:style>
  <w:style w:type="character" w:styleId="ListLabel173">
    <w:name w:val="ListLabel 173"/>
    <w:qFormat/>
    <w:rPr>
      <w:rFonts w:cs="Courier New"/>
    </w:rPr>
  </w:style>
  <w:style w:type="character" w:styleId="ListLabel174">
    <w:name w:val="ListLabel 174"/>
    <w:qFormat/>
    <w:rPr>
      <w:rFonts w:cs="Wingdings"/>
    </w:rPr>
  </w:style>
  <w:style w:type="character" w:styleId="ListLabel175">
    <w:name w:val="ListLabel 175"/>
    <w:qFormat/>
    <w:rPr>
      <w:rFonts w:cs="Symbol"/>
    </w:rPr>
  </w:style>
  <w:style w:type="character" w:styleId="ListLabel176">
    <w:name w:val="ListLabel 176"/>
    <w:qFormat/>
    <w:rPr>
      <w:rFonts w:cs="Courier New"/>
    </w:rPr>
  </w:style>
  <w:style w:type="character" w:styleId="ListLabel177">
    <w:name w:val="ListLabel 177"/>
    <w:qFormat/>
    <w:rPr>
      <w:rFonts w:cs="Wingdings"/>
    </w:rPr>
  </w:style>
  <w:style w:type="character" w:styleId="ListLabel178">
    <w:name w:val="ListLabel 178"/>
    <w:qFormat/>
    <w:rPr>
      <w:rFonts w:cs="Symbol"/>
    </w:rPr>
  </w:style>
  <w:style w:type="character" w:styleId="ListLabel179">
    <w:name w:val="ListLabel 179"/>
    <w:qFormat/>
    <w:rPr>
      <w:rFonts w:cs="Courier New"/>
    </w:rPr>
  </w:style>
  <w:style w:type="character" w:styleId="ListLabel180">
    <w:name w:val="ListLabel 180"/>
    <w:qFormat/>
    <w:rPr>
      <w:rFonts w:cs="Wingdings"/>
    </w:rPr>
  </w:style>
  <w:style w:type="character" w:styleId="ListLabel181">
    <w:name w:val="ListLabel 181"/>
    <w:qFormat/>
    <w:rPr>
      <w:sz w:val="18"/>
      <w:szCs w:val="16"/>
    </w:rPr>
  </w:style>
  <w:style w:type="character" w:styleId="ListLabel182">
    <w:name w:val="ListLabel 182"/>
    <w:qFormat/>
    <w:rPr>
      <w:rFonts w:cs="Arial"/>
      <w:b/>
      <w:bCs/>
      <w:i w:val="false"/>
      <w:iCs w:val="false"/>
      <w:sz w:val="24"/>
      <w:szCs w:val="24"/>
    </w:rPr>
  </w:style>
  <w:style w:type="character" w:styleId="ListLabel183">
    <w:name w:val="ListLabel 183"/>
    <w:qFormat/>
    <w:rPr>
      <w:b/>
      <w:bCs/>
      <w:i w:val="false"/>
      <w:iCs w:val="false"/>
    </w:rPr>
  </w:style>
  <w:style w:type="character" w:styleId="ListLabel184">
    <w:name w:val="ListLabel 184"/>
    <w:qFormat/>
    <w:rPr>
      <w:b w:val="false"/>
      <w:bCs w:val="false"/>
      <w:i w:val="false"/>
      <w:iCs w:val="false"/>
      <w:sz w:val="16"/>
    </w:rPr>
  </w:style>
  <w:style w:type="character" w:styleId="ListLabel185">
    <w:name w:val="ListLabel 185"/>
    <w:qFormat/>
    <w:rPr>
      <w:b w:val="false"/>
      <w:bCs w:val="false"/>
      <w:i w:val="false"/>
      <w:iCs w:val="false"/>
      <w:sz w:val="18"/>
    </w:rPr>
  </w:style>
  <w:style w:type="character" w:styleId="ListLabel186">
    <w:name w:val="ListLabel 186"/>
    <w:qFormat/>
    <w:rPr>
      <w:rFonts w:cs="Symbol"/>
      <w:sz w:val="16"/>
    </w:rPr>
  </w:style>
  <w:style w:type="character" w:styleId="ListLabel187">
    <w:name w:val="ListLabel 187"/>
    <w:qFormat/>
    <w:rPr>
      <w:rFonts w:cs="Courier New"/>
    </w:rPr>
  </w:style>
  <w:style w:type="character" w:styleId="ListLabel188">
    <w:name w:val="ListLabel 188"/>
    <w:qFormat/>
    <w:rPr>
      <w:rFonts w:cs="Wingdings"/>
    </w:rPr>
  </w:style>
  <w:style w:type="character" w:styleId="ListLabel189">
    <w:name w:val="ListLabel 189"/>
    <w:qFormat/>
    <w:rPr>
      <w:rFonts w:cs="Symbol"/>
    </w:rPr>
  </w:style>
  <w:style w:type="character" w:styleId="ListLabel190">
    <w:name w:val="ListLabel 190"/>
    <w:qFormat/>
    <w:rPr>
      <w:rFonts w:cs="Courier New"/>
    </w:rPr>
  </w:style>
  <w:style w:type="character" w:styleId="ListLabel191">
    <w:name w:val="ListLabel 191"/>
    <w:qFormat/>
    <w:rPr>
      <w:rFonts w:cs="Wingdings"/>
    </w:rPr>
  </w:style>
  <w:style w:type="character" w:styleId="ListLabel192">
    <w:name w:val="ListLabel 192"/>
    <w:qFormat/>
    <w:rPr>
      <w:rFonts w:cs="Symbol"/>
    </w:rPr>
  </w:style>
  <w:style w:type="character" w:styleId="ListLabel193">
    <w:name w:val="ListLabel 193"/>
    <w:qFormat/>
    <w:rPr>
      <w:rFonts w:cs="Courier New"/>
    </w:rPr>
  </w:style>
  <w:style w:type="character" w:styleId="ListLabel194">
    <w:name w:val="ListLabel 194"/>
    <w:qFormat/>
    <w:rPr>
      <w:rFonts w:cs="Wingdings"/>
    </w:rPr>
  </w:style>
  <w:style w:type="character" w:styleId="ListLabel195">
    <w:name w:val="ListLabel 195"/>
    <w:qFormat/>
    <w:rPr>
      <w:sz w:val="18"/>
      <w:szCs w:val="16"/>
    </w:rPr>
  </w:style>
  <w:style w:type="paragraph" w:styleId="Nadpis" w:customStyle="1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rsid w:val="00497323"/>
    <w:pPr>
      <w:spacing w:lineRule="auto" w:line="240" w:before="0" w:after="0"/>
    </w:pPr>
    <w:rPr>
      <w:rFonts w:ascii="Arial" w:hAnsi="Arial" w:cs="Arial"/>
      <w:sz w:val="24"/>
      <w:szCs w:val="24"/>
      <w:lang w:val="de-DE"/>
    </w:rPr>
  </w:style>
  <w:style w:type="paragraph" w:styleId="Zoznam">
    <w:name w:val="List"/>
    <w:basedOn w:val="Telotextu"/>
    <w:pPr/>
    <w:rPr/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 w:customStyle="1">
    <w:name w:val="Index"/>
    <w:basedOn w:val="Normal"/>
    <w:qFormat/>
    <w:pPr>
      <w:suppressLineNumbers/>
    </w:pPr>
    <w:rPr>
      <w:rFonts w:cs="Arial"/>
    </w:rPr>
  </w:style>
  <w:style w:type="paragraph" w:styleId="Caption">
    <w:name w:val="caption"/>
    <w:basedOn w:val="Normal"/>
    <w:qFormat/>
    <w:pPr>
      <w:suppressLineNumbers/>
    </w:pPr>
    <w:rPr>
      <w:rFonts w:cs="Arial"/>
      <w:i/>
      <w:iCs/>
      <w:sz w:val="24"/>
      <w:szCs w:val="24"/>
    </w:rPr>
  </w:style>
  <w:style w:type="paragraph" w:styleId="Tl11ptTuniernaPodaokrajaVavo019cmRiadkova" w:customStyle="1">
    <w:name w:val="Štýl 11 pt Tučné Čierna Podľa okraja Vľavo:  019 cm Riadkova..."/>
    <w:uiPriority w:val="99"/>
    <w:qFormat/>
    <w:rsid w:val="00d71ffb"/>
    <w:pPr>
      <w:widowControl/>
      <w:bidi w:val="0"/>
      <w:spacing w:lineRule="auto" w:line="360"/>
      <w:jc w:val="both"/>
    </w:pPr>
    <w:rPr>
      <w:rFonts w:ascii="Arial" w:hAnsi="Arial" w:eastAsia="Times New Roman" w:cs="Arial"/>
      <w:color w:val="000000"/>
      <w:sz w:val="24"/>
      <w:szCs w:val="24"/>
      <w:lang w:val="sk-SK" w:eastAsia="cs-CZ" w:bidi="ar-SA"/>
    </w:rPr>
  </w:style>
  <w:style w:type="paragraph" w:styleId="TlPodaokrajaVavo019cmRiadkovanie15riadka" w:customStyle="1">
    <w:name w:val="Štýl Podľa okraja Vľavo:  019 cm Riadkovanie:  15 riadka"/>
    <w:basedOn w:val="Normal"/>
    <w:autoRedefine/>
    <w:uiPriority w:val="99"/>
    <w:qFormat/>
    <w:rsid w:val="00d71ffb"/>
    <w:pPr>
      <w:ind w:left="108" w:hanging="0"/>
    </w:pPr>
    <w:rPr/>
  </w:style>
  <w:style w:type="paragraph" w:styleId="Bododvodnenie" w:customStyle="1">
    <w:name w:val="Bod odôvodnenie"/>
    <w:uiPriority w:val="99"/>
    <w:qFormat/>
    <w:rsid w:val="00d440d5"/>
    <w:pPr>
      <w:widowControl/>
      <w:bidi w:val="0"/>
      <w:spacing w:before="120" w:after="120"/>
      <w:jc w:val="left"/>
    </w:pPr>
    <w:rPr>
      <w:rFonts w:ascii="Arial" w:hAnsi="Arial" w:eastAsia="Times New Roman" w:cs="Arial"/>
      <w:b/>
      <w:bCs/>
      <w:color w:val="00000A"/>
      <w:sz w:val="24"/>
      <w:szCs w:val="24"/>
      <w:lang w:val="sk-SK" w:eastAsia="cs-CZ" w:bidi="ar-SA"/>
    </w:rPr>
  </w:style>
  <w:style w:type="paragraph" w:styleId="TlArialPodaokraja" w:customStyle="1">
    <w:name w:val="Štýl Arial Podľa okraja"/>
    <w:autoRedefine/>
    <w:uiPriority w:val="99"/>
    <w:qFormat/>
    <w:rsid w:val="004337d2"/>
    <w:pPr>
      <w:widowControl/>
      <w:bidi w:val="0"/>
      <w:jc w:val="both"/>
    </w:pPr>
    <w:rPr>
      <w:rFonts w:ascii="Arial" w:hAnsi="Arial" w:eastAsia="Times New Roman" w:cs="Arial"/>
      <w:color w:val="00000A"/>
      <w:sz w:val="16"/>
      <w:szCs w:val="16"/>
      <w:lang w:val="sk-SK" w:eastAsia="cs-CZ" w:bidi="ar-SA"/>
    </w:rPr>
  </w:style>
  <w:style w:type="paragraph" w:styleId="Textpoznmky" w:customStyle="1">
    <w:name w:val="Text poznámky"/>
    <w:basedOn w:val="Normal"/>
    <w:autoRedefine/>
    <w:uiPriority w:val="99"/>
    <w:qFormat/>
    <w:rsid w:val="001f67e7"/>
    <w:pPr>
      <w:spacing w:lineRule="auto" w:line="240"/>
    </w:pPr>
    <w:rPr/>
  </w:style>
  <w:style w:type="paragraph" w:styleId="Pta">
    <w:name w:val="Footer"/>
    <w:basedOn w:val="Normal"/>
    <w:link w:val="PtaChar"/>
    <w:uiPriority w:val="99"/>
    <w:rsid w:val="0072048d"/>
    <w:pPr>
      <w:tabs>
        <w:tab w:val="center" w:pos="4536" w:leader="none"/>
        <w:tab w:val="right" w:pos="9072" w:leader="none"/>
      </w:tabs>
    </w:pPr>
    <w:rPr>
      <w:rFonts w:ascii="Arial" w:hAnsi="Arial" w:cs="Arial"/>
      <w:sz w:val="24"/>
      <w:szCs w:val="24"/>
    </w:rPr>
  </w:style>
  <w:style w:type="paragraph" w:styleId="Normlny1" w:customStyle="1">
    <w:name w:val="Normálny1"/>
    <w:uiPriority w:val="99"/>
    <w:qFormat/>
    <w:rsid w:val="00a40be6"/>
    <w:pPr>
      <w:widowControl/>
      <w:bidi w:val="0"/>
      <w:spacing w:lineRule="auto" w:line="360" w:before="120" w:after="120"/>
      <w:ind w:firstLine="709"/>
      <w:jc w:val="both"/>
    </w:pPr>
    <w:rPr>
      <w:rFonts w:ascii="Arial" w:hAnsi="Arial" w:eastAsia="Times New Roman" w:cs="Arial"/>
      <w:color w:val="00000A"/>
      <w:sz w:val="24"/>
      <w:szCs w:val="24"/>
      <w:lang w:val="sk-SK" w:eastAsia="cs-CZ" w:bidi="ar-SA"/>
    </w:rPr>
  </w:style>
  <w:style w:type="paragraph" w:styleId="Textopatrenia" w:customStyle="1">
    <w:name w:val="Text opatrenia"/>
    <w:qFormat/>
    <w:rsid w:val="00503a66"/>
    <w:pPr>
      <w:widowControl/>
      <w:bidi w:val="0"/>
      <w:spacing w:before="120" w:after="120"/>
      <w:jc w:val="both"/>
    </w:pPr>
    <w:rPr>
      <w:rFonts w:ascii="Arial Narrow" w:hAnsi="Arial Narrow" w:eastAsia="Times New Roman" w:cs="Arial Narrow"/>
      <w:color w:val="00000A"/>
      <w:sz w:val="20"/>
      <w:szCs w:val="22"/>
      <w:lang w:val="sk-SK" w:eastAsia="cs-CZ" w:bidi="ar-SA"/>
    </w:rPr>
  </w:style>
  <w:style w:type="paragraph" w:styleId="TopHeader" w:customStyle="1">
    <w:name w:val="Top Header"/>
    <w:basedOn w:val="Normal"/>
    <w:uiPriority w:val="99"/>
    <w:qFormat/>
    <w:rsid w:val="00322d87"/>
    <w:pPr>
      <w:spacing w:lineRule="auto" w:line="240" w:before="0" w:after="0"/>
      <w:jc w:val="center"/>
    </w:pPr>
    <w:rPr>
      <w:b/>
      <w:bCs/>
      <w:sz w:val="22"/>
      <w:szCs w:val="22"/>
      <w:lang w:eastAsia="en-US"/>
    </w:rPr>
  </w:style>
  <w:style w:type="paragraph" w:styleId="ListParagraph">
    <w:name w:val="List Paragraph"/>
    <w:basedOn w:val="Normal"/>
    <w:uiPriority w:val="99"/>
    <w:qFormat/>
    <w:rsid w:val="00497323"/>
    <w:pPr>
      <w:ind w:left="708" w:hanging="0"/>
    </w:pPr>
    <w:rPr/>
  </w:style>
  <w:style w:type="paragraph" w:styleId="Hlavika">
    <w:name w:val="Header"/>
    <w:basedOn w:val="Normal"/>
    <w:link w:val="HlavikaChar"/>
    <w:uiPriority w:val="99"/>
    <w:rsid w:val="00804636"/>
    <w:pPr>
      <w:tabs>
        <w:tab w:val="center" w:pos="4536" w:leader="none"/>
        <w:tab w:val="right" w:pos="9072" w:leader="none"/>
      </w:tabs>
    </w:pPr>
    <w:rPr/>
  </w:style>
  <w:style w:type="paragraph" w:styleId="BalloonText">
    <w:name w:val="Balloon Text"/>
    <w:basedOn w:val="Normal"/>
    <w:link w:val="TextbublinyChar"/>
    <w:uiPriority w:val="99"/>
    <w:semiHidden/>
    <w:qFormat/>
    <w:rsid w:val="001058f5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Obsahtabuky" w:customStyle="1">
    <w:name w:val="Obsah tabuľky"/>
    <w:basedOn w:val="Normal"/>
    <w:qFormat/>
    <w:pPr/>
    <w:rPr/>
  </w:style>
  <w:style w:type="paragraph" w:styleId="Nadpistabuky" w:customStyle="1">
    <w:name w:val="Nadpis tabuľky"/>
    <w:basedOn w:val="Obsahtabuky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db1285"/>
    <w:rPr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451</TotalTime>
  <Application>LibreOffice/5.3.4.2$Windows_x86 LibreOffice_project/f82d347ccc0be322489bf7da61d7e4ad13fe2ff3</Application>
  <Pages>7</Pages>
  <Words>2867</Words>
  <Characters>17548</Characters>
  <CharactersWithSpaces>19974</CharactersWithSpaces>
  <Paragraphs>454</Paragraphs>
  <Company>MF-SR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2018-03-26T09:24:00Z</dcterms:created>
  <dc:creator>Vlaďka</dc:creator>
  <dc:description/>
  <dc:language>sk-SK</dc:language>
  <cp:lastModifiedBy/>
  <cp:lastPrinted>2022-03-15T11:47:07Z</cp:lastPrinted>
  <dcterms:modified xsi:type="dcterms:W3CDTF">2023-05-11T19:50:40Z</dcterms:modified>
  <cp:revision>335</cp:revision>
  <dc:subject/>
  <dc:title>Príloha č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MF-SR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