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center" w:pos="4786" w:leader="none"/>
        </w:tabs>
        <w:spacing w:lineRule="auto" w:line="259" w:before="0" w:after="254"/>
        <w:ind w:left="-15" w:hanging="0"/>
        <w:jc w:val="left"/>
        <w:rPr/>
      </w:pPr>
      <w:r>
        <w:rPr>
          <w:vertAlign w:val="superscript"/>
        </w:rPr>
        <w:t xml:space="preserve">  </w:t>
      </w:r>
      <w:r>
        <w:rPr>
          <w:vertAlign w:val="superscript"/>
        </w:rPr>
        <w:tab/>
      </w:r>
      <w:r>
        <w:rPr>
          <w:b/>
        </w:rPr>
        <w:t>Poznámky k mikro ú</w:t>
      </w:r>
      <w:r>
        <w:rPr>
          <w:rFonts w:eastAsia="MS Gothic" w:cs="MS Gothic" w:ascii="MS Gothic" w:hAnsi="MS Gothic"/>
        </w:rPr>
        <w:t>č</w:t>
      </w:r>
      <w:r>
        <w:rPr>
          <w:b/>
        </w:rPr>
        <w:t>tovnej závierke za rok 2022</w:t>
      </w:r>
      <w:r>
        <w:rPr/>
        <w:t xml:space="preserve">   </w:t>
      </w:r>
    </w:p>
    <w:p>
      <w:pPr>
        <w:pStyle w:val="Normal"/>
        <w:spacing w:before="0" w:after="8"/>
        <w:jc w:val="center"/>
        <w:rPr/>
      </w:pPr>
      <w:r>
        <w:rPr/>
        <w:t>zostavené pod</w:t>
      </w:r>
      <w:r>
        <w:rPr>
          <w:rFonts w:eastAsia="MS Gothic" w:cs="MS Gothic" w:ascii="MS Gothic" w:hAnsi="MS Gothic"/>
        </w:rPr>
        <w:t>ľ</w:t>
      </w:r>
      <w:r>
        <w:rPr/>
        <w:t xml:space="preserve">a Opatrenia Ministerstva financií SR </w:t>
      </w:r>
      <w:r>
        <w:rPr>
          <w:rFonts w:eastAsia="MS Gothic" w:cs="MS Gothic" w:ascii="MS Gothic" w:hAnsi="MS Gothic"/>
        </w:rPr>
        <w:t>č</w:t>
      </w:r>
      <w:r>
        <w:rPr/>
        <w:t xml:space="preserve">.MF/15464/2013-74, ktorým sa ustanovujú podrobnosti   </w:t>
      </w:r>
    </w:p>
    <w:p>
      <w:pPr>
        <w:pStyle w:val="Normal"/>
        <w:ind w:left="206" w:right="67" w:hanging="10"/>
        <w:rPr/>
      </w:pPr>
      <w:r>
        <w:rPr/>
        <w:t>o usporiadaní, ozna</w:t>
      </w:r>
      <w:r>
        <w:rPr>
          <w:rFonts w:eastAsia="MS Gothic" w:cs="MS Gothic" w:ascii="MS Gothic" w:hAnsi="MS Gothic"/>
        </w:rPr>
        <w:t>č</w:t>
      </w:r>
      <w:r>
        <w:rPr/>
        <w:t>ovaní a obsahovom vymedzení polo</w:t>
      </w:r>
      <w:r>
        <w:rPr>
          <w:rFonts w:eastAsia="MS Gothic" w:cs="MS Gothic" w:ascii="MS Gothic" w:hAnsi="MS Gothic"/>
        </w:rPr>
        <w:t>ž</w:t>
      </w:r>
      <w:r>
        <w:rPr/>
        <w:t>iek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a  </w:t>
      </w:r>
    </w:p>
    <w:p>
      <w:pPr>
        <w:pStyle w:val="Normal"/>
        <w:spacing w:before="0" w:after="8"/>
        <w:jc w:val="center"/>
        <w:rPr/>
      </w:pPr>
      <w:r>
        <w:rPr/>
        <w:t>rozsahu údajov ur</w:t>
      </w:r>
      <w:r>
        <w:rPr>
          <w:rFonts w:eastAsia="MS Gothic" w:cs="MS Gothic" w:ascii="MS Gothic" w:hAnsi="MS Gothic"/>
        </w:rPr>
        <w:t>č</w:t>
      </w:r>
      <w:r>
        <w:rPr/>
        <w:t>ených z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na zverejnenie pre </w:t>
      </w:r>
      <w:r>
        <w:rPr>
          <w:b/>
        </w:rPr>
        <w:t>mikro ú</w:t>
      </w:r>
      <w:r>
        <w:rPr>
          <w:rFonts w:eastAsia="MS Gothic" w:cs="MS Gothic" w:ascii="MS Gothic" w:hAnsi="MS Gothic"/>
        </w:rPr>
        <w:t>č</w:t>
      </w:r>
      <w:r>
        <w:rPr>
          <w:b/>
        </w:rPr>
        <w:t>tovné jednotky</w:t>
      </w:r>
      <w:r>
        <w:rPr/>
        <w:t xml:space="preserve"> v znení neskor</w:t>
      </w:r>
      <w:bookmarkStart w:id="0" w:name="_GoBack"/>
      <w:bookmarkEnd w:id="0"/>
      <w:r>
        <w:rPr>
          <w:rFonts w:eastAsia="MS Gothic" w:cs="MS Gothic" w:ascii="MS Gothic" w:hAnsi="MS Gothic"/>
        </w:rPr>
        <w:t>š</w:t>
      </w:r>
      <w:r>
        <w:rPr/>
        <w:t xml:space="preserve">ích predpisov (ostatná novela </w:t>
      </w:r>
      <w:r>
        <w:rPr>
          <w:rFonts w:eastAsia="MS Gothic" w:cs="MS Gothic" w:ascii="MS Gothic" w:hAnsi="MS Gothic"/>
        </w:rPr>
        <w:t>č</w:t>
      </w:r>
      <w:r>
        <w:rPr/>
        <w:t xml:space="preserve">.MF/18008/2014-74 – FS </w:t>
      </w:r>
      <w:r>
        <w:rPr>
          <w:rFonts w:eastAsia="MS Gothic" w:cs="MS Gothic" w:ascii="MS Gothic" w:hAnsi="MS Gothic"/>
        </w:rPr>
        <w:t>č</w:t>
      </w:r>
      <w:r>
        <w:rPr/>
        <w:t xml:space="preserve">.10/2014)   </w:t>
      </w:r>
    </w:p>
    <w:p>
      <w:pPr>
        <w:pStyle w:val="Normal"/>
        <w:spacing w:lineRule="auto" w:line="259" w:before="0" w:after="13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0" w:hanging="10"/>
        <w:rPr/>
      </w:pPr>
      <w:r>
        <w:rPr/>
        <w:t>Článok I</w:t>
      </w:r>
      <w:r>
        <w:rPr>
          <w:sz w:val="24"/>
        </w:rPr>
        <w:t xml:space="preserve"> </w:t>
      </w:r>
      <w:r>
        <w:rPr/>
        <w:t>Všeobecné údaje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37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spacing w:lineRule="auto" w:line="259" w:before="0" w:after="1"/>
        <w:ind w:left="216" w:right="67" w:hanging="216"/>
        <w:jc w:val="left"/>
        <w:rPr/>
      </w:pPr>
      <w:r>
        <w:rPr>
          <w:u w:val="single" w:color="000000"/>
        </w:rPr>
        <w:t>Identifikácia účtovnej jednotky (názov, IČO, sídlo):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TableGrid"/>
        <w:tblW w:w="9715" w:type="dxa"/>
        <w:jc w:val="left"/>
        <w:tblInd w:w="-147" w:type="dxa"/>
        <w:tblLayout w:type="fixed"/>
        <w:tblCellMar>
          <w:top w:w="125" w:type="dxa"/>
          <w:left w:w="7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3093"/>
        <w:gridCol w:w="6621"/>
      </w:tblGrid>
      <w:tr>
        <w:trPr>
          <w:trHeight w:val="400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Názov: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Tary s.r.o.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IČO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54919673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Adresa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Banícka 703/16 990 01 Veľký Krtíš</w:t>
            </w:r>
          </w:p>
        </w:tc>
      </w:tr>
    </w:tbl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ind w:left="216" w:right="67" w:hanging="216"/>
        <w:jc w:val="left"/>
        <w:rPr/>
      </w:pPr>
      <w:r>
        <w:rPr>
          <w:u w:val="single" w:color="000000"/>
        </w:rPr>
        <w:t>Údaje o konsolidovanom celku</w:t>
      </w:r>
      <w:r>
        <w:rPr/>
        <w:t xml:space="preserve"> - obchodné meno a sídlo konsolidujúcej účtovnej jednotky: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</w:t>
      </w:r>
      <w:r>
        <w:rPr>
          <w:b/>
        </w:rPr>
        <w:t>- nie je</w:t>
      </w:r>
      <w:r>
        <w:rPr/>
        <w:t xml:space="preserve">   </w:t>
      </w:r>
    </w:p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1"/>
        <w:ind w:left="-5" w:hanging="10"/>
        <w:jc w:val="left"/>
        <w:rPr/>
      </w:pPr>
      <w:r>
        <w:rPr/>
        <w:t xml:space="preserve">3. </w:t>
      </w:r>
      <w:r>
        <w:rPr>
          <w:u w:val="single" w:color="000000"/>
        </w:rPr>
        <w:t>Priemerný prepočítaný počet zamestnancov</w:t>
      </w:r>
      <w:r>
        <w:rPr/>
        <w:t xml:space="preserve">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TableGrid"/>
        <w:tblW w:w="9699" w:type="dxa"/>
        <w:jc w:val="left"/>
        <w:tblInd w:w="-147" w:type="dxa"/>
        <w:tblLayout w:type="fixed"/>
        <w:tblCellMar>
          <w:top w:w="122" w:type="dxa"/>
          <w:left w:w="78" w:type="dxa"/>
          <w:bottom w:w="0" w:type="dxa"/>
          <w:right w:w="52" w:type="dxa"/>
        </w:tblCellMar>
        <w:tblLook w:firstRow="1" w:noVBand="1" w:lastRow="0" w:firstColumn="1" w:lastColumn="0" w:noHBand="0" w:val="04a0"/>
      </w:tblPr>
      <w:tblGrid>
        <w:gridCol w:w="4217"/>
        <w:gridCol w:w="2131"/>
        <w:gridCol w:w="3351"/>
      </w:tblGrid>
      <w:tr>
        <w:trPr>
          <w:trHeight w:val="976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138" w:hanging="0"/>
              <w:jc w:val="center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 xml:space="preserve">Názov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528" w:hanging="344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 xml:space="preserve">Bežné účtovné obdobie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2" w:before="0" w:after="8"/>
              <w:ind w:left="276" w:firstLine="524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 xml:space="preserve">Bezprostredne predchádzajúce účtovné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76" w:hanging="0"/>
              <w:jc w:val="center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>obdobie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 </w:t>
            </w:r>
          </w:p>
        </w:tc>
      </w:tr>
      <w:tr>
        <w:trPr>
          <w:trHeight w:val="689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Priemerný prepočítaný počet zamestnancov   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4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0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4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>0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9" w:hanging="10"/>
        <w:rPr/>
      </w:pPr>
      <w:r>
        <w:rPr/>
        <w:t>Článok II</w:t>
      </w:r>
      <w:r>
        <w:rPr>
          <w:sz w:val="24"/>
        </w:rPr>
        <w:t xml:space="preserve"> </w:t>
      </w:r>
      <w:r>
        <w:rPr/>
        <w:t xml:space="preserve"> Informácie o prijatých postupoch</w:t>
      </w:r>
      <w:r>
        <w:rPr>
          <w:b w:val="false"/>
        </w:rPr>
        <w:t xml:space="preserve">  </w:t>
      </w:r>
      <w:r>
        <w:rPr/>
        <w:t xml:space="preserve">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Informácia, či je účtovná závierka zostavená za splnenia predpokladu, že účtovná  jednotka bude </w:t>
      </w:r>
      <w:r>
        <w:rPr>
          <w:u w:val="single" w:color="000000"/>
        </w:rPr>
        <w:t>nepretržite pokračovať</w:t>
      </w:r>
      <w:r>
        <w:rPr/>
        <w:t xml:space="preserve">  vo svojej činnosti: </w:t>
      </w:r>
      <w:r>
        <w:rPr>
          <w:b/>
        </w:rPr>
        <w:t xml:space="preserve">         áno, predpokladá sa nepretržité pokračovanie </w:t>
      </w:r>
      <w:r>
        <w:rPr/>
        <w:t xml:space="preserve"> </w:t>
      </w:r>
      <w:r>
        <w:rPr>
          <w:b/>
        </w:rPr>
        <w:t>činnosti.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Spôsob oceňovania</w:t>
      </w:r>
      <w:r>
        <w:rPr/>
        <w:t xml:space="preserve"> </w:t>
        <w:tab/>
        <w:t xml:space="preserve"> jednotlivých položiek majetku a záväzkov, a to: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TableGrid"/>
        <w:tblW w:w="9715" w:type="dxa"/>
        <w:jc w:val="left"/>
        <w:tblInd w:w="-147" w:type="dxa"/>
        <w:tblLayout w:type="fixed"/>
        <w:tblCellMar>
          <w:top w:w="123" w:type="dxa"/>
          <w:left w:w="7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848"/>
        <w:gridCol w:w="4866"/>
      </w:tblGrid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40" w:hanging="0"/>
              <w:jc w:val="center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 xml:space="preserve">Názov položky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right="73" w:hanging="0"/>
              <w:jc w:val="center"/>
              <w:rPr>
                <w:kern w:val="0"/>
                <w:szCs w:val="22"/>
                <w:lang w:val="sk-SK" w:eastAsia="sk-SK" w:bidi="ar-SA"/>
              </w:rPr>
            </w:pPr>
            <w:r>
              <w:rPr>
                <w:b/>
                <w:kern w:val="0"/>
                <w:sz w:val="22"/>
                <w:szCs w:val="22"/>
                <w:lang w:val="sk-SK" w:eastAsia="sk-SK" w:bidi="ar-SA"/>
              </w:rPr>
              <w:t>Spôsob oceňovania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Dlhodobý nehmotný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Dlhodobý 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Dlhodobý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Zásoby obstarané kúpou: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Zásoby vytvorené vlastnou činnosťou: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Vlastné náklady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Vlastné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Kúpené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Krátkodobý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Záväzky vrátane rezerv: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Dlhopisy: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Pôžičky a úvery: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Derivátové operácie: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lineRule="auto" w:line="259" w:before="0" w:after="0"/>
              <w:ind w:left="0" w:hanging="0"/>
              <w:jc w:val="left"/>
              <w:rPr>
                <w:kern w:val="0"/>
                <w:szCs w:val="22"/>
                <w:lang w:val="sk-SK" w:eastAsia="sk-SK" w:bidi="ar-SA"/>
              </w:rPr>
            </w:pPr>
            <w:r>
              <w:rPr>
                <w:kern w:val="0"/>
                <w:sz w:val="22"/>
                <w:szCs w:val="22"/>
                <w:lang w:val="sk-SK" w:eastAsia="sk-SK" w:bidi="ar-SA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2"/>
                <w:lang w:val="sk-SK" w:eastAsia="sk-SK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val="sk-SK" w:eastAsia="sk-SK" w:bidi="ar-SA"/>
              </w:rPr>
              <w:t xml:space="preserve">  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Spôsob zostavenia </w:t>
      </w:r>
      <w:r>
        <w:rPr>
          <w:u w:val="single" w:color="000000"/>
        </w:rPr>
        <w:t>odpisového</w:t>
      </w:r>
      <w:r>
        <w:rPr/>
        <w:t xml:space="preserve"> </w:t>
      </w:r>
      <w:r>
        <w:rPr>
          <w:u w:val="single" w:color="000000"/>
        </w:rPr>
        <w:t>plánu</w:t>
      </w:r>
      <w:r>
        <w:rPr/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  </w:t>
      </w:r>
      <w:r>
        <w:rPr>
          <w:b/>
        </w:rPr>
        <w:t>Odpisuje sa sadzbami rovnakými ako daňové odpisy určené zákonom o dani z príjmov.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spacing w:before="0" w:after="53"/>
        <w:ind w:left="720" w:right="67" w:hanging="720"/>
        <w:rPr/>
      </w:pP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zásad a</w:t>
      </w:r>
      <w:r>
        <w:rPr/>
        <w:t xml:space="preserve"> </w:t>
      </w: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metód</w:t>
      </w:r>
      <w:r>
        <w:rPr/>
        <w:t xml:space="preserve"> s uvedením dôvodu týchto zmien a vyčíslením ich vplyvu na finančnú hodnotu majetku, záväzkov, základného imania a výsledku hospodárenia účtovnej jednotky:</w:t>
      </w:r>
      <w:r>
        <w:rPr>
          <w:b/>
        </w:rPr>
        <w:t xml:space="preserve">             nie sú</w:t>
      </w: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Informácie o dotáciách</w:t>
      </w:r>
      <w:r>
        <w:rPr/>
        <w:t xml:space="preserve">  a ich oceňovanie v účtovníctve:   </w:t>
        <w:tab/>
      </w:r>
      <w:r>
        <w:rPr>
          <w:b/>
        </w:rPr>
        <w:t>- dotácie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Informácie o účtovaní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opráv</w:t>
      </w:r>
      <w:r>
        <w:rPr/>
        <w:t xml:space="preserve"> </w:t>
      </w:r>
      <w:r>
        <w:rPr>
          <w:u w:val="single" w:color="000000"/>
        </w:rPr>
        <w:t>chýb</w:t>
      </w:r>
      <w:r>
        <w:rPr/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>-  neboli vykonané významné opravy chýb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111" w:hanging="10"/>
        <w:rPr/>
      </w:pPr>
      <w:r>
        <w:rPr/>
        <w:t>Článok III</w:t>
      </w:r>
      <w:r>
        <w:rPr>
          <w:sz w:val="24"/>
        </w:rPr>
        <w:t xml:space="preserve"> </w:t>
      </w:r>
      <w:r>
        <w:rPr/>
        <w:t>Informácie, ktoré vysvetľujú a dopĺňajú súvahu a výkaz ziskov a strát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ind w:left="216" w:hanging="216"/>
        <w:jc w:val="left"/>
        <w:rPr/>
      </w:pPr>
      <w:r>
        <w:rPr/>
        <w:t xml:space="preserve">Informácia o sume a dôvodoch vzniku jednotlivých položiek </w:t>
      </w:r>
      <w:r>
        <w:rPr>
          <w:b/>
        </w:rPr>
        <w:t>nákladov alebo výnosov</w:t>
      </w:r>
      <w:r>
        <w:rPr/>
        <w:t xml:space="preserve">, ktoré majú </w:t>
      </w:r>
      <w:r>
        <w:rPr>
          <w:u w:val="single" w:color="000000"/>
        </w:rPr>
        <w:t>výnimočný</w:t>
      </w:r>
      <w:r>
        <w:rPr/>
        <w:t xml:space="preserve"> </w:t>
      </w:r>
      <w:r>
        <w:rPr>
          <w:u w:val="single" w:color="000000"/>
        </w:rPr>
        <w:t>rozsah</w:t>
      </w:r>
      <w:r>
        <w:rPr/>
        <w:t xml:space="preserve"> </w:t>
      </w:r>
      <w:r>
        <w:rPr>
          <w:u w:val="single" w:color="000000"/>
        </w:rPr>
        <w:t>alebo</w:t>
      </w:r>
      <w:r>
        <w:rPr/>
        <w:t xml:space="preserve"> </w:t>
      </w:r>
      <w:r>
        <w:rPr>
          <w:u w:val="single" w:color="000000"/>
        </w:rPr>
        <w:t>výskyt</w:t>
      </w:r>
      <w:r>
        <w:rPr/>
        <w:t xml:space="preserve"> , napríklad výnosy z predaja podniku alebo časti podniku, náklady z dôvodu predaja podniku alebo časti podniku, škody z dôvodu živelných pohrôm: -</w:t>
      </w:r>
      <w:r>
        <w:rPr>
          <w:b/>
        </w:rPr>
        <w:t xml:space="preserve"> nie sú takéto položky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 xml:space="preserve">Informácie o záväzkoch </w:t>
      </w:r>
      <w:r>
        <w:rPr/>
        <w:t xml:space="preserve">, a to: </w:t>
        <w:tab/>
        <w:t xml:space="preserve">   </w:t>
      </w:r>
    </w:p>
    <w:p>
      <w:pPr>
        <w:pStyle w:val="Normal"/>
        <w:spacing w:lineRule="auto" w:line="259" w:before="0" w:after="14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záväzkov so zostatkovou dobou splatnosti dlhšou ako päť rokov: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záväzky so splatnosťou dlhšou ako päť rokov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zabezpečených záväzkov, opis a spôsoby zabezpečenia záväzkov: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zabezpečené záväzky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0"/>
        <w:ind w:left="216" w:hanging="216"/>
        <w:jc w:val="left"/>
        <w:rPr/>
      </w:pPr>
      <w:r>
        <w:rPr>
          <w:u w:val="single" w:color="000000"/>
        </w:rPr>
        <w:t>Informácie o vlastných akciách:</w:t>
      </w:r>
      <w:r>
        <w:rPr/>
        <w:t xml:space="preserve"> </w:t>
      </w:r>
      <w:r>
        <w:rPr>
          <w:b/>
        </w:rPr>
        <w:t>- spoločnosť nevlastní vlastné akcie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>Informácie o orgánoch účtovnej jednotky</w:t>
      </w:r>
      <w:r>
        <w:rPr/>
        <w:t xml:space="preserve"> , a to: </w:t>
        <w:tab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b/>
        </w:rPr>
        <w:t>- neboli poskytnuté záruky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>
        <w:rPr>
          <w:b/>
        </w:rPr>
        <w:t>-  neboli im poskytnuté pôžičky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hlavných podmienkach, na základe ktorých im boli záruky alebo iné zabezpečenie a  </w:t>
      </w:r>
    </w:p>
    <w:p>
      <w:pPr>
        <w:pStyle w:val="Normal"/>
        <w:ind w:left="130" w:right="67" w:hanging="10"/>
        <w:rPr/>
      </w:pPr>
      <w:r>
        <w:rPr/>
        <w:t xml:space="preserve">pôžičky poskytnuté; pri pôžičkách sa uvádzajú úrokové sadzby: </w:t>
      </w:r>
      <w:r>
        <w:rPr>
          <w:b/>
        </w:rPr>
        <w:t>-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poskytnuté prostriedky na tento účel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-5" w:right="67" w:hanging="10"/>
        <w:rPr/>
      </w:pPr>
      <w:r>
        <w:rPr/>
        <w:t xml:space="preserve">5. </w:t>
      </w:r>
      <w:r>
        <w:rPr>
          <w:u w:val="single" w:color="000000"/>
        </w:rPr>
        <w:t>Informácie o povinnostiach</w:t>
      </w:r>
      <w:r>
        <w:rPr/>
        <w:t xml:space="preserve"> účtovnej jednotky, a to: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>
      <w:pPr>
        <w:pStyle w:val="Normal"/>
        <w:spacing w:lineRule="auto" w:line="259" w:before="0" w:after="0"/>
        <w:ind w:left="718" w:hanging="10"/>
        <w:jc w:val="left"/>
        <w:rPr/>
      </w:pPr>
      <w:r>
        <w:rPr>
          <w:b/>
        </w:rPr>
        <w:t>- spoločnosť nemá finančné povinnosti nevykazované v súvahe</w:t>
      </w:r>
      <w:r>
        <w:rPr/>
        <w:t xml:space="preserve">   </w:t>
      </w:r>
    </w:p>
    <w:p>
      <w:pPr>
        <w:pStyle w:val="Normal"/>
        <w:spacing w:lineRule="auto" w:line="259" w:before="0" w:after="4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významných </w:t>
      </w:r>
      <w:r>
        <w:rPr>
          <w:u w:val="single" w:color="000000"/>
        </w:rPr>
        <w:t>podmienených</w:t>
      </w:r>
      <w:r>
        <w:rPr/>
        <w:t xml:space="preserve"> </w:t>
      </w:r>
      <w:r>
        <w:rPr>
          <w:u w:val="single" w:color="000000"/>
        </w:rPr>
        <w:t>záväzkov</w:t>
      </w:r>
      <w:r>
        <w:rPr/>
        <w:t xml:space="preserve"> 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  <w:r>
        <w:rPr>
          <w:b/>
        </w:rPr>
        <w:t xml:space="preserve"> - spoločnosť nemá takéto povinnosti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povinností</w:t>
      </w:r>
      <w:r>
        <w:rPr/>
        <w:t xml:space="preserve"> účtovnej jednotky vyplývajúcich </w:t>
      </w:r>
      <w:r>
        <w:rPr>
          <w:u w:val="single" w:color="000000"/>
        </w:rPr>
        <w:t>z dôchodkových</w:t>
      </w:r>
      <w:r>
        <w:rPr/>
        <w:t xml:space="preserve">  </w:t>
      </w:r>
      <w:r>
        <w:rPr>
          <w:u w:val="single" w:color="000000"/>
        </w:rPr>
        <w:t>programov</w:t>
      </w:r>
      <w:r>
        <w:rPr/>
        <w:t xml:space="preserve"> pre zamestnancov: </w:t>
      </w:r>
      <w:r>
        <w:rPr>
          <w:b/>
        </w:rPr>
        <w:t xml:space="preserve">        - spoločnosť nemá takéto povinnosti 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spacing w:before="0" w:after="5"/>
        <w:ind w:left="130" w:right="67" w:hanging="10"/>
        <w:rPr/>
      </w:pPr>
      <w:r>
        <w:rPr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</w:t>
      </w:r>
      <w:r>
        <w:rPr>
          <w:b/>
        </w:rPr>
        <w:t xml:space="preserve"> </w:t>
      </w:r>
      <w:r>
        <w:rPr>
          <w:b/>
          <w:u w:val="single" w:color="000000"/>
        </w:rPr>
        <w:t>vo</w:t>
      </w:r>
      <w:r>
        <w:rPr>
          <w:b/>
        </w:rPr>
        <w:t xml:space="preserve"> </w:t>
      </w:r>
      <w:r>
        <w:rPr>
          <w:b/>
          <w:u w:val="single" w:color="000000"/>
        </w:rPr>
        <w:t>verejnom</w:t>
      </w:r>
      <w:r>
        <w:rPr>
          <w:b/>
        </w:rPr>
        <w:t xml:space="preserve"> </w:t>
      </w:r>
      <w:r>
        <w:rPr>
          <w:b/>
          <w:u w:val="single" w:color="000000"/>
        </w:rPr>
        <w:t>záujme</w:t>
      </w:r>
      <w:r>
        <w:rPr/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  <w:r>
        <w:rPr>
          <w:b/>
        </w:rPr>
        <w:t>- spoločnosť nemá</w:t>
      </w:r>
      <w:r>
        <w:rPr>
          <w:rFonts w:eastAsia="Times New Roman" w:cs="Times New Roman" w:ascii="Times New Roman" w:hAnsi="Times New Roman"/>
          <w:sz w:val="24"/>
        </w:rPr>
        <w:t xml:space="preserve"> </w:t>
      </w:r>
      <w:r>
        <w:rPr/>
        <w:t xml:space="preserve">  </w:t>
      </w:r>
    </w:p>
    <w:sectPr>
      <w:headerReference w:type="even" r:id="rId2"/>
      <w:headerReference w:type="default" r:id="rId3"/>
      <w:headerReference w:type="first" r:id="rId4"/>
      <w:type w:val="nextPage"/>
      <w:pgSz w:w="11920" w:h="16860"/>
      <w:pgMar w:left="1049" w:right="1358" w:gutter="0" w:header="239" w:top="1590" w:footer="0" w:bottom="1309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Gothic"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/>
    </w:pPr>
    <w:r>
      <w:rPr/>
      <w:t xml:space="preserve">Poznámky Úč MÚJ 3 – 01                           IČO: 52199967     DIČ: 2120926951  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/>
    </w:pPr>
    <w:r>
      <w:rPr/>
      <w:t>Poznámky Úč MÚJ 3 – 01                           IČO: 54919673    DIČ: 2121817511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/>
    </w:pPr>
    <w:r>
      <w:rPr/>
      <w:t>Poznámky Úč MÚJ 3 – 01                           IČO: 54919673    DIČ: 2121817511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7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9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10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5"/>
      <w:ind w:left="10" w:hanging="10"/>
      <w:jc w:val="both"/>
    </w:pPr>
    <w:rPr>
      <w:rFonts w:ascii="Calibri" w:hAnsi="Calibri" w:eastAsia="Calibri" w:cs="Calibri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next w:val="Normal"/>
    <w:link w:val="Nadpis1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left="10" w:hanging="10"/>
      <w:jc w:val="center"/>
      <w:outlineLvl w:val="0"/>
    </w:pPr>
    <w:rPr>
      <w:rFonts w:ascii="Calibri" w:hAnsi="Calibri" w:eastAsia="Calibri" w:cs="Calibri"/>
      <w:b/>
      <w:color w:val="000000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qFormat/>
    <w:rPr>
      <w:rFonts w:ascii="Calibri" w:hAnsi="Calibri" w:eastAsia="Calibri" w:cs="Calibri"/>
      <w:b/>
      <w:color w:val="000000"/>
      <w:sz w:val="22"/>
    </w:rPr>
  </w:style>
  <w:style w:type="character" w:styleId="PtaChar" w:customStyle="1">
    <w:name w:val="Päta Char"/>
    <w:basedOn w:val="DefaultParagraphFont"/>
    <w:uiPriority w:val="99"/>
    <w:qFormat/>
    <w:rsid w:val="004c0974"/>
    <w:rPr>
      <w:rFonts w:ascii="Calibri" w:hAnsi="Calibri" w:eastAsia="Calibri" w:cs="Calibri"/>
      <w:color w:val="00000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unhideWhenUsed/>
    <w:rsid w:val="004c097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hlavie">
    <w:name w:val="Head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LibreOffice/7.3.3.2$Windows_X86_64 LibreOffice_project/d1d0ea68f081ee2800a922cac8f79445e4603348</Application>
  <AppVersion>15.0000</AppVersion>
  <Pages>4</Pages>
  <Words>927</Words>
  <Characters>5741</Characters>
  <CharactersWithSpaces>7057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2020-06-12T07:08:00Z</dcterms:created>
  <dc:creator>Janka</dc:creator>
  <dc:description/>
  <dc:language>sk-SK</dc:language>
  <cp:lastModifiedBy/>
  <cp:lastPrinted>2020-10-28T14:45:00Z</cp:lastPrinted>
  <dcterms:modified xsi:type="dcterms:W3CDTF">2023-05-12T10:22:04Z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