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494B60" w14:textId="77777777" w:rsidR="004D6D92" w:rsidRDefault="004D6D92" w:rsidP="004D6D92">
      <w:pPr>
        <w:pStyle w:val="Default"/>
      </w:pPr>
    </w:p>
    <w:p w14:paraId="28DD6F0E" w14:textId="6F369853" w:rsidR="004D6D92" w:rsidRDefault="004D6D92" w:rsidP="004D6D92">
      <w:pPr>
        <w:pStyle w:val="Default"/>
        <w:rPr>
          <w:sz w:val="20"/>
          <w:szCs w:val="20"/>
        </w:rPr>
      </w:pPr>
      <w:r>
        <w:t xml:space="preserve"> </w:t>
      </w:r>
      <w:r>
        <w:rPr>
          <w:sz w:val="20"/>
          <w:szCs w:val="20"/>
        </w:rPr>
        <w:t xml:space="preserve">Poznámky </w:t>
      </w:r>
      <w:proofErr w:type="spellStart"/>
      <w:r>
        <w:rPr>
          <w:sz w:val="20"/>
          <w:szCs w:val="20"/>
        </w:rPr>
        <w:t>Úč</w:t>
      </w:r>
      <w:proofErr w:type="spellEnd"/>
      <w:r>
        <w:rPr>
          <w:sz w:val="20"/>
          <w:szCs w:val="20"/>
        </w:rPr>
        <w:t xml:space="preserve"> MÚJ 3 - 01 IČO </w:t>
      </w:r>
      <w:r>
        <w:rPr>
          <w:sz w:val="20"/>
          <w:szCs w:val="20"/>
        </w:rPr>
        <w:t>46957065</w:t>
      </w:r>
      <w:r>
        <w:rPr>
          <w:sz w:val="20"/>
          <w:szCs w:val="20"/>
        </w:rPr>
        <w:t xml:space="preserve"> DIČ </w:t>
      </w:r>
      <w:r>
        <w:rPr>
          <w:sz w:val="20"/>
          <w:szCs w:val="20"/>
        </w:rPr>
        <w:t>2023695443</w:t>
      </w:r>
    </w:p>
    <w:p w14:paraId="51FA2302" w14:textId="77777777" w:rsidR="004D6D92" w:rsidRDefault="004D6D92" w:rsidP="004D6D92">
      <w:pPr>
        <w:pStyle w:val="Default"/>
        <w:rPr>
          <w:color w:val="auto"/>
        </w:rPr>
      </w:pPr>
    </w:p>
    <w:p w14:paraId="041DE30A" w14:textId="77777777" w:rsidR="004D6D92" w:rsidRDefault="004D6D92" w:rsidP="004D6D92">
      <w:pPr>
        <w:pStyle w:val="Default"/>
        <w:rPr>
          <w:color w:val="auto"/>
          <w:sz w:val="18"/>
          <w:szCs w:val="18"/>
        </w:rPr>
      </w:pPr>
      <w:r>
        <w:rPr>
          <w:color w:val="auto"/>
        </w:rPr>
        <w:t xml:space="preserve"> </w:t>
      </w:r>
      <w:r>
        <w:rPr>
          <w:color w:val="auto"/>
          <w:sz w:val="18"/>
          <w:szCs w:val="18"/>
        </w:rPr>
        <w:t xml:space="preserve">1 </w:t>
      </w:r>
    </w:p>
    <w:p w14:paraId="099BABE9" w14:textId="77777777" w:rsidR="004D6D92" w:rsidRDefault="004D6D92" w:rsidP="004D6D92">
      <w:pPr>
        <w:pStyle w:val="Default"/>
        <w:rPr>
          <w:color w:val="auto"/>
        </w:rPr>
      </w:pPr>
    </w:p>
    <w:p w14:paraId="341EC2BE" w14:textId="77777777" w:rsidR="004D6D92" w:rsidRDefault="004D6D92" w:rsidP="004D6D92">
      <w:pPr>
        <w:pStyle w:val="Default"/>
        <w:rPr>
          <w:color w:val="auto"/>
          <w:sz w:val="18"/>
          <w:szCs w:val="18"/>
        </w:rPr>
      </w:pPr>
      <w:r>
        <w:rPr>
          <w:color w:val="auto"/>
        </w:rPr>
        <w:t xml:space="preserve"> </w:t>
      </w:r>
      <w:r>
        <w:rPr>
          <w:b/>
          <w:bCs/>
          <w:color w:val="auto"/>
          <w:sz w:val="18"/>
          <w:szCs w:val="18"/>
        </w:rPr>
        <w:t xml:space="preserve">Čl. I – Všeobecné údaje </w:t>
      </w:r>
    </w:p>
    <w:p w14:paraId="1B21B63D" w14:textId="77777777" w:rsidR="004D6D92" w:rsidRDefault="004D6D92" w:rsidP="004D6D92">
      <w:pPr>
        <w:pStyle w:val="Default"/>
        <w:rPr>
          <w:color w:val="auto"/>
          <w:sz w:val="18"/>
          <w:szCs w:val="18"/>
        </w:rPr>
      </w:pPr>
      <w:r>
        <w:rPr>
          <w:b/>
          <w:bCs/>
          <w:color w:val="auto"/>
          <w:sz w:val="18"/>
          <w:szCs w:val="18"/>
        </w:rPr>
        <w:t xml:space="preserve">1. Obchodné meno a sídlo spoločnosti: </w:t>
      </w:r>
    </w:p>
    <w:p w14:paraId="7758F303" w14:textId="04744D91" w:rsidR="004D6D92" w:rsidRDefault="004D6D92" w:rsidP="004D6D92">
      <w:pPr>
        <w:pStyle w:val="Default"/>
        <w:rPr>
          <w:color w:val="auto"/>
          <w:sz w:val="18"/>
          <w:szCs w:val="18"/>
        </w:rPr>
      </w:pPr>
      <w:proofErr w:type="spellStart"/>
      <w:r>
        <w:rPr>
          <w:color w:val="auto"/>
          <w:sz w:val="18"/>
          <w:szCs w:val="18"/>
        </w:rPr>
        <w:t>Ekonpol</w:t>
      </w:r>
      <w:proofErr w:type="spellEnd"/>
      <w:r>
        <w:rPr>
          <w:color w:val="auto"/>
          <w:sz w:val="18"/>
          <w:szCs w:val="18"/>
        </w:rPr>
        <w:t xml:space="preserve"> </w:t>
      </w:r>
      <w:proofErr w:type="spellStart"/>
      <w:r>
        <w:rPr>
          <w:color w:val="auto"/>
          <w:sz w:val="18"/>
          <w:szCs w:val="18"/>
        </w:rPr>
        <w:t>s.r.o</w:t>
      </w:r>
      <w:proofErr w:type="spellEnd"/>
      <w:r>
        <w:rPr>
          <w:color w:val="auto"/>
          <w:sz w:val="18"/>
          <w:szCs w:val="18"/>
        </w:rPr>
        <w:t xml:space="preserve">. </w:t>
      </w:r>
    </w:p>
    <w:p w14:paraId="2A6FA46A" w14:textId="3BEB2296" w:rsidR="004D6D92" w:rsidRDefault="004D6D92" w:rsidP="004D6D92">
      <w:pPr>
        <w:pStyle w:val="Default"/>
        <w:rPr>
          <w:color w:val="auto"/>
          <w:sz w:val="18"/>
          <w:szCs w:val="18"/>
        </w:rPr>
      </w:pPr>
      <w:r>
        <w:rPr>
          <w:color w:val="auto"/>
          <w:sz w:val="18"/>
          <w:szCs w:val="18"/>
        </w:rPr>
        <w:t>Stupava 5012</w:t>
      </w:r>
    </w:p>
    <w:p w14:paraId="180346C2" w14:textId="34056447" w:rsidR="004D6D92" w:rsidRDefault="004D6D92" w:rsidP="004D6D92">
      <w:pPr>
        <w:pStyle w:val="Default"/>
        <w:rPr>
          <w:color w:val="auto"/>
          <w:sz w:val="18"/>
          <w:szCs w:val="18"/>
        </w:rPr>
      </w:pPr>
      <w:r>
        <w:rPr>
          <w:color w:val="auto"/>
          <w:sz w:val="18"/>
          <w:szCs w:val="18"/>
        </w:rPr>
        <w:t>900 31 Stupava</w:t>
      </w:r>
    </w:p>
    <w:p w14:paraId="50BE488F" w14:textId="179CBA23" w:rsidR="004D6D92" w:rsidRDefault="004D6D92" w:rsidP="004D6D92">
      <w:pPr>
        <w:pStyle w:val="Default"/>
        <w:rPr>
          <w:color w:val="auto"/>
          <w:sz w:val="18"/>
          <w:szCs w:val="18"/>
        </w:rPr>
      </w:pPr>
      <w:r>
        <w:rPr>
          <w:color w:val="auto"/>
          <w:sz w:val="18"/>
          <w:szCs w:val="18"/>
        </w:rPr>
        <w:t xml:space="preserve">Spoločnosť </w:t>
      </w:r>
      <w:proofErr w:type="spellStart"/>
      <w:r>
        <w:rPr>
          <w:color w:val="auto"/>
          <w:sz w:val="18"/>
          <w:szCs w:val="18"/>
        </w:rPr>
        <w:t>Ekonpol</w:t>
      </w:r>
      <w:proofErr w:type="spellEnd"/>
      <w:r>
        <w:rPr>
          <w:color w:val="auto"/>
          <w:sz w:val="18"/>
          <w:szCs w:val="18"/>
        </w:rPr>
        <w:t xml:space="preserve"> </w:t>
      </w:r>
      <w:proofErr w:type="spellStart"/>
      <w:r>
        <w:rPr>
          <w:color w:val="auto"/>
          <w:sz w:val="18"/>
          <w:szCs w:val="18"/>
        </w:rPr>
        <w:t>s.r.o</w:t>
      </w:r>
      <w:proofErr w:type="spellEnd"/>
      <w:r>
        <w:rPr>
          <w:color w:val="auto"/>
          <w:sz w:val="18"/>
          <w:szCs w:val="18"/>
        </w:rPr>
        <w:t xml:space="preserve">. bola založená zakladateľskou listinou dňa </w:t>
      </w:r>
      <w:r>
        <w:rPr>
          <w:color w:val="auto"/>
          <w:sz w:val="18"/>
          <w:szCs w:val="18"/>
        </w:rPr>
        <w:t>12.12.2012</w:t>
      </w:r>
      <w:r>
        <w:rPr>
          <w:color w:val="auto"/>
          <w:sz w:val="18"/>
          <w:szCs w:val="18"/>
        </w:rPr>
        <w:t xml:space="preserve">, do obchodného registra bola zapísaná </w:t>
      </w:r>
      <w:r>
        <w:rPr>
          <w:color w:val="auto"/>
          <w:sz w:val="18"/>
          <w:szCs w:val="18"/>
        </w:rPr>
        <w:t>16.01.2013</w:t>
      </w:r>
      <w:r>
        <w:rPr>
          <w:color w:val="auto"/>
          <w:sz w:val="18"/>
          <w:szCs w:val="18"/>
        </w:rPr>
        <w:t xml:space="preserve"> (Obchodný register Okresného súdu Bratislava I v Bratislave, oddiel </w:t>
      </w:r>
      <w:proofErr w:type="spellStart"/>
      <w:r>
        <w:rPr>
          <w:color w:val="auto"/>
          <w:sz w:val="18"/>
          <w:szCs w:val="18"/>
        </w:rPr>
        <w:t>s.r.o</w:t>
      </w:r>
      <w:proofErr w:type="spellEnd"/>
      <w:r>
        <w:rPr>
          <w:color w:val="auto"/>
          <w:sz w:val="18"/>
          <w:szCs w:val="18"/>
        </w:rPr>
        <w:t xml:space="preserve">., vložka </w:t>
      </w:r>
      <w:r>
        <w:rPr>
          <w:color w:val="auto"/>
          <w:sz w:val="18"/>
          <w:szCs w:val="18"/>
        </w:rPr>
        <w:t>86678</w:t>
      </w:r>
      <w:r>
        <w:rPr>
          <w:color w:val="auto"/>
          <w:sz w:val="18"/>
          <w:szCs w:val="18"/>
        </w:rPr>
        <w:t xml:space="preserve">/B). </w:t>
      </w:r>
    </w:p>
    <w:p w14:paraId="2EF265C0" w14:textId="77777777" w:rsidR="004D6D92" w:rsidRDefault="004D6D92" w:rsidP="004D6D92">
      <w:pPr>
        <w:pStyle w:val="Default"/>
        <w:rPr>
          <w:color w:val="auto"/>
          <w:sz w:val="18"/>
          <w:szCs w:val="18"/>
        </w:rPr>
      </w:pPr>
      <w:r>
        <w:rPr>
          <w:b/>
          <w:bCs/>
          <w:color w:val="auto"/>
          <w:sz w:val="18"/>
          <w:szCs w:val="18"/>
        </w:rPr>
        <w:t xml:space="preserve">2. Informácie o konsolidovanom celku </w:t>
      </w:r>
    </w:p>
    <w:p w14:paraId="24363B63" w14:textId="77777777" w:rsidR="004D6D92" w:rsidRDefault="004D6D92" w:rsidP="004D6D92">
      <w:pPr>
        <w:pStyle w:val="Default"/>
        <w:rPr>
          <w:color w:val="auto"/>
          <w:sz w:val="18"/>
          <w:szCs w:val="18"/>
        </w:rPr>
      </w:pPr>
    </w:p>
    <w:p w14:paraId="4F910720" w14:textId="77777777" w:rsidR="004D6D92" w:rsidRDefault="004D6D92" w:rsidP="004D6D92">
      <w:pPr>
        <w:pStyle w:val="Default"/>
        <w:rPr>
          <w:color w:val="auto"/>
          <w:sz w:val="18"/>
          <w:szCs w:val="18"/>
        </w:rPr>
      </w:pPr>
      <w:r>
        <w:rPr>
          <w:color w:val="auto"/>
          <w:sz w:val="18"/>
          <w:szCs w:val="18"/>
        </w:rPr>
        <w:t xml:space="preserve">Spoločnosť sa nezahrnuje do žiadnej konsolidovanej účtovnej závierky, nakoľko Spoločnosť nie je súčasťou žiadneho konsolidovaného celku. </w:t>
      </w:r>
    </w:p>
    <w:p w14:paraId="09CB3F61" w14:textId="77777777" w:rsidR="004D6D92" w:rsidRDefault="004D6D92" w:rsidP="004D6D92">
      <w:pPr>
        <w:pStyle w:val="Default"/>
        <w:rPr>
          <w:color w:val="auto"/>
          <w:sz w:val="18"/>
          <w:szCs w:val="18"/>
        </w:rPr>
      </w:pPr>
      <w:r>
        <w:rPr>
          <w:b/>
          <w:bCs/>
          <w:color w:val="auto"/>
          <w:sz w:val="18"/>
          <w:szCs w:val="18"/>
        </w:rPr>
        <w:t xml:space="preserve">3. Priemerný počet zamestnancov </w:t>
      </w:r>
    </w:p>
    <w:p w14:paraId="554B1D2A" w14:textId="42FA7C6F" w:rsidR="004D6D92" w:rsidRDefault="004D6D92" w:rsidP="004D6D92">
      <w:pPr>
        <w:pStyle w:val="Default"/>
        <w:rPr>
          <w:color w:val="auto"/>
          <w:sz w:val="18"/>
          <w:szCs w:val="18"/>
        </w:rPr>
      </w:pPr>
      <w:r>
        <w:rPr>
          <w:color w:val="auto"/>
          <w:sz w:val="18"/>
          <w:szCs w:val="18"/>
        </w:rPr>
        <w:t xml:space="preserve">Spoločnosť zamestnáva </w:t>
      </w:r>
      <w:r>
        <w:rPr>
          <w:color w:val="auto"/>
          <w:sz w:val="18"/>
          <w:szCs w:val="18"/>
        </w:rPr>
        <w:t>0</w:t>
      </w:r>
      <w:r>
        <w:rPr>
          <w:color w:val="auto"/>
          <w:sz w:val="18"/>
          <w:szCs w:val="18"/>
        </w:rPr>
        <w:t xml:space="preserve"> zamestnanc</w:t>
      </w:r>
      <w:r>
        <w:rPr>
          <w:color w:val="auto"/>
          <w:sz w:val="18"/>
          <w:szCs w:val="18"/>
        </w:rPr>
        <w:t>ov</w:t>
      </w:r>
      <w:r>
        <w:rPr>
          <w:color w:val="auto"/>
          <w:sz w:val="18"/>
          <w:szCs w:val="18"/>
        </w:rPr>
        <w:t xml:space="preserve">. </w:t>
      </w:r>
    </w:p>
    <w:p w14:paraId="3DAAC58D" w14:textId="77777777" w:rsidR="004D6D92" w:rsidRDefault="004D6D92" w:rsidP="004D6D92">
      <w:pPr>
        <w:pStyle w:val="Default"/>
        <w:rPr>
          <w:color w:val="auto"/>
          <w:sz w:val="18"/>
          <w:szCs w:val="18"/>
        </w:rPr>
      </w:pPr>
      <w:r>
        <w:rPr>
          <w:b/>
          <w:bCs/>
          <w:color w:val="auto"/>
          <w:sz w:val="18"/>
          <w:szCs w:val="18"/>
        </w:rPr>
        <w:t xml:space="preserve">Čl. II. – Informácie o prijatých postupoch </w:t>
      </w:r>
    </w:p>
    <w:p w14:paraId="5B697E46" w14:textId="77777777" w:rsidR="004D6D92" w:rsidRDefault="004D6D92" w:rsidP="004D6D92">
      <w:pPr>
        <w:pStyle w:val="Default"/>
        <w:rPr>
          <w:color w:val="auto"/>
          <w:sz w:val="18"/>
          <w:szCs w:val="18"/>
        </w:rPr>
      </w:pPr>
      <w:r>
        <w:rPr>
          <w:b/>
          <w:bCs/>
          <w:color w:val="auto"/>
          <w:sz w:val="18"/>
          <w:szCs w:val="18"/>
        </w:rPr>
        <w:t xml:space="preserve">1. </w:t>
      </w:r>
      <w:r>
        <w:rPr>
          <w:color w:val="auto"/>
          <w:sz w:val="18"/>
          <w:szCs w:val="18"/>
        </w:rPr>
        <w:t xml:space="preserve">Účtovná závierka Spoločnosti k 31. decembru 2022 je zostavená za predpokladu nepretržitého pokračovania v činnosti. </w:t>
      </w:r>
    </w:p>
    <w:p w14:paraId="791E2B47" w14:textId="77777777" w:rsidR="004D6D92" w:rsidRDefault="004D6D92" w:rsidP="004D6D92">
      <w:pPr>
        <w:pStyle w:val="Default"/>
        <w:rPr>
          <w:color w:val="auto"/>
          <w:sz w:val="18"/>
          <w:szCs w:val="18"/>
        </w:rPr>
      </w:pPr>
    </w:p>
    <w:p w14:paraId="156F398F" w14:textId="77777777" w:rsidR="004D6D92" w:rsidRDefault="004D6D92" w:rsidP="004D6D92">
      <w:pPr>
        <w:pStyle w:val="Default"/>
        <w:rPr>
          <w:color w:val="auto"/>
          <w:sz w:val="18"/>
          <w:szCs w:val="18"/>
        </w:rPr>
      </w:pPr>
      <w:r>
        <w:rPr>
          <w:b/>
          <w:bCs/>
          <w:color w:val="auto"/>
          <w:sz w:val="18"/>
          <w:szCs w:val="18"/>
        </w:rPr>
        <w:t>2. Spôsob oceňovania jednotlivých položiek majetku a záväzkov</w:t>
      </w:r>
      <w:r>
        <w:rPr>
          <w:color w:val="auto"/>
          <w:sz w:val="18"/>
          <w:szCs w:val="18"/>
        </w:rPr>
        <w:t xml:space="preserve">: </w:t>
      </w:r>
    </w:p>
    <w:p w14:paraId="66FFD2AD" w14:textId="77777777" w:rsidR="004D6D92" w:rsidRDefault="004D6D92" w:rsidP="004D6D92">
      <w:pPr>
        <w:pStyle w:val="Default"/>
        <w:rPr>
          <w:color w:val="auto"/>
          <w:sz w:val="18"/>
          <w:szCs w:val="18"/>
        </w:rPr>
      </w:pPr>
    </w:p>
    <w:p w14:paraId="7F422BBB" w14:textId="77777777" w:rsidR="004D6D92" w:rsidRDefault="004D6D92" w:rsidP="004D6D92">
      <w:pPr>
        <w:pStyle w:val="Default"/>
        <w:rPr>
          <w:color w:val="auto"/>
          <w:sz w:val="18"/>
          <w:szCs w:val="18"/>
        </w:rPr>
      </w:pPr>
      <w:r>
        <w:rPr>
          <w:b/>
          <w:bCs/>
          <w:color w:val="auto"/>
          <w:sz w:val="18"/>
          <w:szCs w:val="18"/>
        </w:rPr>
        <w:t xml:space="preserve">a) Dlhodobý hmotný majetok </w:t>
      </w:r>
    </w:p>
    <w:p w14:paraId="2894B2ED" w14:textId="77777777" w:rsidR="004D6D92" w:rsidRDefault="004D6D92" w:rsidP="004D6D92">
      <w:pPr>
        <w:pStyle w:val="Default"/>
        <w:rPr>
          <w:color w:val="auto"/>
          <w:sz w:val="18"/>
          <w:szCs w:val="18"/>
        </w:rPr>
      </w:pPr>
    </w:p>
    <w:p w14:paraId="6BA0E9AA" w14:textId="77777777" w:rsidR="004D6D92" w:rsidRDefault="004D6D92" w:rsidP="004D6D92">
      <w:pPr>
        <w:pStyle w:val="Default"/>
        <w:rPr>
          <w:color w:val="auto"/>
          <w:sz w:val="18"/>
          <w:szCs w:val="18"/>
        </w:rPr>
      </w:pPr>
      <w:r>
        <w:rPr>
          <w:color w:val="auto"/>
          <w:sz w:val="18"/>
          <w:szCs w:val="18"/>
        </w:rPr>
        <w:t xml:space="preserve">Dlhodobý majetok nakupovaný sa oceňuje obstarávacou cenou, ktorá zahrnuje cenu obstarania a náklady súvisiace s obstaraním (clo, prepravu, montáž, poistné a pod.). Súčasťou obstarávacej ceny nie sú úroky z cudzích zdrojov ani realizované kurzové rozdiely, ktoré vznikli do momentu uvedenia dlhodobého majetku do používania. </w:t>
      </w:r>
    </w:p>
    <w:tbl>
      <w:tblPr>
        <w:tblW w:w="0" w:type="auto"/>
        <w:tblInd w:w="-168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14"/>
        <w:gridCol w:w="704"/>
        <w:gridCol w:w="1410"/>
        <w:gridCol w:w="1408"/>
        <w:gridCol w:w="706"/>
        <w:gridCol w:w="2114"/>
      </w:tblGrid>
      <w:tr w:rsidR="004D6D92" w14:paraId="5D9B9865" w14:textId="77777777">
        <w:tblPrEx>
          <w:tblCellMar>
            <w:top w:w="0" w:type="dxa"/>
            <w:bottom w:w="0" w:type="dxa"/>
          </w:tblCellMar>
        </w:tblPrEx>
        <w:trPr>
          <w:trHeight w:val="81"/>
        </w:trPr>
        <w:tc>
          <w:tcPr>
            <w:tcW w:w="2114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1731081C" w14:textId="77777777" w:rsidR="004D6D92" w:rsidRDefault="004D6D92">
            <w:pPr>
              <w:pStyle w:val="Default"/>
              <w:rPr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 xml:space="preserve">Odpisy dlhodobého hmotného majetku sú stanovené vychádzajúc z predpokladanej doby jeho používania a predpokladaného priebehu jeho opotrebovania. Odpisovať sa začína mesiacom, v ktorom bol dlhodobý majetok zaradený do používania. Drobný dlhodobý hmotný majetok, ktorého obstarávacia cena (resp. vlastné náklady) je 1.700,- EUR a nižšia, sa účtuje na ťarchu účtu 501-700. Predpokladaná doba používania, metóda odpisovania a odpisová sadzba sú uvedené v nasledujúcej tabuľke: </w:t>
            </w:r>
            <w:r>
              <w:rPr>
                <w:sz w:val="18"/>
                <w:szCs w:val="18"/>
              </w:rPr>
              <w:t xml:space="preserve">Druh majetku </w:t>
            </w:r>
          </w:p>
        </w:tc>
        <w:tc>
          <w:tcPr>
            <w:tcW w:w="2114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4F10DCA2" w14:textId="77777777" w:rsidR="004D6D92" w:rsidRDefault="004D6D92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predpokladaná </w:t>
            </w:r>
          </w:p>
        </w:tc>
        <w:tc>
          <w:tcPr>
            <w:tcW w:w="2114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54ED111C" w14:textId="77777777" w:rsidR="004D6D92" w:rsidRDefault="004D6D92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metóda </w:t>
            </w:r>
          </w:p>
        </w:tc>
        <w:tc>
          <w:tcPr>
            <w:tcW w:w="2114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25B64C58" w14:textId="77777777" w:rsidR="004D6D92" w:rsidRDefault="004D6D92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ročná odpisová </w:t>
            </w:r>
          </w:p>
        </w:tc>
      </w:tr>
      <w:tr w:rsidR="004D6D92" w14:paraId="13065EA6" w14:textId="77777777">
        <w:tblPrEx>
          <w:tblCellMar>
            <w:top w:w="0" w:type="dxa"/>
            <w:bottom w:w="0" w:type="dxa"/>
          </w:tblCellMar>
        </w:tblPrEx>
        <w:trPr>
          <w:trHeight w:val="81"/>
        </w:trPr>
        <w:tc>
          <w:tcPr>
            <w:tcW w:w="2818" w:type="dxa"/>
            <w:gridSpan w:val="2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35323F05" w14:textId="77777777" w:rsidR="004D6D92" w:rsidRDefault="004D6D92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doba používania </w:t>
            </w:r>
          </w:p>
        </w:tc>
        <w:tc>
          <w:tcPr>
            <w:tcW w:w="2818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63A884F8" w14:textId="77777777" w:rsidR="004D6D92" w:rsidRDefault="004D6D92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odpisovania </w:t>
            </w:r>
          </w:p>
        </w:tc>
        <w:tc>
          <w:tcPr>
            <w:tcW w:w="2818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53021C59" w14:textId="77777777" w:rsidR="004D6D92" w:rsidRDefault="004D6D92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sadzba v % </w:t>
            </w:r>
          </w:p>
        </w:tc>
      </w:tr>
      <w:tr w:rsidR="004D6D92" w14:paraId="37565229" w14:textId="77777777">
        <w:tblPrEx>
          <w:tblCellMar>
            <w:top w:w="0" w:type="dxa"/>
            <w:bottom w:w="0" w:type="dxa"/>
          </w:tblCellMar>
        </w:tblPrEx>
        <w:trPr>
          <w:trHeight w:val="185"/>
        </w:trPr>
        <w:tc>
          <w:tcPr>
            <w:tcW w:w="2114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7669B163" w14:textId="77777777" w:rsidR="004D6D92" w:rsidRDefault="004D6D92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Dopravné prostriedky </w:t>
            </w:r>
          </w:p>
          <w:p w14:paraId="4FC70DD0" w14:textId="77777777" w:rsidR="004D6D92" w:rsidRDefault="004D6D92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Kancelárske stroje </w:t>
            </w:r>
          </w:p>
        </w:tc>
        <w:tc>
          <w:tcPr>
            <w:tcW w:w="2114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2269BF4E" w14:textId="77777777" w:rsidR="004D6D92" w:rsidRDefault="004D6D92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 roky </w:t>
            </w:r>
          </w:p>
          <w:p w14:paraId="4DDCC58A" w14:textId="77777777" w:rsidR="004D6D92" w:rsidRDefault="004D6D92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4-6 rokov </w:t>
            </w:r>
          </w:p>
        </w:tc>
        <w:tc>
          <w:tcPr>
            <w:tcW w:w="2114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29930D6F" w14:textId="77777777" w:rsidR="004D6D92" w:rsidRDefault="004D6D92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Lineárna </w:t>
            </w:r>
          </w:p>
          <w:p w14:paraId="09772E0C" w14:textId="77777777" w:rsidR="004D6D92" w:rsidRDefault="004D6D92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Lineárna </w:t>
            </w:r>
          </w:p>
        </w:tc>
        <w:tc>
          <w:tcPr>
            <w:tcW w:w="2114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3C2E4A37" w14:textId="77777777" w:rsidR="004D6D92" w:rsidRDefault="004D6D92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25% </w:t>
            </w:r>
          </w:p>
          <w:p w14:paraId="56E2013C" w14:textId="77777777" w:rsidR="004D6D92" w:rsidRDefault="004D6D92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16,67 – 25% </w:t>
            </w:r>
          </w:p>
        </w:tc>
      </w:tr>
    </w:tbl>
    <w:p w14:paraId="03F67B70" w14:textId="77777777" w:rsidR="00BB3D70" w:rsidRDefault="00BB3D70"/>
    <w:p w14:paraId="0C85BB39" w14:textId="77777777" w:rsidR="004D6D92" w:rsidRDefault="004D6D92" w:rsidP="004D6D92">
      <w:pPr>
        <w:pStyle w:val="Default"/>
      </w:pPr>
    </w:p>
    <w:p w14:paraId="016C3248" w14:textId="77777777" w:rsidR="004D6D92" w:rsidRDefault="004D6D92" w:rsidP="004D6D92">
      <w:pPr>
        <w:pStyle w:val="Default"/>
      </w:pPr>
      <w:r>
        <w:t xml:space="preserve"> </w:t>
      </w:r>
    </w:p>
    <w:p w14:paraId="2ED1ACF4" w14:textId="77777777" w:rsidR="004D6D92" w:rsidRDefault="004D6D92" w:rsidP="004D6D92">
      <w:pPr>
        <w:pStyle w:val="Default"/>
        <w:rPr>
          <w:sz w:val="18"/>
          <w:szCs w:val="18"/>
        </w:rPr>
      </w:pPr>
      <w:r>
        <w:rPr>
          <w:b/>
          <w:bCs/>
          <w:sz w:val="18"/>
          <w:szCs w:val="18"/>
        </w:rPr>
        <w:t xml:space="preserve">b) Pohľadávky </w:t>
      </w:r>
    </w:p>
    <w:p w14:paraId="3CE4DA58" w14:textId="77777777" w:rsidR="004D6D92" w:rsidRDefault="004D6D92" w:rsidP="004D6D92">
      <w:pPr>
        <w:pStyle w:val="Default"/>
        <w:rPr>
          <w:sz w:val="18"/>
          <w:szCs w:val="18"/>
        </w:rPr>
      </w:pPr>
      <w:r>
        <w:rPr>
          <w:sz w:val="18"/>
          <w:szCs w:val="18"/>
        </w:rPr>
        <w:t xml:space="preserve">Pohľadávky sa pri ich vzniku oceňujú ich menovitou hodnotou.. Toto ocenenie sa znižuje o pochybné a nevymožiteľné pohľadávky prostredníctvom tvorby opravných položiek. </w:t>
      </w:r>
    </w:p>
    <w:p w14:paraId="32992ECF" w14:textId="77777777" w:rsidR="004D6D92" w:rsidRDefault="004D6D92" w:rsidP="004D6D92">
      <w:pPr>
        <w:pStyle w:val="Default"/>
        <w:rPr>
          <w:sz w:val="18"/>
          <w:szCs w:val="18"/>
        </w:rPr>
      </w:pPr>
      <w:r>
        <w:rPr>
          <w:b/>
          <w:bCs/>
          <w:sz w:val="18"/>
          <w:szCs w:val="18"/>
        </w:rPr>
        <w:t xml:space="preserve">c) Peňažné prostriedky a ceniny </w:t>
      </w:r>
    </w:p>
    <w:p w14:paraId="6695B96F" w14:textId="5C33B1F6" w:rsidR="004D6D92" w:rsidRDefault="004D6D92" w:rsidP="004D6D92">
      <w:pPr>
        <w:pStyle w:val="Default"/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Poznámky </w:t>
      </w:r>
      <w:proofErr w:type="spellStart"/>
      <w:r>
        <w:rPr>
          <w:sz w:val="20"/>
          <w:szCs w:val="20"/>
        </w:rPr>
        <w:t>Úč</w:t>
      </w:r>
      <w:proofErr w:type="spellEnd"/>
      <w:r>
        <w:rPr>
          <w:sz w:val="20"/>
          <w:szCs w:val="20"/>
        </w:rPr>
        <w:t xml:space="preserve"> MÚJ 3 - 01 IČO 46957065 DIČ 2023695443</w:t>
      </w:r>
    </w:p>
    <w:p w14:paraId="7525BDF5" w14:textId="77777777" w:rsidR="004D6D92" w:rsidRDefault="004D6D92" w:rsidP="004D6D92">
      <w:pPr>
        <w:pStyle w:val="Default"/>
        <w:rPr>
          <w:sz w:val="20"/>
          <w:szCs w:val="20"/>
        </w:rPr>
      </w:pPr>
    </w:p>
    <w:p w14:paraId="58666B35" w14:textId="77777777" w:rsidR="004D6D92" w:rsidRDefault="004D6D92" w:rsidP="004D6D92">
      <w:pPr>
        <w:pStyle w:val="Default"/>
        <w:rPr>
          <w:color w:val="auto"/>
          <w:sz w:val="18"/>
          <w:szCs w:val="18"/>
        </w:rPr>
      </w:pPr>
      <w:r>
        <w:rPr>
          <w:color w:val="auto"/>
          <w:sz w:val="18"/>
          <w:szCs w:val="18"/>
        </w:rPr>
        <w:t xml:space="preserve">2 </w:t>
      </w:r>
    </w:p>
    <w:p w14:paraId="39A58C46" w14:textId="77777777" w:rsidR="004D6D92" w:rsidRDefault="004D6D92" w:rsidP="004D6D92">
      <w:pPr>
        <w:pStyle w:val="Default"/>
        <w:rPr>
          <w:sz w:val="18"/>
          <w:szCs w:val="18"/>
        </w:rPr>
      </w:pPr>
    </w:p>
    <w:p w14:paraId="1F032170" w14:textId="77777777" w:rsidR="004D6D92" w:rsidRDefault="004D6D92" w:rsidP="004D6D92">
      <w:pPr>
        <w:pStyle w:val="Default"/>
        <w:rPr>
          <w:sz w:val="18"/>
          <w:szCs w:val="18"/>
        </w:rPr>
      </w:pPr>
      <w:r>
        <w:rPr>
          <w:sz w:val="18"/>
          <w:szCs w:val="18"/>
        </w:rPr>
        <w:t xml:space="preserve">Peňažné prostriedky a ceniny sa oceňujú ich menovitou hodnotou. </w:t>
      </w:r>
    </w:p>
    <w:p w14:paraId="56268E84" w14:textId="77777777" w:rsidR="004D6D92" w:rsidRDefault="004D6D92" w:rsidP="004D6D92">
      <w:pPr>
        <w:pStyle w:val="Default"/>
        <w:rPr>
          <w:sz w:val="18"/>
          <w:szCs w:val="18"/>
        </w:rPr>
      </w:pPr>
      <w:r>
        <w:rPr>
          <w:b/>
          <w:bCs/>
          <w:sz w:val="18"/>
          <w:szCs w:val="18"/>
        </w:rPr>
        <w:t xml:space="preserve">d) Náklady budúcich období a príjmy budúcich období </w:t>
      </w:r>
    </w:p>
    <w:p w14:paraId="20364D13" w14:textId="77777777" w:rsidR="004D6D92" w:rsidRDefault="004D6D92" w:rsidP="004D6D92">
      <w:pPr>
        <w:pStyle w:val="Default"/>
        <w:rPr>
          <w:sz w:val="18"/>
          <w:szCs w:val="18"/>
        </w:rPr>
      </w:pPr>
    </w:p>
    <w:p w14:paraId="5E3793B0" w14:textId="77777777" w:rsidR="004D6D92" w:rsidRDefault="004D6D92" w:rsidP="004D6D92">
      <w:pPr>
        <w:pStyle w:val="Default"/>
        <w:rPr>
          <w:sz w:val="18"/>
          <w:szCs w:val="18"/>
        </w:rPr>
      </w:pPr>
      <w:r>
        <w:rPr>
          <w:sz w:val="18"/>
          <w:szCs w:val="18"/>
        </w:rPr>
        <w:t xml:space="preserve">Náklady budúcich období a príjmy budúcich období sa vykazujú vo výške, ktorá je potrebná na dodržanie zásady vecnej a časovej súvislosti s účtovným obdobím. </w:t>
      </w:r>
    </w:p>
    <w:p w14:paraId="1529B336" w14:textId="77777777" w:rsidR="004D6D92" w:rsidRDefault="004D6D92" w:rsidP="004D6D92">
      <w:pPr>
        <w:pStyle w:val="Default"/>
        <w:rPr>
          <w:sz w:val="18"/>
          <w:szCs w:val="18"/>
        </w:rPr>
      </w:pPr>
      <w:r>
        <w:rPr>
          <w:b/>
          <w:bCs/>
          <w:sz w:val="18"/>
          <w:szCs w:val="18"/>
        </w:rPr>
        <w:t xml:space="preserve">e) Záväzky </w:t>
      </w:r>
    </w:p>
    <w:p w14:paraId="7BCCE426" w14:textId="77777777" w:rsidR="004D6D92" w:rsidRDefault="004D6D92" w:rsidP="004D6D92">
      <w:pPr>
        <w:pStyle w:val="Default"/>
        <w:rPr>
          <w:sz w:val="18"/>
          <w:szCs w:val="18"/>
        </w:rPr>
      </w:pPr>
    </w:p>
    <w:p w14:paraId="22B4C151" w14:textId="77777777" w:rsidR="004D6D92" w:rsidRDefault="004D6D92" w:rsidP="004D6D92">
      <w:pPr>
        <w:pStyle w:val="Default"/>
        <w:rPr>
          <w:sz w:val="18"/>
          <w:szCs w:val="18"/>
        </w:rPr>
      </w:pPr>
      <w:r>
        <w:rPr>
          <w:sz w:val="18"/>
          <w:szCs w:val="18"/>
        </w:rPr>
        <w:t>Záväzky pri ich vzniku sa oceňujú menovitou hodnotou. Záväzky pri ich prevzatí sa oceňujú obstarávacou cenou. Ak sa pri inventarizácii zistí, že suma záväzkov je iná ako ich výška v účtovníctve, uvedú sa záväzky v účtovníctve a v účtovnej závierke v tomto zistenom ocenení</w:t>
      </w:r>
    </w:p>
    <w:p w14:paraId="59A2FA10" w14:textId="77777777" w:rsidR="004D6D92" w:rsidRDefault="004D6D92" w:rsidP="004D6D92">
      <w:pPr>
        <w:pStyle w:val="Default"/>
        <w:rPr>
          <w:sz w:val="18"/>
          <w:szCs w:val="18"/>
        </w:rPr>
      </w:pPr>
    </w:p>
    <w:p w14:paraId="70AE1601" w14:textId="77777777" w:rsidR="004D6D92" w:rsidRDefault="004D6D92" w:rsidP="004D6D92">
      <w:pPr>
        <w:pStyle w:val="Default"/>
        <w:rPr>
          <w:sz w:val="18"/>
          <w:szCs w:val="18"/>
        </w:rPr>
      </w:pPr>
    </w:p>
    <w:p w14:paraId="55C785FB" w14:textId="34650670" w:rsidR="004D6D92" w:rsidRDefault="004D6D92" w:rsidP="004D6D92">
      <w:pPr>
        <w:pStyle w:val="Default"/>
        <w:rPr>
          <w:color w:val="auto"/>
          <w:sz w:val="18"/>
          <w:szCs w:val="18"/>
        </w:rPr>
      </w:pPr>
      <w:r>
        <w:rPr>
          <w:b/>
          <w:bCs/>
          <w:color w:val="auto"/>
          <w:sz w:val="18"/>
          <w:szCs w:val="18"/>
        </w:rPr>
        <w:t xml:space="preserve">A. INFORMÁCIE O ÚDAJOCH V SÚVAHE A VO VÝKAZE ZISKOV A STRÁT </w:t>
      </w:r>
    </w:p>
    <w:p w14:paraId="626BCBC4" w14:textId="77777777" w:rsidR="004D6D92" w:rsidRDefault="004D6D92" w:rsidP="004D6D92">
      <w:pPr>
        <w:pStyle w:val="Default"/>
        <w:rPr>
          <w:color w:val="auto"/>
          <w:sz w:val="18"/>
          <w:szCs w:val="18"/>
        </w:rPr>
      </w:pPr>
      <w:r>
        <w:rPr>
          <w:b/>
          <w:bCs/>
          <w:color w:val="auto"/>
          <w:sz w:val="18"/>
          <w:szCs w:val="18"/>
        </w:rPr>
        <w:t xml:space="preserve">1. Záväzky </w:t>
      </w:r>
    </w:p>
    <w:p w14:paraId="67E9F323" w14:textId="5C751962" w:rsidR="004D6D92" w:rsidRDefault="004D6D92" w:rsidP="004D6D92">
      <w:r>
        <w:rPr>
          <w:sz w:val="18"/>
          <w:szCs w:val="18"/>
        </w:rPr>
        <w:t>Spoločnosť neeviduje záväzky s dobou splatnosti dlhšou ako 5 rokov.</w:t>
      </w:r>
    </w:p>
    <w:sectPr w:rsidR="004D6D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DFB6A5" w14:textId="77777777" w:rsidR="004411B6" w:rsidRDefault="004411B6" w:rsidP="004D6D92">
      <w:pPr>
        <w:spacing w:after="0" w:line="240" w:lineRule="auto"/>
      </w:pPr>
      <w:r>
        <w:separator/>
      </w:r>
    </w:p>
  </w:endnote>
  <w:endnote w:type="continuationSeparator" w:id="0">
    <w:p w14:paraId="25B8D916" w14:textId="77777777" w:rsidR="004411B6" w:rsidRDefault="004411B6" w:rsidP="004D6D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65B780" w14:textId="77777777" w:rsidR="004411B6" w:rsidRDefault="004411B6" w:rsidP="004D6D92">
      <w:pPr>
        <w:spacing w:after="0" w:line="240" w:lineRule="auto"/>
      </w:pPr>
      <w:r>
        <w:separator/>
      </w:r>
    </w:p>
  </w:footnote>
  <w:footnote w:type="continuationSeparator" w:id="0">
    <w:p w14:paraId="7E3DE549" w14:textId="77777777" w:rsidR="004411B6" w:rsidRDefault="004411B6" w:rsidP="004D6D9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6D92"/>
    <w:rsid w:val="004411B6"/>
    <w:rsid w:val="004D6D92"/>
    <w:rsid w:val="00BB3D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0ACA79"/>
  <w15:chartTrackingRefBased/>
  <w15:docId w15:val="{23F68E1D-43AD-47C1-A215-4942190306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4D6D9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4D6D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D6D92"/>
  </w:style>
  <w:style w:type="paragraph" w:styleId="Zpat">
    <w:name w:val="footer"/>
    <w:basedOn w:val="Normln"/>
    <w:link w:val="ZpatChar"/>
    <w:uiPriority w:val="99"/>
    <w:unhideWhenUsed/>
    <w:rsid w:val="004D6D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D6D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429</Words>
  <Characters>2447</Characters>
  <Application>Microsoft Office Word</Application>
  <DocSecurity>0</DocSecurity>
  <Lines>20</Lines>
  <Paragraphs>5</Paragraphs>
  <ScaleCrop>false</ScaleCrop>
  <Company/>
  <LinksUpToDate>false</LinksUpToDate>
  <CharactersWithSpaces>2871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jerigova.a@gmail.com</dc:creator>
  <cp:keywords/>
  <dc:description/>
  <cp:lastModifiedBy>jerigova.a@gmail.com</cp:lastModifiedBy>
  <cp:revision>1</cp:revision>
  <dcterms:created xsi:type="dcterms:W3CDTF">2023-05-22T12:40:00Z</dcterms:created>
  <dcterms:modified xsi:type="dcterms:W3CDTF">2023-05-22T12:48:00Z</dcterms:modified>
</cp:coreProperties>
</file>