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3C78" w14:textId="77777777" w:rsidR="005346A6" w:rsidRDefault="005346A6">
      <w:pPr>
        <w:spacing w:line="1" w:lineRule="exact"/>
      </w:pPr>
    </w:p>
    <w:p w14:paraId="7ED49BBC" w14:textId="57FA6240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Poznámky k 31.12.20</w:t>
      </w:r>
      <w:r w:rsidR="00FC29B6" w:rsidRPr="006D3D53">
        <w:rPr>
          <w:b/>
          <w:bCs/>
          <w:sz w:val="22"/>
          <w:szCs w:val="22"/>
        </w:rPr>
        <w:t>2</w:t>
      </w:r>
      <w:r w:rsidR="00345143">
        <w:rPr>
          <w:b/>
          <w:bCs/>
          <w:sz w:val="22"/>
          <w:szCs w:val="22"/>
        </w:rPr>
        <w:t>2</w:t>
      </w:r>
    </w:p>
    <w:p w14:paraId="3D677AD3" w14:textId="77777777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after="82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ako súčasť konsolidovanej účtovnej závierky</w:t>
      </w:r>
      <w:r w:rsidRPr="006D3D53">
        <w:rPr>
          <w:b/>
          <w:bCs/>
          <w:sz w:val="22"/>
          <w:szCs w:val="22"/>
        </w:rPr>
        <w:br/>
        <w:t>účtovnej jednotky verejnej správy</w:t>
      </w:r>
    </w:p>
    <w:p w14:paraId="45DFD07C" w14:textId="77777777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after="12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</w:t>
      </w:r>
    </w:p>
    <w:p w14:paraId="364E0B1A" w14:textId="77777777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Všeobecné údaje</w:t>
      </w:r>
    </w:p>
    <w:p w14:paraId="6B0CA70E" w14:textId="77777777" w:rsidR="005346A6" w:rsidRPr="006D3D53" w:rsidRDefault="005F056C">
      <w:pPr>
        <w:pStyle w:val="Nzovtabuky0"/>
        <w:framePr w:wrap="none" w:vAnchor="page" w:hAnchor="page" w:x="1093" w:y="3368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Identifikačné údaje o konsolidujúcej účtovnej jednotke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5346A6" w:rsidRPr="006D3D53" w14:paraId="25D7DC2C" w14:textId="77777777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1B048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49F16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Obec Bernolákovo</w:t>
            </w:r>
          </w:p>
        </w:tc>
      </w:tr>
      <w:tr w:rsidR="005346A6" w:rsidRPr="006D3D53" w14:paraId="77793D7D" w14:textId="77777777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63AE8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EB598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Hlavná 111, 900 27 Bernolákovo</w:t>
            </w:r>
          </w:p>
        </w:tc>
      </w:tr>
      <w:tr w:rsidR="005346A6" w:rsidRPr="006D3D53" w14:paraId="3D11BAB0" w14:textId="77777777">
        <w:trPr>
          <w:trHeight w:hRule="exact" w:val="8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8EA3C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C327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01.01.1991, podľa zákona č. 369/1990 Zb.</w:t>
            </w:r>
          </w:p>
        </w:tc>
      </w:tr>
    </w:tbl>
    <w:p w14:paraId="6C33B931" w14:textId="77777777" w:rsidR="005346A6" w:rsidRPr="006D3D53" w:rsidRDefault="005F056C">
      <w:pPr>
        <w:pStyle w:val="Zkladntext1"/>
        <w:framePr w:w="10272" w:h="600" w:hRule="exact" w:wrap="none" w:vAnchor="page" w:hAnchor="page" w:x="1026" w:y="6075"/>
        <w:shd w:val="clear" w:color="auto" w:fill="auto"/>
        <w:spacing w:line="240" w:lineRule="auto"/>
        <w:rPr>
          <w:sz w:val="22"/>
          <w:szCs w:val="22"/>
        </w:rPr>
      </w:pPr>
      <w:r w:rsidRPr="006D3D53">
        <w:rPr>
          <w:b/>
          <w:bCs/>
          <w:i/>
          <w:iCs/>
          <w:sz w:val="22"/>
          <w:szCs w:val="22"/>
        </w:rPr>
        <w:t>Identifikačné údaje o konsolidovaných účtovných jednotkách - rozpočtových organizáciách v zriaďovateľskej pôsobnosti konsolidujúcej účtovnej jednotky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5346A6" w:rsidRPr="006D3D53" w14:paraId="0180BBF2" w14:textId="77777777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4830A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3E263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Základná škola Bernolákovo</w:t>
            </w:r>
          </w:p>
        </w:tc>
      </w:tr>
      <w:tr w:rsidR="005346A6" w:rsidRPr="006D3D53" w14:paraId="15FE3294" w14:textId="77777777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6ED6F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F8FD7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Komenského č. 3, 90027 Bernolákovo</w:t>
            </w:r>
          </w:p>
        </w:tc>
      </w:tr>
      <w:tr w:rsidR="005346A6" w:rsidRPr="006D3D53" w14:paraId="54940DFC" w14:textId="77777777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71AD3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after="120"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Dátum založenia konsolidovanej účtovnej</w:t>
            </w:r>
          </w:p>
          <w:p w14:paraId="63FD004B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2FCF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01.07.2002</w:t>
            </w:r>
          </w:p>
        </w:tc>
      </w:tr>
      <w:tr w:rsidR="005346A6" w:rsidRPr="006D3D53" w14:paraId="5697A16D" w14:textId="77777777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96B11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D41F1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100%</w:t>
            </w:r>
          </w:p>
        </w:tc>
      </w:tr>
    </w:tbl>
    <w:p w14:paraId="1218BB93" w14:textId="77777777" w:rsidR="005346A6" w:rsidRPr="006D3D53" w:rsidRDefault="005F056C">
      <w:pPr>
        <w:pStyle w:val="Nzovtabuky0"/>
        <w:framePr w:wrap="none" w:vAnchor="page" w:hAnchor="page" w:x="1098" w:y="9488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Informácie o zamestnancoch konsolidovaného celku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5346A6" w:rsidRPr="006D3D53" w14:paraId="71E762BE" w14:textId="77777777">
        <w:trPr>
          <w:trHeight w:hRule="exact" w:val="12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BC3C" w14:textId="77777777" w:rsidR="005346A6" w:rsidRPr="006D3D53" w:rsidRDefault="005F056C">
            <w:pPr>
              <w:pStyle w:val="In0"/>
              <w:framePr w:w="10272" w:h="1694" w:wrap="none" w:vAnchor="page" w:hAnchor="page" w:x="1026" w:y="10054"/>
              <w:shd w:val="clear" w:color="auto" w:fill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Priemerný počet zamestnancov konsolidovaného celku (obce resp. VÚC) počas účtovného obdobia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22EBA" w14:textId="77CC2133" w:rsidR="005346A6" w:rsidRPr="006D3D53" w:rsidRDefault="002650E4">
            <w:pPr>
              <w:pStyle w:val="In0"/>
              <w:framePr w:w="10272" w:h="1694" w:wrap="none" w:vAnchor="page" w:hAnchor="page" w:x="1026" w:y="1005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02C4D">
              <w:rPr>
                <w:i/>
                <w:iCs/>
                <w:color w:val="FF0000"/>
                <w:sz w:val="22"/>
                <w:szCs w:val="22"/>
              </w:rPr>
              <w:t>305</w:t>
            </w:r>
          </w:p>
        </w:tc>
      </w:tr>
      <w:tr w:rsidR="005346A6" w:rsidRPr="006D3D53" w14:paraId="70E95E40" w14:textId="77777777">
        <w:trPr>
          <w:trHeight w:hRule="exact" w:val="4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416AC" w14:textId="77777777" w:rsidR="005346A6" w:rsidRPr="006D3D53" w:rsidRDefault="005F056C">
            <w:pPr>
              <w:pStyle w:val="In0"/>
              <w:framePr w:w="10272" w:h="1694" w:wrap="none" w:vAnchor="page" w:hAnchor="page" w:x="1026" w:y="1005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z toho : Počet vedúcich zamestnancov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6A3DF" w14:textId="77777777" w:rsidR="005346A6" w:rsidRPr="006D3D53" w:rsidRDefault="005F056C">
            <w:pPr>
              <w:pStyle w:val="In0"/>
              <w:framePr w:w="10272" w:h="1694" w:wrap="none" w:vAnchor="page" w:hAnchor="page" w:x="1026" w:y="1005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02C4D">
              <w:rPr>
                <w:i/>
                <w:iCs/>
                <w:color w:val="FF0000"/>
                <w:sz w:val="22"/>
                <w:szCs w:val="22"/>
              </w:rPr>
              <w:t>12</w:t>
            </w:r>
          </w:p>
        </w:tc>
      </w:tr>
    </w:tbl>
    <w:p w14:paraId="43D1BEF4" w14:textId="77777777" w:rsidR="005346A6" w:rsidRPr="006D3D53" w:rsidRDefault="005F056C" w:rsidP="009737A1">
      <w:pPr>
        <w:pStyle w:val="Zkladntext1"/>
        <w:framePr w:w="10272" w:h="3631" w:hRule="exact" w:wrap="none" w:vAnchor="page" w:hAnchor="page" w:x="1026" w:y="12181"/>
        <w:shd w:val="clear" w:color="auto" w:fill="auto"/>
        <w:spacing w:after="320" w:line="240" w:lineRule="auto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 xml:space="preserve">Informácie o metódach oceňovania použitých pri ocenení jednotlivých položiek konsolidovanej účtovnej závierky </w:t>
      </w:r>
      <w:r w:rsidRPr="006D3D53">
        <w:rPr>
          <w:b/>
          <w:bCs/>
          <w:i/>
          <w:iCs/>
          <w:sz w:val="22"/>
          <w:szCs w:val="22"/>
        </w:rPr>
        <w:t>Obce Bernolákovo</w:t>
      </w:r>
    </w:p>
    <w:p w14:paraId="609765D7" w14:textId="77777777" w:rsidR="005346A6" w:rsidRPr="006D3D53" w:rsidRDefault="005F056C" w:rsidP="009737A1">
      <w:pPr>
        <w:pStyle w:val="Zkladntext1"/>
        <w:framePr w:w="10272" w:h="3631" w:hRule="exact" w:wrap="none" w:vAnchor="page" w:hAnchor="page" w:x="1026" w:y="12181"/>
        <w:numPr>
          <w:ilvl w:val="0"/>
          <w:numId w:val="1"/>
        </w:numPr>
        <w:shd w:val="clear" w:color="auto" w:fill="auto"/>
        <w:tabs>
          <w:tab w:val="left" w:pos="810"/>
        </w:tabs>
        <w:spacing w:line="410" w:lineRule="auto"/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Pri oceňovaní majetku a záväzkov sa uplatňuje zásada opatrnosti. Za základ sa berú všetky riziká, straty a zníženia hodnoty, ktoré sa týkajú majetku a záväzkov a sú známe ku dňu zostavenia účtovnej závierky.</w:t>
      </w:r>
    </w:p>
    <w:p w14:paraId="2B2AC2B9" w14:textId="77777777" w:rsidR="005346A6" w:rsidRPr="006D3D53" w:rsidRDefault="005F056C" w:rsidP="009737A1">
      <w:pPr>
        <w:pStyle w:val="Zkladntext1"/>
        <w:framePr w:w="10272" w:h="3631" w:hRule="exact" w:wrap="none" w:vAnchor="page" w:hAnchor="page" w:x="1026" w:y="12181"/>
        <w:numPr>
          <w:ilvl w:val="0"/>
          <w:numId w:val="1"/>
        </w:numPr>
        <w:shd w:val="clear" w:color="auto" w:fill="auto"/>
        <w:tabs>
          <w:tab w:val="left" w:pos="810"/>
        </w:tabs>
        <w:spacing w:line="410" w:lineRule="auto"/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Dlhodobý hmotný a nehmotný majetok nakupovaný sa oceňuje obstarávacou cenou, ktorá zahrňuje cenu obstarania a náklady súvisiace s obstaraním (clo, prepravu, montáž, poistné a pod.).</w:t>
      </w:r>
    </w:p>
    <w:p w14:paraId="227CEFFA" w14:textId="77777777" w:rsidR="005346A6" w:rsidRPr="006D3D53" w:rsidRDefault="005F056C">
      <w:pPr>
        <w:pStyle w:val="Hlavikaalebopta0"/>
        <w:framePr w:wrap="none" w:vAnchor="page" w:hAnchor="page" w:x="5874" w:y="15689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1</w:t>
      </w:r>
    </w:p>
    <w:p w14:paraId="2E0F0936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1E129B9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060A4E2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Súčasťou obstarávacej ceny dlhodobého nehmotného a hmotného majetku sú úroky z úverov.</w:t>
      </w:r>
    </w:p>
    <w:p w14:paraId="54655E53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14:paraId="4FE0716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Dlhodobý majetok nadobudnutý darovaním sa oceňuje reálnou cenou</w:t>
      </w:r>
    </w:p>
    <w:p w14:paraId="706BD27C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Dlhodobý majetok nadobudnutý prevodom správy sa oceňuje cenou, v ktorej sa doteraz viedol v účtovníctve.</w:t>
      </w:r>
    </w:p>
    <w:p w14:paraId="7376DD39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Dlhodobý finančný majetok sa oceňuje obstarávacou cenou.</w:t>
      </w:r>
    </w:p>
    <w:p w14:paraId="3211CF6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Deriváty sa pri nadobudnutí oceňujú cenou obstarania a ku dňu, ku ktorému sa zostavuje účtovná závierka, reálnou hodnotou.</w:t>
      </w:r>
    </w:p>
    <w:p w14:paraId="704EEB26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Majetok a záväzky zabezpečené derivátmi sa oceňujú reálnou hodnotou.</w:t>
      </w:r>
    </w:p>
    <w:p w14:paraId="1EA00240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Nakupované zásoby sa oceňujú obstarávacou cenou, ktorou je cena obstarania vrátane nákladov súvisiacich s obstaraním ako napr. prepravné, provízia, poistné a zľavy.</w:t>
      </w:r>
    </w:p>
    <w:p w14:paraId="7B830506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Zásoby vytvorené vlastnou činnosťou sa oceňujú vlastnými nákladmi t.j. priamymi nákladmi vynaloženými na tvorbu zásob ako aj časťou nepriamych nákladov, ktoré sa k tvorbe zásob vzťahujú.</w:t>
      </w:r>
    </w:p>
    <w:p w14:paraId="6C64A4B9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Pohľadávky sa oceňujú v menovitej hodnote.</w:t>
      </w:r>
    </w:p>
    <w:p w14:paraId="6C103C9F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Cenné papiere a podiely sa oceňujú obstarávacími cenami, vrátane nákladov súvisiacich s obstaraním.</w:t>
      </w:r>
    </w:p>
    <w:p w14:paraId="45F2A3DC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Pohľadávky sa pri ich vzniku oceňujú menovitou hodnotou.</w:t>
      </w:r>
    </w:p>
    <w:p w14:paraId="088511C2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Peňažné prostriedky a ceniny sa oceňujú ich menovitou hodnotou.</w:t>
      </w:r>
    </w:p>
    <w:p w14:paraId="7406E2FD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Záväzky sa pri ich vzniku oceňujú menovitou hodnotou.</w:t>
      </w:r>
    </w:p>
    <w:p w14:paraId="473F07DC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Záväzky sa pri ich prevzatí oceňujú obstarávacou cenou.</w:t>
      </w:r>
    </w:p>
    <w:p w14:paraId="581D57D1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spacing w:after="580"/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Ak sa pri inventarizácii zistí, že suma záväzkov je iná ako ich výška v účtovníctve, uvedú sa záväzky v účtovníctve a v účtovnej závierke v tomto zistenom ocenení.</w:t>
      </w:r>
    </w:p>
    <w:p w14:paraId="78BEBF0B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shd w:val="clear" w:color="auto" w:fill="auto"/>
        <w:spacing w:after="120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II</w:t>
      </w:r>
    </w:p>
    <w:p w14:paraId="48B40C32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shd w:val="clear" w:color="auto" w:fill="auto"/>
        <w:spacing w:after="120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Informácie o metódach a postupoch konsolidácie</w:t>
      </w:r>
    </w:p>
    <w:p w14:paraId="3E44B61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shd w:val="clear" w:color="auto" w:fill="auto"/>
        <w:jc w:val="both"/>
        <w:rPr>
          <w:sz w:val="22"/>
          <w:szCs w:val="22"/>
        </w:rPr>
      </w:pPr>
      <w:r w:rsidRPr="006D3D53">
        <w:rPr>
          <w:sz w:val="22"/>
          <w:szCs w:val="22"/>
        </w:rPr>
        <w:t>Konsolidovaná účtovná závierka Obce Bernolákovo bola zostavená v súlade so zákonom č. 431/2002 Z. z. o účtovníctve v znení neskorších predpisov v súlade s Opatrením Ministerstva financií Slovenskej republiky zo dňa 17. 12. 2008 č. MF/27526/2008 - 31 v znení neskorších predpisov, ktorým sa ustanovujú podrobnosti o metódach a postupoch</w:t>
      </w:r>
    </w:p>
    <w:p w14:paraId="6D0AD869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2</w:t>
      </w:r>
    </w:p>
    <w:p w14:paraId="541D3399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514D5E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6D1218B7" w14:textId="77777777" w:rsidR="005346A6" w:rsidRPr="006D3D53" w:rsidRDefault="005F056C">
      <w:pPr>
        <w:pStyle w:val="Zkladntext1"/>
        <w:framePr w:w="10272" w:h="869" w:hRule="exact" w:wrap="none" w:vAnchor="page" w:hAnchor="page" w:x="1026" w:y="888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konsolidácie vo verejnej správe a podrobnosti o usporiadaní a označovaní položiek konsolidovanej účtovnej závierky vo verejnej správe.</w:t>
      </w:r>
    </w:p>
    <w:p w14:paraId="6A4B1133" w14:textId="77777777" w:rsidR="005346A6" w:rsidRPr="006D3D53" w:rsidRDefault="005F056C">
      <w:pPr>
        <w:pStyle w:val="Nzovtabuky0"/>
        <w:framePr w:wrap="none" w:vAnchor="page" w:hAnchor="page" w:x="1093" w:y="1992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Zahrnutie konsolidovaných účtovných jednotiek do konsolidovanej účtovnej závierky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1670"/>
        <w:gridCol w:w="1670"/>
        <w:gridCol w:w="1603"/>
      </w:tblGrid>
      <w:tr w:rsidR="005346A6" w:rsidRPr="006D3D53" w14:paraId="6535E815" w14:textId="77777777">
        <w:trPr>
          <w:trHeight w:hRule="exact" w:val="1258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FC0F2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Názov resp. obchodné meno konsolidovanej účtovnej jednotky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9E194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Metóda úplnej konsolidácie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FA031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Metóda</w:t>
            </w:r>
          </w:p>
          <w:p w14:paraId="40C13ED5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podielovej konsolidácie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452B6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Metóda vlastného imania</w:t>
            </w:r>
          </w:p>
        </w:tc>
      </w:tr>
      <w:tr w:rsidR="005346A6" w:rsidRPr="006D3D53" w14:paraId="4F9EF04F" w14:textId="77777777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550E8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Konsolidovaná účtovná jednotka - ZŠ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DC7F9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D6050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4DA7D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</w:tr>
      <w:tr w:rsidR="00342E5C" w:rsidRPr="006D3D53" w14:paraId="2EFB36E9" w14:textId="77777777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69E49" w14:textId="12975DB0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Konsolidovaná účtovná jednotka - ZUŠ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53165B" w14:textId="434F35BE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D97F9" w14:textId="50CDA013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BE91F" w14:textId="7B82E1E0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</w:tr>
    </w:tbl>
    <w:p w14:paraId="1F75ED21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260"/>
        <w:rPr>
          <w:sz w:val="22"/>
          <w:szCs w:val="22"/>
        </w:rPr>
      </w:pPr>
      <w:r w:rsidRPr="006D3D53">
        <w:rPr>
          <w:sz w:val="22"/>
          <w:szCs w:val="22"/>
        </w:rPr>
        <w:t>Metóda úplnej konsolidácie bola použitá pri dcérskych účtovných jednotkách.</w:t>
      </w:r>
    </w:p>
    <w:p w14:paraId="0A16CA15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40"/>
        <w:rPr>
          <w:sz w:val="22"/>
          <w:szCs w:val="22"/>
        </w:rPr>
      </w:pPr>
      <w:r w:rsidRPr="006D3D53">
        <w:rPr>
          <w:b/>
          <w:bCs/>
          <w:i/>
          <w:iCs/>
          <w:sz w:val="22"/>
          <w:szCs w:val="22"/>
        </w:rPr>
        <w:t>Moment prvej konsolidácie kapitálu :</w:t>
      </w:r>
    </w:p>
    <w:p w14:paraId="275338DC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line="576" w:lineRule="auto"/>
        <w:ind w:firstLine="380"/>
        <w:rPr>
          <w:sz w:val="22"/>
          <w:szCs w:val="22"/>
        </w:rPr>
      </w:pPr>
      <w:r w:rsidRPr="006D3D53">
        <w:rPr>
          <w:sz w:val="22"/>
          <w:szCs w:val="22"/>
        </w:rPr>
        <w:t>Pri rozpočtových organizáciách je to deň ich zriadenia.</w:t>
      </w:r>
    </w:p>
    <w:p w14:paraId="3EB9105C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line="576" w:lineRule="auto"/>
        <w:ind w:firstLine="380"/>
        <w:rPr>
          <w:sz w:val="22"/>
          <w:szCs w:val="22"/>
        </w:rPr>
      </w:pPr>
      <w:r w:rsidRPr="006D3D53">
        <w:rPr>
          <w:sz w:val="22"/>
          <w:szCs w:val="22"/>
        </w:rPr>
        <w:t>Pri príspevkových organizáciách je to deň ich zriadenia.</w:t>
      </w:r>
    </w:p>
    <w:p w14:paraId="5CB57B5A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line="576" w:lineRule="auto"/>
        <w:ind w:firstLine="380"/>
        <w:rPr>
          <w:sz w:val="22"/>
          <w:szCs w:val="22"/>
        </w:rPr>
      </w:pPr>
      <w:r w:rsidRPr="006D3D53">
        <w:rPr>
          <w:sz w:val="22"/>
          <w:szCs w:val="22"/>
        </w:rPr>
        <w:t>Pri obchodných spoločnostiach je to deň obstarania podielov.</w:t>
      </w:r>
    </w:p>
    <w:p w14:paraId="394A150C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rPr>
          <w:sz w:val="22"/>
          <w:szCs w:val="22"/>
        </w:rPr>
      </w:pPr>
      <w:r w:rsidRPr="006D3D53">
        <w:rPr>
          <w:b/>
          <w:bCs/>
          <w:i/>
          <w:iCs/>
          <w:sz w:val="22"/>
          <w:szCs w:val="22"/>
        </w:rPr>
        <w:t>Informácie o goodwille</w:t>
      </w:r>
    </w:p>
    <w:p w14:paraId="6A162FAB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ind w:left="660" w:hanging="280"/>
        <w:rPr>
          <w:sz w:val="22"/>
          <w:szCs w:val="22"/>
        </w:rPr>
      </w:pPr>
      <w:r w:rsidRPr="006D3D53">
        <w:rPr>
          <w:sz w:val="22"/>
          <w:szCs w:val="22"/>
        </w:rPr>
        <w:t>Goodwill nevzniká pri konsolidovanej účtovnej jednotke, ktorou je rozpočtová organizácia.</w:t>
      </w:r>
    </w:p>
    <w:p w14:paraId="702FA9CE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ind w:left="660" w:hanging="280"/>
        <w:rPr>
          <w:sz w:val="22"/>
          <w:szCs w:val="22"/>
        </w:rPr>
      </w:pPr>
      <w:r w:rsidRPr="006D3D53">
        <w:rPr>
          <w:sz w:val="22"/>
          <w:szCs w:val="22"/>
        </w:rPr>
        <w:t>Goodwill nevzniká pri konsolidovanej účtovnej jednotke, ktorou je príspevková organizácia.</w:t>
      </w:r>
    </w:p>
    <w:p w14:paraId="6F92393F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ind w:left="660" w:hanging="280"/>
        <w:rPr>
          <w:sz w:val="22"/>
          <w:szCs w:val="22"/>
        </w:rPr>
      </w:pPr>
      <w:r w:rsidRPr="006D3D53">
        <w:rPr>
          <w:sz w:val="22"/>
          <w:szCs w:val="22"/>
        </w:rPr>
        <w:t>Goodwill nevzniká pri založení konsolidovanej účtovnej jednotky, ktorou je obchodná spoločnosť.</w:t>
      </w:r>
    </w:p>
    <w:p w14:paraId="57AB1800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after="40"/>
        <w:ind w:left="660" w:hanging="280"/>
        <w:rPr>
          <w:sz w:val="22"/>
          <w:szCs w:val="22"/>
        </w:rPr>
      </w:pPr>
      <w:r w:rsidRPr="006D3D53">
        <w:rPr>
          <w:sz w:val="22"/>
          <w:szCs w:val="22"/>
        </w:rPr>
        <w:t>Goodwill vzniká pri kúpe už existujúcej konsolidovanej účtovnej jednotky, ktorou je obchodná spoločnosť.</w:t>
      </w:r>
    </w:p>
    <w:p w14:paraId="00AC330F" w14:textId="77777777" w:rsidR="009737A1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after="460" w:line="240" w:lineRule="auto"/>
        <w:ind w:firstLine="380"/>
        <w:rPr>
          <w:sz w:val="22"/>
          <w:szCs w:val="22"/>
        </w:rPr>
      </w:pPr>
      <w:r w:rsidRPr="006D3D53">
        <w:rPr>
          <w:sz w:val="22"/>
          <w:szCs w:val="22"/>
        </w:rPr>
        <w:t>Goodwill sa odpisuje do 5 rokov.</w:t>
      </w:r>
    </w:p>
    <w:p w14:paraId="68CA8C5B" w14:textId="185B467F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tabs>
          <w:tab w:val="left" w:pos="651"/>
        </w:tabs>
        <w:spacing w:after="460" w:line="240" w:lineRule="auto"/>
        <w:ind w:left="380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III</w:t>
      </w:r>
    </w:p>
    <w:p w14:paraId="3D7775D2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54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Informácie o údajoch aktív a pasív</w:t>
      </w:r>
    </w:p>
    <w:p w14:paraId="2AEFCF4F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320" w:line="240" w:lineRule="auto"/>
        <w:rPr>
          <w:sz w:val="22"/>
          <w:szCs w:val="22"/>
        </w:rPr>
      </w:pPr>
      <w:r w:rsidRPr="006D3D53">
        <w:rPr>
          <w:sz w:val="22"/>
          <w:szCs w:val="22"/>
        </w:rPr>
        <w:t>Popis údajov vyplnených v prehľade pohybov dlhodobého nehmotného a dlhodobého hmotného majetku</w:t>
      </w:r>
    </w:p>
    <w:p w14:paraId="4CF0D141" w14:textId="713BA97A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1527"/>
        </w:tabs>
        <w:spacing w:line="576" w:lineRule="auto"/>
        <w:ind w:left="1180"/>
        <w:rPr>
          <w:sz w:val="22"/>
          <w:szCs w:val="22"/>
        </w:rPr>
      </w:pPr>
      <w:r w:rsidRPr="006D3D53">
        <w:rPr>
          <w:sz w:val="22"/>
          <w:szCs w:val="22"/>
        </w:rPr>
        <w:t>Bezprostredne predchádzajúce účtovné obdobie sa chápe k 31.12.20</w:t>
      </w:r>
      <w:r w:rsidR="00342E5C" w:rsidRPr="006D3D53">
        <w:rPr>
          <w:sz w:val="22"/>
          <w:szCs w:val="22"/>
        </w:rPr>
        <w:t>2</w:t>
      </w:r>
      <w:r w:rsidR="00502C4D">
        <w:rPr>
          <w:sz w:val="22"/>
          <w:szCs w:val="22"/>
        </w:rPr>
        <w:t>1</w:t>
      </w:r>
    </w:p>
    <w:p w14:paraId="4D98965C" w14:textId="2204BF4C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1527"/>
        </w:tabs>
        <w:spacing w:line="576" w:lineRule="auto"/>
        <w:ind w:left="1180"/>
        <w:rPr>
          <w:sz w:val="22"/>
          <w:szCs w:val="22"/>
        </w:rPr>
      </w:pPr>
      <w:r w:rsidRPr="006D3D53">
        <w:rPr>
          <w:sz w:val="22"/>
          <w:szCs w:val="22"/>
        </w:rPr>
        <w:t>Bežné účtovné obdobie sa vykazuje k 31.12.20</w:t>
      </w:r>
      <w:r w:rsidR="00836B59" w:rsidRPr="006D3D53">
        <w:rPr>
          <w:sz w:val="22"/>
          <w:szCs w:val="22"/>
        </w:rPr>
        <w:t>2</w:t>
      </w:r>
      <w:r w:rsidR="00502C4D">
        <w:rPr>
          <w:sz w:val="22"/>
          <w:szCs w:val="22"/>
        </w:rPr>
        <w:t>2</w:t>
      </w:r>
    </w:p>
    <w:p w14:paraId="71CD28E7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1527"/>
        </w:tabs>
        <w:spacing w:line="576" w:lineRule="auto"/>
        <w:ind w:left="1180"/>
        <w:rPr>
          <w:sz w:val="22"/>
          <w:szCs w:val="22"/>
        </w:rPr>
      </w:pPr>
      <w:r w:rsidRPr="006D3D53">
        <w:rPr>
          <w:sz w:val="22"/>
          <w:szCs w:val="22"/>
        </w:rPr>
        <w:t>Prírastok je prvotné vykázanie obstarania dlhodobého nehmotného</w:t>
      </w:r>
    </w:p>
    <w:p w14:paraId="66A70BD2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ind w:left="1520"/>
        <w:rPr>
          <w:sz w:val="22"/>
          <w:szCs w:val="22"/>
        </w:rPr>
      </w:pPr>
      <w:r w:rsidRPr="006D3D53">
        <w:rPr>
          <w:sz w:val="22"/>
          <w:szCs w:val="22"/>
        </w:rPr>
        <w:t>a dlhodobého hmotného majetku akoukoľvek formou, zvýšenie aktív (napr. kúpa, darovanie)</w:t>
      </w:r>
    </w:p>
    <w:p w14:paraId="317D5254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3</w:t>
      </w:r>
    </w:p>
    <w:p w14:paraId="2FCC2E98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7243B09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53F99C7D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510"/>
        </w:tabs>
        <w:ind w:left="1140"/>
        <w:rPr>
          <w:sz w:val="22"/>
          <w:szCs w:val="22"/>
        </w:rPr>
      </w:pPr>
      <w:r w:rsidRPr="006D3D53">
        <w:rPr>
          <w:sz w:val="22"/>
          <w:szCs w:val="22"/>
        </w:rPr>
        <w:t>Úbytok je vykázanie zníženia aktív (napr. predaj, darovanie)</w:t>
      </w:r>
    </w:p>
    <w:p w14:paraId="29F5478B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510"/>
        </w:tabs>
        <w:spacing w:after="260"/>
        <w:ind w:left="1540" w:hanging="380"/>
        <w:rPr>
          <w:sz w:val="22"/>
          <w:szCs w:val="22"/>
        </w:rPr>
      </w:pPr>
      <w:r w:rsidRPr="006D3D53">
        <w:rPr>
          <w:sz w:val="22"/>
          <w:szCs w:val="22"/>
        </w:rPr>
        <w:t>Presun je vykázanie zmeny hodnoty niektorej položky bez zmeny celkovej hodnoty aktív</w:t>
      </w:r>
    </w:p>
    <w:p w14:paraId="41C67B0F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Popis významných informácií o aktívach a pasívach</w:t>
      </w:r>
    </w:p>
    <w:p w14:paraId="766BC6F0" w14:textId="41944A3E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 xml:space="preserve">Konsolidovaný celok Obce Bernolákovo zahŕňa </w:t>
      </w:r>
      <w:r w:rsidR="00502C4D">
        <w:rPr>
          <w:sz w:val="22"/>
          <w:szCs w:val="22"/>
        </w:rPr>
        <w:t>dve</w:t>
      </w:r>
      <w:r w:rsidRPr="006D3D53">
        <w:rPr>
          <w:sz w:val="22"/>
          <w:szCs w:val="22"/>
        </w:rPr>
        <w:t xml:space="preserve"> rozpočtov</w:t>
      </w:r>
      <w:r w:rsidR="00502C4D">
        <w:rPr>
          <w:sz w:val="22"/>
          <w:szCs w:val="22"/>
        </w:rPr>
        <w:t>é</w:t>
      </w:r>
      <w:r w:rsidRPr="006D3D53">
        <w:rPr>
          <w:sz w:val="22"/>
          <w:szCs w:val="22"/>
        </w:rPr>
        <w:t xml:space="preserve"> organizáci</w:t>
      </w:r>
      <w:r w:rsidR="00502C4D">
        <w:rPr>
          <w:sz w:val="22"/>
          <w:szCs w:val="22"/>
        </w:rPr>
        <w:t>e</w:t>
      </w:r>
      <w:r w:rsidRPr="006D3D53">
        <w:rPr>
          <w:sz w:val="22"/>
          <w:szCs w:val="22"/>
        </w:rPr>
        <w:t xml:space="preserve">, </w:t>
      </w:r>
      <w:r w:rsidR="00502C4D">
        <w:rPr>
          <w:sz w:val="22"/>
          <w:szCs w:val="22"/>
        </w:rPr>
        <w:t>ich</w:t>
      </w:r>
      <w:r w:rsidRPr="006D3D53">
        <w:rPr>
          <w:sz w:val="22"/>
          <w:szCs w:val="22"/>
        </w:rPr>
        <w:t>j identifikačné údaje sa nachádzajú v priloženom prehľade.</w:t>
      </w:r>
    </w:p>
    <w:p w14:paraId="09D5F765" w14:textId="0CB9369D" w:rsidR="00916DB0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pohybe dlhodobého majetku sa nachádza v priloženom tabuľkovom formulári č. 2 vysvetľuje položky súvahy - aktív. V rámci dlhodobého finančného majetku vykaz</w:t>
      </w:r>
      <w:r w:rsidR="00916DB0" w:rsidRPr="006D3D53">
        <w:rPr>
          <w:sz w:val="22"/>
          <w:szCs w:val="22"/>
        </w:rPr>
        <w:t>ovala</w:t>
      </w:r>
      <w:r w:rsidRPr="006D3D53">
        <w:rPr>
          <w:sz w:val="22"/>
          <w:szCs w:val="22"/>
        </w:rPr>
        <w:t xml:space="preserve"> obec Bernolákovo akcie BVS v hodnote </w:t>
      </w:r>
      <w:r w:rsidR="00502C4D">
        <w:rPr>
          <w:sz w:val="22"/>
          <w:szCs w:val="22"/>
        </w:rPr>
        <w:t>73 658,03</w:t>
      </w:r>
      <w:r w:rsidRPr="006D3D53">
        <w:rPr>
          <w:sz w:val="22"/>
          <w:szCs w:val="22"/>
        </w:rPr>
        <w:t xml:space="preserve"> €.</w:t>
      </w:r>
      <w:r w:rsidR="00916DB0" w:rsidRPr="006D3D53">
        <w:rPr>
          <w:sz w:val="22"/>
          <w:szCs w:val="22"/>
        </w:rPr>
        <w:t xml:space="preserve"> Na základe inventúry k 31.12.202</w:t>
      </w:r>
      <w:r w:rsidR="00502C4D">
        <w:rPr>
          <w:sz w:val="22"/>
          <w:szCs w:val="22"/>
        </w:rPr>
        <w:t>2</w:t>
      </w:r>
      <w:r w:rsidR="00916DB0" w:rsidRPr="006D3D53">
        <w:rPr>
          <w:sz w:val="22"/>
          <w:szCs w:val="22"/>
        </w:rPr>
        <w:t xml:space="preserve"> účtovná jednotka zistila, že hodnota CP Bratislavskej vodárenskej spoločnosti a.s. v počte 50 638 ks bola  vedené nesprávne. </w:t>
      </w:r>
      <w:r w:rsidR="00502C4D">
        <w:rPr>
          <w:sz w:val="22"/>
          <w:szCs w:val="22"/>
        </w:rPr>
        <w:t>Účtovnými zápismi obec chybu napravila.</w:t>
      </w:r>
      <w:r w:rsidR="00916DB0" w:rsidRPr="006D3D53">
        <w:rPr>
          <w:sz w:val="22"/>
          <w:szCs w:val="22"/>
        </w:rPr>
        <w:t xml:space="preserve"> Oprava účtovnej hodnoty bola zaúčtovaná v roku 2021 zápisom 063</w:t>
      </w:r>
      <w:r w:rsidR="00320BCA">
        <w:rPr>
          <w:sz w:val="22"/>
          <w:szCs w:val="22"/>
        </w:rPr>
        <w:t>/428</w:t>
      </w:r>
      <w:r w:rsidR="00916DB0" w:rsidRPr="006D3D53">
        <w:rPr>
          <w:sz w:val="22"/>
          <w:szCs w:val="22"/>
        </w:rPr>
        <w:t>.</w:t>
      </w:r>
    </w:p>
    <w:p w14:paraId="0395FEF3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firstLine="800"/>
        <w:rPr>
          <w:sz w:val="22"/>
          <w:szCs w:val="22"/>
        </w:rPr>
      </w:pPr>
      <w:r w:rsidRPr="006D3D53">
        <w:rPr>
          <w:sz w:val="22"/>
          <w:szCs w:val="22"/>
        </w:rPr>
        <w:t>Obec vlastní 50 % podiel v penzióne Pohoda.</w:t>
      </w:r>
    </w:p>
    <w:p w14:paraId="2C625166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Konsolidovaný celok vykazuje krátkodobé pohľadávky, ktoré sa nachádzajú v priloženom tabuľkovom formulári č. 9. Najväčší podiel na vykázaných krátkodobých pohľadávkach má obec.</w:t>
      </w:r>
    </w:p>
    <w:p w14:paraId="52D97478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časovom rozlíšení na strane aktív - náklady budúcich období sa nachádzajú v priloženom tabuľkovom formulári č. 10.</w:t>
      </w:r>
    </w:p>
    <w:p w14:paraId="7B560531" w14:textId="6BA697EC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pohybe vlastného imania konsolidovaného celku od 1. 1 . 20</w:t>
      </w:r>
      <w:r w:rsidR="00836B59" w:rsidRPr="006D3D53">
        <w:rPr>
          <w:sz w:val="22"/>
          <w:szCs w:val="22"/>
        </w:rPr>
        <w:t>2</w:t>
      </w:r>
      <w:r w:rsidR="00502C4D">
        <w:rPr>
          <w:sz w:val="22"/>
          <w:szCs w:val="22"/>
        </w:rPr>
        <w:t>2</w:t>
      </w:r>
      <w:r w:rsidRPr="006D3D53">
        <w:rPr>
          <w:sz w:val="22"/>
          <w:szCs w:val="22"/>
        </w:rPr>
        <w:t xml:space="preserve"> do 31.12.20</w:t>
      </w:r>
      <w:r w:rsidR="00836B59" w:rsidRPr="006D3D53">
        <w:rPr>
          <w:sz w:val="22"/>
          <w:szCs w:val="22"/>
        </w:rPr>
        <w:t>2</w:t>
      </w:r>
      <w:r w:rsidR="00502C4D">
        <w:rPr>
          <w:sz w:val="22"/>
          <w:szCs w:val="22"/>
        </w:rPr>
        <w:t>2</w:t>
      </w:r>
      <w:r w:rsidRPr="006D3D53">
        <w:rPr>
          <w:sz w:val="22"/>
          <w:szCs w:val="22"/>
        </w:rPr>
        <w:t xml:space="preserve"> sa nachádza v priloženom tabuľkovom formulári č. 12.</w:t>
      </w:r>
    </w:p>
    <w:p w14:paraId="2E1234B1" w14:textId="2C039DA8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Rezervy sa v konsolidovanom celku tvorili v rámci hlavne j činnosti konkrétne hodnoty sa nachádzajú v priloženom tabuľkovom formulári č. 1</w:t>
      </w:r>
      <w:r w:rsidR="00536CB2">
        <w:rPr>
          <w:sz w:val="22"/>
          <w:szCs w:val="22"/>
        </w:rPr>
        <w:t>3</w:t>
      </w:r>
      <w:r w:rsidRPr="006D3D53">
        <w:rPr>
          <w:sz w:val="22"/>
          <w:szCs w:val="22"/>
        </w:rPr>
        <w:t xml:space="preserve">. </w:t>
      </w:r>
    </w:p>
    <w:p w14:paraId="0B7C48F0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záväzkoch v lehote splatnosti sa nachádza v priloženom tabuľkovom formulári č. 15. Najväčší podiel na vykázaných dlhodobých záväzkoch má obec. Konsolidovaný celok nevykazuje záväzky po lehote splatnosti.</w:t>
      </w:r>
    </w:p>
    <w:p w14:paraId="3A06E279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Konsolidovaný celok vykazuje o časovom rozlíšení na strane pasív - výnosy budúcich období sa nachádza v priloženom tabuľkovom formulári č. 18. Jedná sa o kapitálové transfery zo ŠR a od iných subjektov.</w:t>
      </w:r>
    </w:p>
    <w:p w14:paraId="352B1A25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Podrobný prehľad vybraných položiek konsolidovaného celku o nákladoch sa nachádza v priloženom tabuľkovom formulári č. 19, 20 a 21.</w:t>
      </w:r>
    </w:p>
    <w:p w14:paraId="5196BD48" w14:textId="514D00CC" w:rsidR="005346A6" w:rsidRPr="006D3D53" w:rsidRDefault="00536CB2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>
        <w:rPr>
          <w:sz w:val="22"/>
          <w:szCs w:val="22"/>
        </w:rPr>
        <w:t>P</w:t>
      </w:r>
      <w:r w:rsidR="005F056C" w:rsidRPr="006D3D53">
        <w:rPr>
          <w:sz w:val="22"/>
          <w:szCs w:val="22"/>
        </w:rPr>
        <w:t>rehľad vybraných položiek konsolidovaného celku o výnosov sa nachádza v priloženom tabuľkovom formulári c. 22.</w:t>
      </w:r>
    </w:p>
    <w:p w14:paraId="1EE843B5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4</w:t>
      </w:r>
    </w:p>
    <w:p w14:paraId="4F7A3458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36F9A6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3E141B70" w14:textId="77777777" w:rsidR="005346A6" w:rsidRPr="006D3D53" w:rsidRDefault="005F056C">
      <w:pPr>
        <w:pStyle w:val="Zkladntext1"/>
        <w:framePr w:w="10272" w:h="326" w:hRule="exact" w:wrap="none" w:vAnchor="page" w:hAnchor="page" w:x="1026" w:y="879"/>
        <w:shd w:val="clear" w:color="auto" w:fill="auto"/>
        <w:spacing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IV</w:t>
      </w:r>
    </w:p>
    <w:p w14:paraId="246D7221" w14:textId="77777777" w:rsidR="005346A6" w:rsidRPr="006D3D53" w:rsidRDefault="005F056C">
      <w:pPr>
        <w:pStyle w:val="Zkladntext1"/>
        <w:framePr w:w="10272" w:h="3792" w:hRule="exact" w:wrap="none" w:vAnchor="page" w:hAnchor="page" w:x="1026" w:y="1306"/>
        <w:shd w:val="clear" w:color="auto" w:fill="auto"/>
        <w:spacing w:after="114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Informácie o skutočnostiach, ktoré nastali po dni, ku ktorému sa zostavuje účtovná</w:t>
      </w:r>
      <w:r w:rsidRPr="006D3D53">
        <w:rPr>
          <w:b/>
          <w:bCs/>
          <w:sz w:val="22"/>
          <w:szCs w:val="22"/>
        </w:rPr>
        <w:br/>
        <w:t>závierka do dňa zostavenia účtovnej závierky</w:t>
      </w:r>
    </w:p>
    <w:p w14:paraId="15C018AF" w14:textId="6096B188" w:rsidR="005346A6" w:rsidRPr="006D3D53" w:rsidRDefault="005F056C">
      <w:pPr>
        <w:pStyle w:val="Zkladntext1"/>
        <w:framePr w:w="10272" w:h="3792" w:hRule="exact" w:wrap="none" w:vAnchor="page" w:hAnchor="page" w:x="1026" w:y="1306"/>
        <w:shd w:val="clear" w:color="auto" w:fill="auto"/>
        <w:spacing w:line="389" w:lineRule="auto"/>
        <w:ind w:left="1160" w:hanging="340"/>
        <w:rPr>
          <w:sz w:val="22"/>
          <w:szCs w:val="22"/>
        </w:rPr>
      </w:pPr>
      <w:r w:rsidRPr="006D3D53">
        <w:rPr>
          <w:sz w:val="22"/>
          <w:szCs w:val="22"/>
        </w:rPr>
        <w:t xml:space="preserve">■ </w:t>
      </w:r>
      <w:r w:rsidR="00536CB2">
        <w:rPr>
          <w:sz w:val="22"/>
          <w:szCs w:val="22"/>
        </w:rPr>
        <w:t>V priebehu roka 2022 n</w:t>
      </w:r>
      <w:r w:rsidRPr="006D3D53">
        <w:rPr>
          <w:sz w:val="22"/>
          <w:szCs w:val="22"/>
        </w:rPr>
        <w:t>enastali žiadne skutočnosti, ktoré by mali za následok pokles alebo zvýšenie trhovej ceny finančného majetku, zmenu výšky rezerv a opravných položiek, ako i zmenu významných položiek dlhodobého finančného majetku. Nenastala zmena právnej formy účtovnej jednotky, ani mimoriadne udalosti, ktoré majú vplyv na hospodárenie účtovnej jednotky.</w:t>
      </w:r>
    </w:p>
    <w:p w14:paraId="057FAA00" w14:textId="6EA810A4" w:rsidR="005346A6" w:rsidRPr="006D3D53" w:rsidRDefault="005F056C">
      <w:pPr>
        <w:pStyle w:val="Zkladntext1"/>
        <w:framePr w:wrap="none" w:vAnchor="page" w:hAnchor="page" w:x="1026" w:y="6135"/>
        <w:shd w:val="clear" w:color="auto" w:fill="auto"/>
        <w:spacing w:line="240" w:lineRule="auto"/>
        <w:rPr>
          <w:sz w:val="22"/>
          <w:szCs w:val="22"/>
        </w:rPr>
      </w:pPr>
      <w:r w:rsidRPr="006D3D53">
        <w:rPr>
          <w:sz w:val="22"/>
          <w:szCs w:val="22"/>
        </w:rPr>
        <w:t xml:space="preserve">V Bernolákove, dňa </w:t>
      </w:r>
      <w:r w:rsidR="00502C4D">
        <w:rPr>
          <w:sz w:val="22"/>
          <w:szCs w:val="22"/>
        </w:rPr>
        <w:t>08</w:t>
      </w:r>
      <w:r w:rsidRPr="006D3D53">
        <w:rPr>
          <w:sz w:val="22"/>
          <w:szCs w:val="22"/>
        </w:rPr>
        <w:t>.06.202</w:t>
      </w:r>
      <w:r w:rsidR="00502C4D">
        <w:rPr>
          <w:sz w:val="22"/>
          <w:szCs w:val="22"/>
        </w:rPr>
        <w:t>3</w:t>
      </w:r>
    </w:p>
    <w:p w14:paraId="0DA96CDD" w14:textId="637CE735" w:rsidR="005346A6" w:rsidRPr="006D3D53" w:rsidRDefault="00836B59">
      <w:pPr>
        <w:pStyle w:val="Zkladntext1"/>
        <w:framePr w:w="10272" w:h="610" w:hRule="exact" w:wrap="none" w:vAnchor="page" w:hAnchor="page" w:x="1026" w:y="7368"/>
        <w:shd w:val="clear" w:color="auto" w:fill="auto"/>
        <w:spacing w:line="240" w:lineRule="auto"/>
        <w:ind w:left="82" w:right="6249" w:firstLine="500"/>
        <w:rPr>
          <w:sz w:val="22"/>
          <w:szCs w:val="22"/>
        </w:rPr>
      </w:pPr>
      <w:r w:rsidRPr="006D3D53">
        <w:rPr>
          <w:sz w:val="22"/>
          <w:szCs w:val="22"/>
        </w:rPr>
        <w:t>Ing. Katarína Kiššová</w:t>
      </w:r>
      <w:r w:rsidR="005F056C" w:rsidRPr="006D3D53">
        <w:rPr>
          <w:sz w:val="22"/>
          <w:szCs w:val="22"/>
        </w:rPr>
        <w:t xml:space="preserve"> v.r.</w:t>
      </w:r>
      <w:r w:rsidR="005F056C" w:rsidRPr="006D3D53">
        <w:rPr>
          <w:sz w:val="22"/>
          <w:szCs w:val="22"/>
        </w:rPr>
        <w:br/>
        <w:t>zodpovedná osoba za vypracovanie</w:t>
      </w:r>
    </w:p>
    <w:p w14:paraId="37C209DE" w14:textId="481759F4" w:rsidR="005346A6" w:rsidRPr="006D3D53" w:rsidRDefault="00916DB0" w:rsidP="002F6757">
      <w:pPr>
        <w:pStyle w:val="Zkladntext1"/>
        <w:framePr w:w="4066" w:h="1456" w:hRule="exact" w:wrap="none" w:vAnchor="page" w:hAnchor="page" w:x="6301" w:y="7411"/>
        <w:shd w:val="clear" w:color="auto" w:fill="auto"/>
        <w:spacing w:line="240" w:lineRule="auto"/>
        <w:ind w:left="24" w:right="39"/>
        <w:jc w:val="center"/>
        <w:rPr>
          <w:sz w:val="22"/>
          <w:szCs w:val="22"/>
        </w:rPr>
      </w:pPr>
      <w:r w:rsidRPr="006D3D53">
        <w:rPr>
          <w:sz w:val="22"/>
          <w:szCs w:val="22"/>
        </w:rPr>
        <w:t>Bc. Miroslav Turenič</w:t>
      </w:r>
      <w:r w:rsidR="005F056C" w:rsidRPr="006D3D53">
        <w:rPr>
          <w:sz w:val="22"/>
          <w:szCs w:val="22"/>
        </w:rPr>
        <w:t xml:space="preserve"> </w:t>
      </w:r>
      <w:r w:rsidR="00502C4D">
        <w:rPr>
          <w:sz w:val="22"/>
          <w:szCs w:val="22"/>
        </w:rPr>
        <w:t xml:space="preserve">MBA, LL.M </w:t>
      </w:r>
      <w:r w:rsidR="005F056C" w:rsidRPr="006D3D53">
        <w:rPr>
          <w:sz w:val="22"/>
          <w:szCs w:val="22"/>
        </w:rPr>
        <w:t>v.r.</w:t>
      </w:r>
      <w:r w:rsidR="005F056C" w:rsidRPr="006D3D53">
        <w:rPr>
          <w:sz w:val="22"/>
          <w:szCs w:val="22"/>
        </w:rPr>
        <w:br/>
        <w:t>štatutárny orgán obce</w:t>
      </w:r>
    </w:p>
    <w:p w14:paraId="2A014A3D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5</w:t>
      </w:r>
    </w:p>
    <w:p w14:paraId="0E89CFAB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sectPr w:rsidR="005346A6" w:rsidRPr="006D3D5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04E4F" w14:textId="77777777" w:rsidR="007D6475" w:rsidRDefault="007D6475">
      <w:r>
        <w:separator/>
      </w:r>
    </w:p>
  </w:endnote>
  <w:endnote w:type="continuationSeparator" w:id="0">
    <w:p w14:paraId="200D470B" w14:textId="77777777" w:rsidR="007D6475" w:rsidRDefault="007D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8347" w14:textId="77777777" w:rsidR="007D6475" w:rsidRDefault="007D6475"/>
  </w:footnote>
  <w:footnote w:type="continuationSeparator" w:id="0">
    <w:p w14:paraId="5DFA1F5E" w14:textId="77777777" w:rsidR="007D6475" w:rsidRDefault="007D64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F50"/>
    <w:multiLevelType w:val="multilevel"/>
    <w:tmpl w:val="488A34C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984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6A6"/>
    <w:rsid w:val="002650E4"/>
    <w:rsid w:val="002F6757"/>
    <w:rsid w:val="00320BCA"/>
    <w:rsid w:val="00342E5C"/>
    <w:rsid w:val="00345143"/>
    <w:rsid w:val="00502C4D"/>
    <w:rsid w:val="005346A6"/>
    <w:rsid w:val="00536CB2"/>
    <w:rsid w:val="005F056C"/>
    <w:rsid w:val="006D3D53"/>
    <w:rsid w:val="007D6475"/>
    <w:rsid w:val="00836B59"/>
    <w:rsid w:val="00916DB0"/>
    <w:rsid w:val="009737A1"/>
    <w:rsid w:val="00CB0DF7"/>
    <w:rsid w:val="00E2745E"/>
    <w:rsid w:val="00FC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742F"/>
  <w15:docId w15:val="{CC412F95-F9D5-4A33-AB96-8774E66E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/>
      <w:bCs/>
      <w:i/>
      <w:iCs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360" w:lineRule="auto"/>
    </w:pPr>
    <w:rPr>
      <w:rFonts w:ascii="Arial" w:eastAsia="Arial" w:hAnsi="Arial" w:cs="Arial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b/>
      <w:bCs/>
      <w:i/>
      <w:iCs/>
    </w:rPr>
  </w:style>
  <w:style w:type="paragraph" w:customStyle="1" w:styleId="In0">
    <w:name w:val="Iné"/>
    <w:basedOn w:val="Normlny"/>
    <w:link w:val="In"/>
    <w:pPr>
      <w:shd w:val="clear" w:color="auto" w:fill="FFFFFF"/>
      <w:spacing w:line="360" w:lineRule="auto"/>
    </w:pPr>
    <w:rPr>
      <w:rFonts w:ascii="Arial" w:eastAsia="Arial" w:hAnsi="Arial" w:cs="Arial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branicka</dc:creator>
  <cp:keywords/>
  <cp:lastModifiedBy>Katarina Kissova</cp:lastModifiedBy>
  <cp:revision>13</cp:revision>
  <dcterms:created xsi:type="dcterms:W3CDTF">2021-06-15T08:49:00Z</dcterms:created>
  <dcterms:modified xsi:type="dcterms:W3CDTF">2023-06-08T08:54:00Z</dcterms:modified>
</cp:coreProperties>
</file>