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Poznámky k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závierke za rok 2022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zostavené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ľa Opatrenia Ministerstva financií SR č.MF/23378/2014-74, ktorým sa ustanovujú podrobnosti o individuálnej účtovnej závierke a rozsahu údajov určených z individuálnej účtovnej závierky na zverejnenie pre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malé účtovné jednotky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v znení neskorších predpisov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(ostatná novela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č.MF/19927/2015-74)</w:t>
      </w:r>
    </w:p>
    <w:p>
      <w:pPr>
        <w:tabs>
          <w:tab w:val="left" w:pos="851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6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Názov a sídlo právnickej osoby alebo meno a priezvisko fyzickej osoby 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ľa a miesto podnikania, ak sa zostavuje účtovná závierka fyzickej osoby podnikateľa. Opis vykonávanej činnosti účtovnej jednotky v nadväznosti na predmet podnikania účtovnej jednotky.</w:t>
      </w:r>
    </w:p>
    <w:p>
      <w:pPr>
        <w:keepNext w:val="true"/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tbl>
      <w:tblPr>
        <w:tblInd w:w="901" w:type="dxa"/>
      </w:tblPr>
      <w:tblGrid>
        <w:gridCol w:w="4139"/>
        <w:gridCol w:w="3602"/>
      </w:tblGrid>
      <w:tr>
        <w:trPr>
          <w:trHeight w:val="170" w:hRule="auto"/>
          <w:jc w:val="left"/>
        </w:trPr>
        <w:tc>
          <w:tcPr>
            <w:tcW w:w="4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663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Obchodné meno</w:t>
            </w:r>
          </w:p>
        </w:tc>
        <w:tc>
          <w:tcPr>
            <w:tcW w:w="3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663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ork Wine Bar s r.o.</w:t>
            </w:r>
          </w:p>
        </w:tc>
      </w:tr>
      <w:tr>
        <w:trPr>
          <w:trHeight w:val="170" w:hRule="auto"/>
          <w:jc w:val="left"/>
        </w:trPr>
        <w:tc>
          <w:tcPr>
            <w:tcW w:w="4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663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Právna forma</w:t>
            </w:r>
          </w:p>
        </w:tc>
        <w:tc>
          <w:tcPr>
            <w:tcW w:w="3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663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čnosť s ručením obmedzeným</w:t>
            </w:r>
          </w:p>
        </w:tc>
      </w:tr>
      <w:tr>
        <w:trPr>
          <w:trHeight w:val="170" w:hRule="auto"/>
          <w:jc w:val="left"/>
        </w:trPr>
        <w:tc>
          <w:tcPr>
            <w:tcW w:w="4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663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Sídlo</w:t>
            </w:r>
          </w:p>
        </w:tc>
        <w:tc>
          <w:tcPr>
            <w:tcW w:w="3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663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Tomášikova 30, 821 01 Bratislava</w:t>
            </w:r>
          </w:p>
        </w:tc>
      </w:tr>
      <w:tr>
        <w:trPr>
          <w:trHeight w:val="170" w:hRule="auto"/>
          <w:jc w:val="left"/>
        </w:trPr>
        <w:tc>
          <w:tcPr>
            <w:tcW w:w="4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663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Hlavný predmet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činnosti</w:t>
            </w:r>
          </w:p>
        </w:tc>
        <w:tc>
          <w:tcPr>
            <w:tcW w:w="3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663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Jedálne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19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Dátum schválenia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závierky za bezprostredne predchádzajúce účtovné obdobie príslušným orgánom účtovnej jednotky.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FF0000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21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Právny dôvod na zostavenie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závierky.</w:t>
      </w:r>
    </w:p>
    <w:p>
      <w:pPr>
        <w:keepNext w:val="true"/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b/>
          <w:color w:val="FF0000"/>
          <w:spacing w:val="0"/>
          <w:position w:val="0"/>
          <w:sz w:val="18"/>
          <w:shd w:fill="auto" w:val="clear"/>
        </w:rPr>
      </w:pPr>
    </w:p>
    <w:p>
      <w:pPr>
        <w:keepNext w:val="true"/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čtovná závierka Spoločnosti k 31.12.2022 je zostavená ako riadna účtovná závierka podľa § 17  ods. 6 zákona č. 431/2002 Z. z. o účtovníctve za účtovné obdobie od 1.1. 2022 do 31.12. 2022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24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Údaje o skupine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čtovných jednotiek, a to:</w:t>
      </w:r>
    </w:p>
    <w:p>
      <w:pPr>
        <w:keepNext w:val="true"/>
        <w:numPr>
          <w:ilvl w:val="0"/>
          <w:numId w:val="24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obchodné meno a 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jednotky, ktorá zostavuje konsolidovanú účtovnú závierku za najväčšiu skupinu, ktorej súčasťou je účtovná jednotka ako dcérska účtovná jednotka,</w:t>
      </w:r>
    </w:p>
    <w:p>
      <w:pPr>
        <w:keepNext w:val="true"/>
        <w:numPr>
          <w:ilvl w:val="0"/>
          <w:numId w:val="24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obchodné meno a 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keepNext w:val="true"/>
        <w:numPr>
          <w:ilvl w:val="0"/>
          <w:numId w:val="24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adresa, kde sa môže vyžiada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ť kópia konsolidovaných účtovných závierok uvedených v písmenách a) a b),</w:t>
      </w:r>
    </w:p>
    <w:p>
      <w:pPr>
        <w:keepNext w:val="true"/>
        <w:numPr>
          <w:ilvl w:val="0"/>
          <w:numId w:val="24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numPr>
          <w:ilvl w:val="0"/>
          <w:numId w:val="24"/>
        </w:numPr>
        <w:tabs>
          <w:tab w:val="left" w:pos="851" w:leader="none"/>
        </w:tabs>
        <w:spacing w:before="0" w:after="0" w:line="240"/>
        <w:ind w:right="0" w:left="107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ľa § 22 ods. 8 zákona obchodné meno a sídlo materskej účtovnej jednotky zostavujúcej konsolidovanú účtovnú závierku podľa osobitných predpisov,</w:t>
      </w:r>
    </w:p>
    <w:p>
      <w:pPr>
        <w:numPr>
          <w:ilvl w:val="0"/>
          <w:numId w:val="24"/>
        </w:numPr>
        <w:tabs>
          <w:tab w:val="left" w:pos="851" w:leader="none"/>
        </w:tabs>
        <w:spacing w:before="0" w:after="0" w:line="240"/>
        <w:ind w:right="0" w:left="107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ľa § 22 ods. 10 a 12 zákona obchodné meno a sídlo dcérskych účtovných jednotiek.</w:t>
      </w:r>
    </w:p>
    <w:p>
      <w:pPr>
        <w:tabs>
          <w:tab w:val="left" w:pos="851" w:leader="none"/>
        </w:tabs>
        <w:spacing w:before="0" w:after="0" w:line="240"/>
        <w:ind w:right="0" w:left="1077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29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čítaný počet zamestnancov účtovnej jednotky.</w:t>
      </w:r>
    </w:p>
    <w:p>
      <w:pPr>
        <w:keepNext w:val="true"/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3741"/>
        <w:gridCol w:w="2128"/>
        <w:gridCol w:w="2875"/>
      </w:tblGrid>
      <w:tr>
        <w:trPr>
          <w:trHeight w:val="1" w:hRule="atLeast"/>
          <w:jc w:val="center"/>
        </w:trPr>
        <w:tc>
          <w:tcPr>
            <w:tcW w:w="37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1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8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37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1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  <w:tc>
          <w:tcPr>
            <w:tcW w:w="28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851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orgánoch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Informácie o orgánoch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jednotky, a to:</w:t>
      </w:r>
    </w:p>
    <w:p>
      <w:pPr>
        <w:numPr>
          <w:ilvl w:val="0"/>
          <w:numId w:val="42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výške jednotlivých druhov záruk alebo iných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čení poskytnutých pre členov štatutárneho orgánu, dozorného orgánu a iného orgánu účtovnej jednotky, a to v členení za jednotlivé orgány,</w:t>
      </w:r>
    </w:p>
    <w:p>
      <w:pPr>
        <w:numPr>
          <w:ilvl w:val="0"/>
          <w:numId w:val="42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čkách poskytnutých členom štatutárneho orgánu, dozorného orgánu a iného orgánu účtovnej jednotky, a to o</w:t>
      </w:r>
    </w:p>
    <w:p>
      <w:pPr>
        <w:numPr>
          <w:ilvl w:val="0"/>
          <w:numId w:val="42"/>
        </w:numPr>
        <w:spacing w:before="0" w:after="0" w:line="240"/>
        <w:ind w:right="0" w:left="107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celkovej sume poskytnutých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čiek k poslednému dňu účtovného obdobia v členení za jednotlivé orgány,</w:t>
      </w:r>
    </w:p>
    <w:p>
      <w:pPr>
        <w:numPr>
          <w:ilvl w:val="0"/>
          <w:numId w:val="42"/>
        </w:numPr>
        <w:spacing w:before="0" w:after="0" w:line="240"/>
        <w:ind w:right="0" w:left="107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celkovej sume splatených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čiek k poslednému dňu účtovného obdobia v členení za jednotlivé orgány,</w:t>
      </w:r>
    </w:p>
    <w:p>
      <w:pPr>
        <w:numPr>
          <w:ilvl w:val="0"/>
          <w:numId w:val="42"/>
        </w:numPr>
        <w:spacing w:before="0" w:after="0" w:line="240"/>
        <w:ind w:right="0" w:left="107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celkovej sume odpustených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čiek a odpísaných pôžičiek k poslednému dňu účtovného obdobia v členení za jednotlivé orgány,</w:t>
      </w:r>
    </w:p>
    <w:p>
      <w:pPr>
        <w:numPr>
          <w:ilvl w:val="0"/>
          <w:numId w:val="42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hlavných podmienkach, na základe ktorých boli osobám uvedeným v písmene a) záruky alebo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čenie a pôžičky poskytnuté; pri pôžičkách sa uvádzajú úrokové sadzby,</w:t>
      </w:r>
    </w:p>
    <w:p>
      <w:pPr>
        <w:numPr>
          <w:ilvl w:val="0"/>
          <w:numId w:val="42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celkovej sume použitých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vyúčtovať.</w:t>
      </w:r>
    </w:p>
    <w:p>
      <w:pPr>
        <w:tabs>
          <w:tab w:val="left" w:pos="85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           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9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Informácia,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560" w:leader="none"/>
        </w:tabs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čtovná závierka za rok 2022 bola spracovaná za predpokladu nepretržitého pokračovania činnosti.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FFFF00" w:val="clear"/>
        </w:rPr>
      </w:pPr>
    </w:p>
    <w:p>
      <w:pPr>
        <w:numPr>
          <w:ilvl w:val="0"/>
          <w:numId w:val="53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Informácia o aplikácií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čtovné metódy a zásady boli aplikované v rámci platného zákona o účtovníctve. </w:t>
      </w:r>
      <w:r>
        <w:rPr>
          <w:rFonts w:ascii="Times New Roman" w:hAnsi="Times New Roman" w:cs="Times New Roman" w:eastAsia="Times New Roman"/>
          <w:b/>
          <w:color w:val="auto"/>
          <w:spacing w:val="-5"/>
          <w:position w:val="0"/>
          <w:sz w:val="20"/>
          <w:shd w:fill="auto" w:val="clear"/>
        </w:rPr>
        <w:t xml:space="preserve">V priebehu účtovného obdobia nemenila účtovné zásady a účtovné metódy.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55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Informácia o charaktere a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tabs>
          <w:tab w:val="left" w:pos="85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       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58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Spôsob a 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čenie ocenenia majetku a záväzkov vrátane  určenia rozhodujúcich účtovných odhadov a predpokladov, pričom sa zohľadňuje zásada významnosti. Uvádza sa najmä</w:t>
      </w:r>
    </w:p>
    <w:p>
      <w:pPr>
        <w:numPr>
          <w:ilvl w:val="0"/>
          <w:numId w:val="58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obstarávacia cena, vlastné náklady, menovitá hodnota, reálna hodnota, hodnota zistená metódou vlastného imania, aktivovanie úrokov tvoriacich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časť ocenenia majetku a záväzkov,</w:t>
      </w:r>
    </w:p>
    <w:p>
      <w:pPr>
        <w:numPr>
          <w:ilvl w:val="0"/>
          <w:numId w:val="58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čenie odhadu zníženia hodnoty majetku a tvorba opravnej položky k majetku,</w:t>
      </w:r>
    </w:p>
    <w:p>
      <w:pPr>
        <w:numPr>
          <w:ilvl w:val="0"/>
          <w:numId w:val="58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čenie ocenenia záväzkov, stanovenie odhadu ocenenia rezerv,</w:t>
      </w:r>
    </w:p>
    <w:p>
      <w:pPr>
        <w:numPr>
          <w:ilvl w:val="0"/>
          <w:numId w:val="58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čenie ocenenia finančných nástrojov alebo majetku, ktorý nie je finančným nástrojom pri oceňovaní reálnou hodnotou, a to:</w:t>
      </w:r>
    </w:p>
    <w:p>
      <w:pPr>
        <w:numPr>
          <w:ilvl w:val="0"/>
          <w:numId w:val="58"/>
        </w:numPr>
        <w:spacing w:before="0" w:after="0" w:line="240"/>
        <w:ind w:right="0" w:left="1066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numPr>
          <w:ilvl w:val="0"/>
          <w:numId w:val="58"/>
        </w:numPr>
        <w:spacing w:before="0" w:after="0" w:line="240"/>
        <w:ind w:right="0" w:left="1211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pre každú kategóriu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numPr>
          <w:ilvl w:val="0"/>
          <w:numId w:val="58"/>
        </w:numPr>
        <w:spacing w:before="0" w:after="0" w:line="240"/>
        <w:ind w:right="0" w:left="1211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pre každý druh derivátových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čných nástrojov informácie o rozsahu a podstate týchto nástrojov vrátane hlavných podmienok a okolností, ktoré môžu ovplyvniť sumu, časový priebeh a mieru istoty budúcich peňažných tokov, </w:t>
      </w:r>
    </w:p>
    <w:p>
      <w:pPr>
        <w:numPr>
          <w:ilvl w:val="0"/>
          <w:numId w:val="58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čenie ocenenia finančných nástrojov alebo majetku, ktorý nie je finančným nástrojom pri oceňovaní obstarávacou cenou alebo vlastnými nákladmi, a to:</w:t>
      </w:r>
    </w:p>
    <w:p>
      <w:pPr>
        <w:numPr>
          <w:ilvl w:val="0"/>
          <w:numId w:val="58"/>
        </w:numPr>
        <w:spacing w:before="0" w:after="0" w:line="240"/>
        <w:ind w:right="0" w:left="1066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pre každý druh derivátových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čných nástrojov sa uvádza reálna hodnota týchto finančných nástrojov, ak sa môže spoľahlivo určiť ako trhová cena a informácia o rozsahu a charaktere týchto nástrojov,</w:t>
      </w:r>
    </w:p>
    <w:p>
      <w:pPr>
        <w:numPr>
          <w:ilvl w:val="0"/>
          <w:numId w:val="58"/>
        </w:numPr>
        <w:spacing w:before="0" w:after="0" w:line="24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pri dlhodobom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čnom majetku, ktorý sa vykazuje vo vyššej hodnote ako je jeho reálna hodnota, sa uvádza </w:t>
      </w:r>
    </w:p>
    <w:p>
      <w:pPr>
        <w:numPr>
          <w:ilvl w:val="0"/>
          <w:numId w:val="58"/>
        </w:numPr>
        <w:spacing w:before="0" w:after="0" w:line="240"/>
        <w:ind w:right="0" w:left="141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čtovná hodnota a reálna hodnota za jednotlivé položky majetku alebo skupiny týchto jednotlivých položiek majetku,</w:t>
      </w:r>
    </w:p>
    <w:p>
      <w:pPr>
        <w:numPr>
          <w:ilvl w:val="0"/>
          <w:numId w:val="58"/>
        </w:numPr>
        <w:spacing w:before="0" w:after="0" w:line="240"/>
        <w:ind w:right="0" w:left="141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dôvod pre nezníženie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hodnoty vrátane povahy dôkazov pre predpoklad, že sa účtovná hodnota opätovne dosiahne,</w:t>
      </w:r>
    </w:p>
    <w:p>
      <w:pPr>
        <w:spacing w:before="0" w:after="0" w:line="240"/>
        <w:ind w:right="0" w:left="141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tbl>
      <w:tblPr>
        <w:tblInd w:w="988" w:type="dxa"/>
      </w:tblPr>
      <w:tblGrid>
        <w:gridCol w:w="3576"/>
        <w:gridCol w:w="4220"/>
      </w:tblGrid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668" w:hanging="56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hmotný maj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tok: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tok: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</w:t>
            </w:r>
            <w:r>
              <w:rPr>
                <w:rFonts w:ascii="Times New Roman" w:hAnsi="Times New Roman" w:cs="Times New Roman" w:eastAsia="Times New Roman"/>
                <w:color w:val="auto"/>
                <w:spacing w:val="-2"/>
                <w:position w:val="0"/>
                <w:sz w:val="20"/>
                <w:shd w:fill="auto" w:val="clear"/>
              </w:rPr>
              <w:t xml:space="preserve">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ný ma</w:t>
            </w:r>
            <w:r>
              <w:rPr>
                <w:rFonts w:ascii="Times New Roman" w:hAnsi="Times New Roman" w:cs="Times New Roman" w:eastAsia="Times New Roman"/>
                <w:color w:val="auto"/>
                <w:spacing w:val="2"/>
                <w:position w:val="0"/>
                <w:sz w:val="20"/>
                <w:shd w:fill="auto" w:val="clear"/>
              </w:rPr>
              <w:t xml:space="preserve">j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tok: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</w:t>
            </w:r>
            <w:r>
              <w:rPr>
                <w:rFonts w:ascii="Times New Roman" w:hAnsi="Times New Roman" w:cs="Times New Roman" w:eastAsia="Times New Roman"/>
                <w:color w:val="auto"/>
                <w:spacing w:val="-2"/>
                <w:position w:val="0"/>
                <w:sz w:val="20"/>
                <w:shd w:fill="auto" w:val="clear"/>
              </w:rPr>
              <w:t xml:space="preserve">a</w:t>
            </w:r>
            <w:r>
              <w:rPr>
                <w:rFonts w:ascii="Times New Roman" w:hAnsi="Times New Roman" w:cs="Times New Roman" w:eastAsia="Times New Roman"/>
                <w:color w:val="auto"/>
                <w:spacing w:val="4"/>
                <w:position w:val="0"/>
                <w:sz w:val="20"/>
                <w:shd w:fill="auto" w:val="clear"/>
              </w:rPr>
              <w:t xml:space="preserve">né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kúpo</w:t>
            </w:r>
            <w:r>
              <w:rPr>
                <w:rFonts w:ascii="Times New Roman" w:hAnsi="Times New Roman" w:cs="Times New Roman" w:eastAsia="Times New Roman"/>
                <w:color w:val="auto"/>
                <w:spacing w:val="2"/>
                <w:position w:val="0"/>
                <w:sz w:val="20"/>
                <w:shd w:fill="auto" w:val="clear"/>
              </w:rPr>
              <w:t xml:space="preserve">u: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1"/>
                <w:position w:val="0"/>
                <w:sz w:val="20"/>
                <w:shd w:fill="auto" w:val="clear"/>
              </w:rPr>
              <w:t xml:space="preserve">Z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soby </w:t>
            </w:r>
            <w:r>
              <w:rPr>
                <w:rFonts w:ascii="Times New Roman" w:hAnsi="Times New Roman" w:cs="Times New Roman" w:eastAsia="Times New Roman"/>
                <w:color w:val="auto"/>
                <w:spacing w:val="2"/>
                <w:position w:val="0"/>
                <w:sz w:val="20"/>
                <w:shd w:fill="auto" w:val="clear"/>
              </w:rPr>
              <w:t xml:space="preserve">v</w:t>
            </w:r>
            <w:r>
              <w:rPr>
                <w:rFonts w:ascii="Times New Roman" w:hAnsi="Times New Roman" w:cs="Times New Roman" w:eastAsia="Times New Roman"/>
                <w:color w:val="auto"/>
                <w:spacing w:val="-5"/>
                <w:position w:val="0"/>
                <w:sz w:val="20"/>
                <w:shd w:fill="auto" w:val="clear"/>
              </w:rPr>
              <w:t xml:space="preserve">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tvor</w:t>
            </w:r>
            <w:r>
              <w:rPr>
                <w:rFonts w:ascii="Times New Roman" w:hAnsi="Times New Roman" w:cs="Times New Roman" w:eastAsia="Times New Roman"/>
                <w:color w:val="auto"/>
                <w:spacing w:val="-2"/>
                <w:position w:val="0"/>
                <w:sz w:val="20"/>
                <w:shd w:fill="auto" w:val="clear"/>
              </w:rPr>
              <w:t xml:space="preserve">e</w:t>
            </w:r>
            <w:r>
              <w:rPr>
                <w:rFonts w:ascii="Times New Roman" w:hAnsi="Times New Roman" w:cs="Times New Roman" w:eastAsia="Times New Roman"/>
                <w:color w:val="auto"/>
                <w:spacing w:val="4"/>
                <w:position w:val="0"/>
                <w:sz w:val="20"/>
                <w:shd w:fill="auto" w:val="clear"/>
              </w:rPr>
              <w:t xml:space="preserve">né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Vlastné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ľ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vky: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Kúpené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ľ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vky: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rá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tkodobý </w:t>
            </w:r>
            <w:r>
              <w:rPr>
                <w:rFonts w:ascii="Times New Roman" w:hAnsi="Times New Roman" w:cs="Times New Roman" w:eastAsia="Times New Roman"/>
                <w:color w:val="auto"/>
                <w:spacing w:val="-2"/>
                <w:position w:val="0"/>
                <w:sz w:val="20"/>
                <w:shd w:fill="auto" w:val="clear"/>
              </w:rPr>
              <w:t xml:space="preserve">f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ina</w:t>
            </w:r>
            <w:r>
              <w:rPr>
                <w:rFonts w:ascii="Times New Roman" w:hAnsi="Times New Roman" w:cs="Times New Roman" w:eastAsia="Times New Roman"/>
                <w:color w:val="auto"/>
                <w:spacing w:val="1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ný maj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tok: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cena/Menovitá hodnota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Zá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v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auto"/>
                <w:spacing w:val="1"/>
                <w:position w:val="0"/>
                <w:sz w:val="20"/>
                <w:shd w:fill="auto" w:val="clear"/>
              </w:rPr>
              <w:t xml:space="preserve">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ky v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rá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tane</w:t>
            </w:r>
            <w:r>
              <w:rPr>
                <w:rFonts w:ascii="Times New Roman" w:hAnsi="Times New Roman" w:cs="Times New Roman" w:eastAsia="Times New Roman"/>
                <w:color w:val="auto"/>
                <w:spacing w:val="1"/>
                <w:position w:val="0"/>
                <w:sz w:val="20"/>
                <w:shd w:fill="auto" w:val="clear"/>
              </w:rPr>
              <w:t xml:space="preserve">r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e</w:t>
            </w:r>
            <w:r>
              <w:rPr>
                <w:rFonts w:ascii="Times New Roman" w:hAnsi="Times New Roman" w:cs="Times New Roman" w:eastAsia="Times New Roman"/>
                <w:color w:val="auto"/>
                <w:spacing w:val="1"/>
                <w:position w:val="0"/>
                <w:sz w:val="20"/>
                <w:shd w:fill="auto" w:val="clear"/>
              </w:rPr>
              <w:t xml:space="preserve">z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rv: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Dlhopisy: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jednotka nemá náplň pre túto položku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Pô</w:t>
            </w:r>
            <w:r>
              <w:rPr>
                <w:rFonts w:ascii="Times New Roman" w:hAnsi="Times New Roman" w:cs="Times New Roman" w:eastAsia="Times New Roman"/>
                <w:color w:val="auto"/>
                <w:spacing w:val="1"/>
                <w:position w:val="0"/>
                <w:sz w:val="20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čky a</w:t>
            </w:r>
            <w:r>
              <w:rPr>
                <w:rFonts w:ascii="Times New Roman" w:hAnsi="Times New Roman" w:cs="Times New Roman" w:eastAsia="Times New Roman"/>
                <w:color w:val="auto"/>
                <w:spacing w:val="1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úv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ry: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3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riv</w:t>
            </w:r>
            <w:r>
              <w:rPr>
                <w:rFonts w:ascii="Times New Roman" w:hAnsi="Times New Roman" w:cs="Times New Roman" w:eastAsia="Times New Roman"/>
                <w:color w:val="auto"/>
                <w:spacing w:val="-2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to</w:t>
            </w:r>
            <w:r>
              <w:rPr>
                <w:rFonts w:ascii="Times New Roman" w:hAnsi="Times New Roman" w:cs="Times New Roman" w:eastAsia="Times New Roman"/>
                <w:color w:val="auto"/>
                <w:spacing w:val="5"/>
                <w:position w:val="0"/>
                <w:sz w:val="20"/>
                <w:shd w:fill="auto" w:val="clear"/>
              </w:rPr>
              <w:t xml:space="preserve">vé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1"/>
                <w:position w:val="0"/>
                <w:sz w:val="20"/>
                <w:shd w:fill="auto" w:val="clear"/>
              </w:rPr>
              <w:t xml:space="preserve">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rá</w:t>
            </w:r>
            <w:r>
              <w:rPr>
                <w:rFonts w:ascii="Times New Roman" w:hAnsi="Times New Roman" w:cs="Times New Roman" w:eastAsia="Times New Roman"/>
                <w:color w:val="auto"/>
                <w:spacing w:val="-1"/>
                <w:position w:val="0"/>
                <w:sz w:val="20"/>
                <w:shd w:fill="auto" w:val="clear"/>
              </w:rPr>
              <w:t xml:space="preserve">c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ie:</w:t>
            </w:r>
          </w:p>
        </w:tc>
        <w:tc>
          <w:tcPr>
            <w:tcW w:w="4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jednotka nemá náplň pre túto položku</w:t>
            </w:r>
          </w:p>
        </w:tc>
      </w:tr>
    </w:tbl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96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stanovenie metódy vlastného imania</w:t>
      </w:r>
    </w:p>
    <w:p>
      <w:pPr>
        <w:tabs>
          <w:tab w:val="left" w:pos="851" w:leader="none"/>
        </w:tabs>
        <w:spacing w:before="0" w:after="0" w:line="240"/>
        <w:ind w:right="0" w:left="862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99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tvorba odpisového plánu pre dlhodobý majetok,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čom sa uvádza doba odpisovania, sadzby odpisov a odpisové metódy pre účtovné odpisy,</w:t>
      </w: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Dlhodobý majetok sa odpisuje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ľa odpisového plánu, ktorý bol stanovený s ohľadom na odhad reálnej ekonomickej životnosti.</w:t>
      </w: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Majetok sa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čína odpisovať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0"/>
          <w:shd w:fill="auto" w:val="clear"/>
        </w:rPr>
        <w:t xml:space="preserve">dňom zaradenia do používania.</w:t>
      </w: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Priemerné životnosti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ľa odpisového plánu sú:</w:t>
      </w:r>
    </w:p>
    <w:p>
      <w:pPr>
        <w:spacing w:before="0" w:after="0" w:line="240"/>
        <w:ind w:right="0" w:left="641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573" w:type="dxa"/>
      </w:tblPr>
      <w:tblGrid>
        <w:gridCol w:w="2966"/>
        <w:gridCol w:w="1701"/>
        <w:gridCol w:w="1985"/>
        <w:gridCol w:w="1985"/>
      </w:tblGrid>
      <w:tr>
        <w:trPr>
          <w:trHeight w:val="417" w:hRule="auto"/>
          <w:jc w:val="left"/>
        </w:trPr>
        <w:tc>
          <w:tcPr>
            <w:tcW w:w="296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Životnos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čná odpisová sadzba v %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</w:t>
            </w:r>
          </w:p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metóda</w:t>
            </w:r>
          </w:p>
        </w:tc>
      </w:tr>
      <w:tr>
        <w:trPr>
          <w:trHeight w:val="1" w:hRule="atLeast"/>
          <w:jc w:val="left"/>
        </w:trPr>
        <w:tc>
          <w:tcPr>
            <w:tcW w:w="296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Budovy a stavby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20-40 rokov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tabs>
                <w:tab w:val="left" w:pos="11340" w:leader="none"/>
                <w:tab w:val="left" w:pos="13919" w:leader="none"/>
                <w:tab w:val="left" w:pos="16187" w:leader="none"/>
              </w:tabs>
              <w:suppressAutoHyphens w:val="true"/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2,5-5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tabs>
                <w:tab w:val="left" w:pos="11340" w:leader="none"/>
                <w:tab w:val="left" w:pos="13919" w:leader="none"/>
                <w:tab w:val="left" w:pos="16187" w:leader="none"/>
              </w:tabs>
              <w:suppressAutoHyphens w:val="true"/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Rovnomerná</w:t>
            </w:r>
          </w:p>
        </w:tc>
      </w:tr>
      <w:tr>
        <w:trPr>
          <w:trHeight w:val="1" w:hRule="atLeast"/>
          <w:jc w:val="left"/>
        </w:trPr>
        <w:tc>
          <w:tcPr>
            <w:tcW w:w="296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Stroje a zariadenia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4-12 rokov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tabs>
                <w:tab w:val="left" w:pos="11340" w:leader="none"/>
              </w:tabs>
              <w:suppressAutoHyphens w:val="true"/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8,33-25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tabs>
                <w:tab w:val="left" w:pos="11340" w:leader="none"/>
              </w:tabs>
              <w:suppressAutoHyphens w:val="true"/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Rovnomerná</w:t>
            </w:r>
          </w:p>
        </w:tc>
      </w:tr>
      <w:tr>
        <w:trPr>
          <w:trHeight w:val="1" w:hRule="atLeast"/>
          <w:jc w:val="left"/>
        </w:trPr>
        <w:tc>
          <w:tcPr>
            <w:tcW w:w="296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Dopravné prostriedky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4-8 rokov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tabs>
                <w:tab w:val="left" w:pos="11340" w:leader="none"/>
              </w:tabs>
              <w:suppressAutoHyphens w:val="true"/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12,5-25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tabs>
                <w:tab w:val="left" w:pos="11340" w:leader="none"/>
              </w:tabs>
              <w:suppressAutoHyphens w:val="true"/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Rovnomerná</w:t>
            </w:r>
          </w:p>
        </w:tc>
      </w:tr>
      <w:tr>
        <w:trPr>
          <w:trHeight w:val="1" w:hRule="atLeast"/>
          <w:jc w:val="left"/>
        </w:trPr>
        <w:tc>
          <w:tcPr>
            <w:tcW w:w="296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Inventár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1340" w:leader="none"/>
              </w:tabs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4-8 rokov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tabs>
                <w:tab w:val="left" w:pos="11340" w:leader="none"/>
              </w:tabs>
              <w:suppressAutoHyphens w:val="true"/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12,5-25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tabs>
                <w:tab w:val="left" w:pos="11340" w:leader="none"/>
              </w:tabs>
              <w:suppressAutoHyphens w:val="true"/>
              <w:spacing w:before="0" w:after="0" w:line="240"/>
              <w:ind w:right="0" w:left="538" w:hanging="35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Rovnomerná</w:t>
            </w:r>
          </w:p>
        </w:tc>
      </w:tr>
    </w:tbl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23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informácia o poskytnutých dotáciách a pri dotáciách na obstaranie majetku sa uvedú zložky majetku a ich ocenenie.</w:t>
      </w:r>
    </w:p>
    <w:p>
      <w:pPr>
        <w:tabs>
          <w:tab w:val="left" w:pos="851" w:leader="none"/>
        </w:tabs>
        <w:spacing w:before="0" w:after="0" w:line="240"/>
        <w:ind w:right="0" w:left="862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26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V poznámkach sa uvádza informácia o oprave významných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>
      <w:pPr>
        <w:tabs>
          <w:tab w:val="left" w:pos="851" w:leader="none"/>
        </w:tabs>
        <w:spacing w:before="0" w:after="0" w:line="240"/>
        <w:ind w:right="0" w:left="502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ľujú a dopĺňajú súvahu a výkaz ziskov a strát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1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K dlhodobému nehmotnému majetku, ktorým je goodwill alebo záporný goodwill sa uvádza dôvod jeho vzniku, spôsob výpo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čtu a prehodnotenie opodstatnenosti jeho výšky a odpisu jeho hodnoty.</w:t>
      </w:r>
    </w:p>
    <w:p>
      <w:pPr>
        <w:tabs>
          <w:tab w:val="left" w:pos="85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4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Informácie o významných položkách derivátov, majetku a záväzkoch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>
      <w:pPr>
        <w:tabs>
          <w:tab w:val="left" w:pos="85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7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Informácie o záväzkoch, a to o</w:t>
      </w:r>
    </w:p>
    <w:p>
      <w:pPr>
        <w:numPr>
          <w:ilvl w:val="0"/>
          <w:numId w:val="137"/>
        </w:numPr>
        <w:tabs>
          <w:tab w:val="left" w:pos="16777006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celkovej sume záväzkov so zostatkovou dobou splatnosti dlhšou ako pä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ť rokov,</w:t>
      </w:r>
    </w:p>
    <w:p>
      <w:pPr>
        <w:numPr>
          <w:ilvl w:val="0"/>
          <w:numId w:val="137"/>
        </w:numPr>
        <w:tabs>
          <w:tab w:val="left" w:pos="16777006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celkovej sume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čených záväzkov, opise a spôsoboch zabezpečenia záväzkov.</w:t>
      </w:r>
    </w:p>
    <w:p>
      <w:pPr>
        <w:numPr>
          <w:ilvl w:val="0"/>
          <w:numId w:val="137"/>
        </w:numPr>
        <w:tabs>
          <w:tab w:val="left" w:pos="16777006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jednotky.</w:t>
      </w:r>
    </w:p>
    <w:p>
      <w:pPr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40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Informácie o vlastných akciách, a to o</w:t>
      </w:r>
    </w:p>
    <w:p>
      <w:pPr>
        <w:numPr>
          <w:ilvl w:val="0"/>
          <w:numId w:val="140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dôvode nadobudnutia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čas účtovného obdobia,</w:t>
      </w:r>
    </w:p>
    <w:p>
      <w:pPr>
        <w:numPr>
          <w:ilvl w:val="0"/>
          <w:numId w:val="140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informáciách, ktorými sú</w:t>
      </w:r>
    </w:p>
    <w:p>
      <w:pPr>
        <w:numPr>
          <w:ilvl w:val="0"/>
          <w:numId w:val="140"/>
        </w:numPr>
        <w:spacing w:before="0" w:after="0" w:line="240"/>
        <w:ind w:right="0" w:left="107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numPr>
          <w:ilvl w:val="0"/>
          <w:numId w:val="140"/>
        </w:numPr>
        <w:spacing w:before="0" w:after="0" w:line="240"/>
        <w:ind w:right="0" w:left="107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čet a protihodnota, za ktorú sa vlastné akcie počas účtovného obdobia nadobudli a počet a hodnota, za ktorú sa vlastné akcie počas účtovného obdobia previedli na inú osobu,</w:t>
      </w:r>
    </w:p>
    <w:p>
      <w:pPr>
        <w:numPr>
          <w:ilvl w:val="0"/>
          <w:numId w:val="140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čte, menovitej hodnote a protihodnote, za ktorú sa vlastné akcie nadobudli a ktoré účtovná jednotka má v držbe k poslednému dňu účtovného obdobia; uvádza sa aj ich percentuálny podiel na upísanom základnom imaní.</w:t>
      </w:r>
    </w:p>
    <w:p>
      <w:pPr>
        <w:tabs>
          <w:tab w:val="left" w:pos="851" w:leader="none"/>
        </w:tabs>
        <w:spacing w:before="0" w:after="0" w:line="240"/>
        <w:ind w:right="0" w:left="862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tabs>
          <w:tab w:val="left" w:pos="851" w:leader="none"/>
        </w:tabs>
        <w:spacing w:before="0" w:after="0" w:line="240"/>
        <w:ind w:right="0" w:left="862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502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46"/>
        </w:numPr>
        <w:spacing w:before="0" w:after="0" w:line="240"/>
        <w:ind w:right="0" w:left="502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Informácia o sume a dôvodoch vzniku jednotlivých položiek nákladov alebo výnosov, ktoré majú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čný rozsah alebo výskyt, napríklad výnosy z predaja podniku alebo časti podniku, náklady z dôvodu predaja podniku alebo časti podniku, škody z dôvodu živelných pohrôm.</w:t>
      </w:r>
    </w:p>
    <w:p>
      <w:pPr>
        <w:tabs>
          <w:tab w:val="left" w:pos="85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iných aktívach a iných pasívach</w:t>
      </w:r>
    </w:p>
    <w:p>
      <w:pPr>
        <w:spacing w:before="0" w:after="0" w:line="240"/>
        <w:ind w:right="-468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52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K iným aktívam a iným pasívam sa uvádzajú tieto informácie:</w:t>
      </w:r>
    </w:p>
    <w:p>
      <w:pPr>
        <w:numPr>
          <w:ilvl w:val="0"/>
          <w:numId w:val="152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opis a hodnota podmieneného majetku, ktorým sa rozumie možný majetok, ktorý vznikol v dôsledku minulých udalostí a ktorého existencia alebo vlastníctvo závisí od toho,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 nastane alebo nenastane jedna alebo viac neistých udalostí v budúcnosti, ktorých vznik nezávisí od účtovnej jednotky; takýmto majetkom sú napríklad práva zo servisných zmlúv, poistných zmlúv, koncesionárskych zmlúv, licenčných zmlúv.</w:t>
      </w:r>
    </w:p>
    <w:p>
      <w:pPr>
        <w:tabs>
          <w:tab w:val="left" w:pos="85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56"/>
        </w:numPr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opis a hodnota podmienených záväzkov vyplývajúcich napríklad zo súdnych rozhodnutí, z poskytnutých záruk, zo všeobecne záväzných právnych predpisov, z 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čenia podľa jednotlivých druhov ručenia; takýmito podmienenými záväzkami sú</w:t>
      </w:r>
    </w:p>
    <w:p>
      <w:pPr>
        <w:numPr>
          <w:ilvl w:val="0"/>
          <w:numId w:val="156"/>
        </w:numPr>
        <w:spacing w:before="0" w:after="0" w:line="240"/>
        <w:ind w:right="0" w:left="107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možná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numPr>
          <w:ilvl w:val="0"/>
          <w:numId w:val="156"/>
        </w:numPr>
        <w:spacing w:before="0" w:after="0" w:line="240"/>
        <w:ind w:right="0" w:left="107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tabs>
          <w:tab w:val="left" w:pos="85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107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07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60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V poznámkach sa uvádzajú významné položky ostatných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čných povinností, ktoré sa nevykazujú v účtovných výkazoch, napríklad zákonná povinnosť alebo zmluvná povinnosť odobrať určité množstvo produktu, uskutočniť investície a  veľké opravy.</w:t>
      </w:r>
    </w:p>
    <w:p>
      <w:pPr>
        <w:tabs>
          <w:tab w:val="left" w:pos="851" w:leader="none"/>
        </w:tabs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63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Ku 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>
      <w:pPr>
        <w:tabs>
          <w:tab w:val="left" w:pos="851" w:leader="none"/>
        </w:tabs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Udalosti, ktoré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p>
      <w:pPr>
        <w:spacing w:before="0" w:after="0" w:line="240"/>
        <w:ind w:right="-468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Uvádzajú sa informácie o charaktere a 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numPr>
          <w:ilvl w:val="0"/>
          <w:numId w:val="170"/>
        </w:numPr>
        <w:tabs>
          <w:tab w:val="left" w:pos="153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poklese alebo zvýšení trhovej ceny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čného majetku ako dôsledku udalostí, ktoré nastali po dni, ku ktorému sa zostavuje účtovná závierka do dňa zostavenia účtovnej závierky, s uvedením dôvodu týchto zmien,</w:t>
      </w:r>
    </w:p>
    <w:p>
      <w:pPr>
        <w:numPr>
          <w:ilvl w:val="0"/>
          <w:numId w:val="170"/>
        </w:numPr>
        <w:tabs>
          <w:tab w:val="left" w:pos="153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dôvodoch pre zmenu výšky rezerv a opravných položiek, ktoré nastali v dôsledku udalostí po dni, ku ktorému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čtovná závierka do dňa zostavenia účtovnej závierky,</w:t>
      </w:r>
    </w:p>
    <w:p>
      <w:pPr>
        <w:numPr>
          <w:ilvl w:val="0"/>
          <w:numId w:val="170"/>
        </w:numPr>
        <w:tabs>
          <w:tab w:val="left" w:pos="153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zmene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čníkov účtovnej jednotky,</w:t>
      </w:r>
    </w:p>
    <w:p>
      <w:pPr>
        <w:numPr>
          <w:ilvl w:val="0"/>
          <w:numId w:val="170"/>
        </w:numPr>
        <w:tabs>
          <w:tab w:val="left" w:pos="153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prijatí rozhodnutia o predaji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jednotky alebo jej časti,</w:t>
      </w:r>
    </w:p>
    <w:p>
      <w:pPr>
        <w:numPr>
          <w:ilvl w:val="0"/>
          <w:numId w:val="170"/>
        </w:numPr>
        <w:tabs>
          <w:tab w:val="left" w:pos="153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zmenách významných položiek dlhodobého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čného majetku,</w:t>
      </w:r>
    </w:p>
    <w:p>
      <w:pPr>
        <w:numPr>
          <w:ilvl w:val="0"/>
          <w:numId w:val="170"/>
        </w:numPr>
        <w:tabs>
          <w:tab w:val="left" w:pos="153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čatí alebo ukončení činnosti časti účtovnej jednotky, napríklad odštepného závodu, organizačnej zložky, prevádzkarne,</w:t>
      </w:r>
    </w:p>
    <w:p>
      <w:pPr>
        <w:numPr>
          <w:ilvl w:val="0"/>
          <w:numId w:val="170"/>
        </w:numPr>
        <w:tabs>
          <w:tab w:val="left" w:pos="153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vydaných dlhopisoch a iných cenných papieroch,</w:t>
      </w:r>
    </w:p>
    <w:p>
      <w:pPr>
        <w:numPr>
          <w:ilvl w:val="0"/>
          <w:numId w:val="170"/>
        </w:numPr>
        <w:tabs>
          <w:tab w:val="left" w:pos="153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čení, splynutí, rozdelení a zmene právnej formy účtovnej jednotky,</w:t>
      </w:r>
    </w:p>
    <w:p>
      <w:pPr>
        <w:numPr>
          <w:ilvl w:val="0"/>
          <w:numId w:val="170"/>
        </w:numPr>
        <w:tabs>
          <w:tab w:val="left" w:pos="153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mimoriadnych udalostiach, ak majú vplyv na hospodárenie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čtovnej jednotky, napríklad o živelnej  pohrome,</w:t>
      </w:r>
    </w:p>
    <w:p>
      <w:pPr>
        <w:numPr>
          <w:ilvl w:val="0"/>
          <w:numId w:val="170"/>
        </w:numPr>
        <w:tabs>
          <w:tab w:val="left" w:pos="153" w:leader="none"/>
        </w:tabs>
        <w:spacing w:before="0" w:after="0" w:line="240"/>
        <w:ind w:right="0" w:left="64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získaní alebo odobratí licencií alebo iných povolení významných pre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činnosť účtovnej jednotky a podobne.</w:t>
      </w: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jednotky.</w:t>
      </w: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641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Ostatné informácie</w:t>
      </w:r>
    </w:p>
    <w:p>
      <w:pPr>
        <w:spacing w:before="0" w:after="0" w:line="240"/>
        <w:ind w:right="-468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5"/>
        </w:numPr>
        <w:spacing w:before="0" w:after="0" w:line="240"/>
        <w:ind w:right="0" w:left="357" w:hanging="35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V poznámkach sa uvádza informácia o udelení výlu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numPr>
          <w:ilvl w:val="0"/>
          <w:numId w:val="175"/>
        </w:numPr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všetkých formách prijatej náhrady,</w:t>
      </w:r>
    </w:p>
    <w:p>
      <w:pPr>
        <w:numPr>
          <w:ilvl w:val="0"/>
          <w:numId w:val="175"/>
        </w:numPr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čtovných zásadách použitých pri prideľovaní nákladov a výnosov,</w:t>
      </w:r>
    </w:p>
    <w:p>
      <w:pPr>
        <w:numPr>
          <w:ilvl w:val="0"/>
          <w:numId w:val="175"/>
        </w:numPr>
        <w:spacing w:before="0" w:after="0" w:line="240"/>
        <w:ind w:right="0" w:left="144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všetkých druhoch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činností účtovnej jednotky.</w:t>
      </w:r>
    </w:p>
    <w:p>
      <w:pPr>
        <w:tabs>
          <w:tab w:val="left" w:pos="851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      Netýka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144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num w:numId="6">
    <w:abstractNumId w:val="144"/>
  </w:num>
  <w:num w:numId="19">
    <w:abstractNumId w:val="138"/>
  </w:num>
  <w:num w:numId="21">
    <w:abstractNumId w:val="132"/>
  </w:num>
  <w:num w:numId="24">
    <w:abstractNumId w:val="126"/>
  </w:num>
  <w:num w:numId="29">
    <w:abstractNumId w:val="120"/>
  </w:num>
  <w:num w:numId="42">
    <w:abstractNumId w:val="114"/>
  </w:num>
  <w:num w:numId="49">
    <w:abstractNumId w:val="108"/>
  </w:num>
  <w:num w:numId="53">
    <w:abstractNumId w:val="102"/>
  </w:num>
  <w:num w:numId="55">
    <w:abstractNumId w:val="96"/>
  </w:num>
  <w:num w:numId="58">
    <w:abstractNumId w:val="90"/>
  </w:num>
  <w:num w:numId="96">
    <w:abstractNumId w:val="84"/>
  </w:num>
  <w:num w:numId="99">
    <w:abstractNumId w:val="78"/>
  </w:num>
  <w:num w:numId="123">
    <w:abstractNumId w:val="72"/>
  </w:num>
  <w:num w:numId="126">
    <w:abstractNumId w:val="66"/>
  </w:num>
  <w:num w:numId="131">
    <w:abstractNumId w:val="60"/>
  </w:num>
  <w:num w:numId="134">
    <w:abstractNumId w:val="54"/>
  </w:num>
  <w:num w:numId="137">
    <w:abstractNumId w:val="48"/>
  </w:num>
  <w:num w:numId="140">
    <w:abstractNumId w:val="42"/>
  </w:num>
  <w:num w:numId="146">
    <w:abstractNumId w:val="36"/>
  </w:num>
  <w:num w:numId="152">
    <w:abstractNumId w:val="30"/>
  </w:num>
  <w:num w:numId="156">
    <w:abstractNumId w:val="24"/>
  </w:num>
  <w:num w:numId="160">
    <w:abstractNumId w:val="18"/>
  </w:num>
  <w:num w:numId="163">
    <w:abstractNumId w:val="12"/>
  </w:num>
  <w:num w:numId="170">
    <w:abstractNumId w:val="6"/>
  </w:num>
  <w:num w:numId="17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