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006988">
        <w:rPr>
          <w:rFonts w:ascii="Book Antiqua" w:hAnsi="Book Antiqua" w:cs="Arial"/>
          <w:b/>
          <w:bCs/>
          <w:sz w:val="24"/>
          <w:szCs w:val="24"/>
        </w:rPr>
        <w:t>2022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787EF2">
        <w:rPr>
          <w:rFonts w:ascii="Book Antiqua" w:hAnsi="Book Antiqua" w:cs="Arial"/>
          <w:b/>
          <w:bCs/>
          <w:i/>
          <w:sz w:val="28"/>
          <w:szCs w:val="28"/>
        </w:rPr>
        <w:t>Harmanec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621E74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CB7E09" w:rsidRPr="00CB7E09" w:rsidRDefault="00CB7E09" w:rsidP="00423928">
      <w:pPr>
        <w:spacing w:line="360" w:lineRule="auto"/>
        <w:rPr>
          <w:rFonts w:ascii="Book Antiqua" w:hAnsi="Book Antiqua" w:cs="Arial"/>
          <w:b/>
          <w:i/>
          <w:sz w:val="16"/>
          <w:szCs w:val="16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787EF2">
              <w:rPr>
                <w:rFonts w:ascii="Book Antiqua" w:hAnsi="Book Antiqua" w:cs="Arial"/>
                <w:i/>
                <w:sz w:val="24"/>
                <w:szCs w:val="24"/>
              </w:rPr>
              <w:t>Harmanec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787EF2" w:rsidP="00787EF2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Harmanec</w:t>
            </w:r>
            <w:r w:rsidR="007649B5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6</w:t>
            </w:r>
            <w:r w:rsidR="007649B5">
              <w:rPr>
                <w:rFonts w:ascii="Book Antiqua" w:hAnsi="Book Antiqua" w:cs="Arial"/>
                <w:i/>
                <w:sz w:val="24"/>
                <w:szCs w:val="24"/>
              </w:rPr>
              <w:t xml:space="preserve">, 976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03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 xml:space="preserve">rozpočtovej </w:t>
      </w:r>
      <w:r w:rsidR="00787EF2">
        <w:rPr>
          <w:rFonts w:ascii="Book Antiqua" w:hAnsi="Book Antiqua" w:cs="Arial"/>
          <w:b/>
          <w:i/>
          <w:sz w:val="24"/>
          <w:szCs w:val="24"/>
        </w:rPr>
        <w:t xml:space="preserve">a príspevkovej </w:t>
      </w:r>
      <w:r w:rsidR="009D33C9">
        <w:rPr>
          <w:rFonts w:ascii="Book Antiqua" w:hAnsi="Book Antiqua" w:cs="Arial"/>
          <w:b/>
          <w:i/>
          <w:sz w:val="24"/>
          <w:szCs w:val="24"/>
        </w:rPr>
        <w:t>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  <w:r w:rsidR="009D4960">
        <w:rPr>
          <w:rFonts w:ascii="Book Antiqua" w:hAnsi="Book Antiqua" w:cs="Arial"/>
          <w:b/>
          <w:i/>
          <w:sz w:val="24"/>
          <w:szCs w:val="24"/>
        </w:rPr>
        <w:t>.</w:t>
      </w:r>
    </w:p>
    <w:p w:rsidR="00C836D2" w:rsidRPr="00CB7E09" w:rsidRDefault="00C836D2" w:rsidP="00423928">
      <w:pPr>
        <w:spacing w:line="360" w:lineRule="auto"/>
        <w:rPr>
          <w:rFonts w:ascii="Book Antiqua" w:hAnsi="Book Antiqua" w:cs="Arial"/>
          <w:sz w:val="16"/>
          <w:szCs w:val="16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787EF2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</w:p>
        </w:tc>
      </w:tr>
      <w:tr w:rsidR="00787EF2" w:rsidRPr="00402A07" w:rsidTr="0096070D">
        <w:tc>
          <w:tcPr>
            <w:tcW w:w="4781" w:type="dxa"/>
            <w:vAlign w:val="center"/>
          </w:tcPr>
          <w:p w:rsidR="00787EF2" w:rsidRPr="00402A07" w:rsidRDefault="00787EF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787EF2" w:rsidRPr="00402A07" w:rsidRDefault="00787EF2" w:rsidP="00787EF2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Harmanec 10, 976 03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B03240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01.01.20</w:t>
            </w:r>
            <w:r w:rsidR="007649B5">
              <w:rPr>
                <w:rFonts w:ascii="Book Antiqua" w:hAnsi="Book Antiqua" w:cs="Arial"/>
                <w:i/>
                <w:sz w:val="24"/>
                <w:szCs w:val="24"/>
              </w:rPr>
              <w:t>0</w:t>
            </w:r>
            <w:r w:rsidR="00787EF2">
              <w:rPr>
                <w:rFonts w:ascii="Book Antiqua" w:hAnsi="Book Antiqua" w:cs="Arial"/>
                <w:i/>
                <w:sz w:val="24"/>
                <w:szCs w:val="24"/>
              </w:rPr>
              <w:t>5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7649B5" w:rsidRPr="00402A07" w:rsidTr="00754FEC">
        <w:tc>
          <w:tcPr>
            <w:tcW w:w="4781" w:type="dxa"/>
            <w:vAlign w:val="center"/>
          </w:tcPr>
          <w:p w:rsidR="007649B5" w:rsidRPr="00402A07" w:rsidRDefault="007649B5" w:rsidP="00754FEC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7649B5" w:rsidRPr="00402A07" w:rsidRDefault="00787EF2" w:rsidP="00787EF2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Bytový podnik Harmanec</w:t>
            </w:r>
          </w:p>
        </w:tc>
      </w:tr>
      <w:tr w:rsidR="00787EF2" w:rsidRPr="00402A07" w:rsidTr="00754FEC">
        <w:tc>
          <w:tcPr>
            <w:tcW w:w="4781" w:type="dxa"/>
            <w:vAlign w:val="center"/>
          </w:tcPr>
          <w:p w:rsidR="00787EF2" w:rsidRPr="00402A07" w:rsidRDefault="00787EF2" w:rsidP="00754FEC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787EF2" w:rsidRPr="00402A07" w:rsidRDefault="00787EF2" w:rsidP="00C42F6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Harmanec 6, 976 03</w:t>
            </w:r>
          </w:p>
        </w:tc>
      </w:tr>
      <w:tr w:rsidR="007649B5" w:rsidRPr="00402A07" w:rsidTr="00754FEC">
        <w:tc>
          <w:tcPr>
            <w:tcW w:w="4781" w:type="dxa"/>
            <w:vAlign w:val="center"/>
          </w:tcPr>
          <w:p w:rsidR="007649B5" w:rsidRPr="00402A07" w:rsidRDefault="007649B5" w:rsidP="00754FEC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:rsidR="007649B5" w:rsidRPr="00402A07" w:rsidRDefault="00787EF2" w:rsidP="00754FEC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01.01.1993</w:t>
            </w:r>
          </w:p>
        </w:tc>
      </w:tr>
    </w:tbl>
    <w:p w:rsidR="007649B5" w:rsidRDefault="007649B5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3347AA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CB7E09" w:rsidRPr="00CB7E09" w:rsidRDefault="00CB7E09" w:rsidP="00423928">
      <w:pPr>
        <w:spacing w:line="360" w:lineRule="auto"/>
        <w:rPr>
          <w:rFonts w:ascii="Book Antiqua" w:hAnsi="Book Antiqua" w:cs="Arial"/>
          <w:b/>
          <w:i/>
          <w:sz w:val="16"/>
          <w:szCs w:val="16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524E49" w:rsidRDefault="004C59D4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13</w:t>
            </w:r>
            <w:r w:rsidR="00765E8B">
              <w:rPr>
                <w:rFonts w:ascii="Book Antiqua" w:hAnsi="Book Antiqua" w:cs="Arial"/>
                <w:i/>
                <w:sz w:val="24"/>
                <w:szCs w:val="24"/>
              </w:rPr>
              <w:t xml:space="preserve"> Obec + 3 ZŠ + 4 BP = 20</w:t>
            </w:r>
          </w:p>
          <w:p w:rsidR="009237D3" w:rsidRDefault="009237D3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 zamestnáva aj zamestnancov Materskej školy</w:t>
            </w:r>
          </w:p>
          <w:p w:rsidR="009237D3" w:rsidRPr="00F33E67" w:rsidRDefault="00AF1D99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9237D3">
              <w:rPr>
                <w:rFonts w:ascii="Book Antiqua" w:hAnsi="Book Antiqua" w:cs="Arial"/>
                <w:i/>
                <w:sz w:val="24"/>
                <w:szCs w:val="24"/>
              </w:rPr>
              <w:t xml:space="preserve"> Školskej jedálne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a Ubytovne</w:t>
            </w:r>
            <w:r w:rsidR="009237D3">
              <w:rPr>
                <w:rFonts w:ascii="Book Antiqua" w:hAnsi="Book Antiqua" w:cs="Arial"/>
                <w:i/>
                <w:sz w:val="24"/>
                <w:szCs w:val="24"/>
              </w:rPr>
              <w:t>.</w:t>
            </w: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B837AA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2 Obec + 1 ZŠ = 3</w:t>
            </w:r>
          </w:p>
        </w:tc>
      </w:tr>
    </w:tbl>
    <w:p w:rsidR="0060060A" w:rsidRPr="00402A07" w:rsidRDefault="0060060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 zostavení individuálnej účtovnej závierky konsolidovanej účtovnej jednotky – obchodnej spoločnosti, ak je iný ako 31.12.</w:t>
      </w:r>
      <w:r w:rsidR="00DD63DA">
        <w:rPr>
          <w:rFonts w:ascii="Book Antiqua" w:hAnsi="Book Antiqua" w:cs="Arial"/>
          <w:b/>
          <w:i/>
          <w:sz w:val="24"/>
          <w:szCs w:val="24"/>
        </w:rPr>
        <w:t>202</w:t>
      </w:r>
      <w:r w:rsidR="00006988">
        <w:rPr>
          <w:rFonts w:ascii="Book Antiqua" w:hAnsi="Book Antiqua" w:cs="Arial"/>
          <w:b/>
          <w:i/>
          <w:sz w:val="24"/>
          <w:szCs w:val="24"/>
        </w:rPr>
        <w:t>2</w:t>
      </w: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8266DA">
            <w:pPr>
              <w:spacing w:line="276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8266DA">
            <w:pPr>
              <w:spacing w:line="276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8266DA">
            <w:pPr>
              <w:spacing w:line="276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8266DA">
            <w:pPr>
              <w:spacing w:line="276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8266DA">
      <w:pPr>
        <w:spacing w:before="120" w:line="276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8266DA">
            <w:pPr>
              <w:spacing w:line="276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8266DA">
            <w:pPr>
              <w:spacing w:line="276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8266DA">
            <w:pPr>
              <w:spacing w:line="276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7B4BA9" w:rsidP="008266DA">
            <w:pPr>
              <w:spacing w:line="276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E9707C" w:rsidRPr="00402A07" w:rsidRDefault="00E9707C" w:rsidP="00F33E67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8266DA">
            <w:pPr>
              <w:spacing w:line="276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8266DA">
            <w:pPr>
              <w:spacing w:line="276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8266DA">
            <w:pPr>
              <w:spacing w:line="276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8266DA">
            <w:pPr>
              <w:spacing w:line="276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B80D47" w:rsidRDefault="00B80D47" w:rsidP="00347A64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7EF2">
        <w:rPr>
          <w:rFonts w:ascii="Book Antiqua" w:hAnsi="Book Antiqua" w:cs="Arial"/>
          <w:b/>
          <w:i/>
          <w:sz w:val="24"/>
          <w:szCs w:val="24"/>
        </w:rPr>
        <w:t>Harmanec</w:t>
      </w:r>
    </w:p>
    <w:p w:rsidR="0096070D" w:rsidRPr="00402A07" w:rsidRDefault="0096070D" w:rsidP="008266DA">
      <w:pPr>
        <w:spacing w:line="276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lastRenderedPageBreak/>
        <w:t>Dlhodobý majetok nadobudnutý prevodom správy sa oceňuje cenou, v ktorej sa doteraz viedol v účtovníctve.</w:t>
      </w:r>
    </w:p>
    <w:p w:rsidR="00595034" w:rsidRPr="00402A07" w:rsidRDefault="00595034" w:rsidP="00A5482C">
      <w:pPr>
        <w:numPr>
          <w:ilvl w:val="0"/>
          <w:numId w:val="1"/>
        </w:numPr>
        <w:spacing w:line="276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</w:t>
      </w:r>
      <w:proofErr w:type="spellStart"/>
      <w:r w:rsidR="00724046" w:rsidRPr="00402A07">
        <w:rPr>
          <w:rFonts w:ascii="Book Antiqua" w:hAnsi="Book Antiqua" w:cs="Arial"/>
          <w:sz w:val="24"/>
          <w:szCs w:val="24"/>
        </w:rPr>
        <w:t>t.j</w:t>
      </w:r>
      <w:proofErr w:type="spellEnd"/>
      <w:r w:rsidR="00724046" w:rsidRPr="00402A07">
        <w:rPr>
          <w:rFonts w:ascii="Book Antiqua" w:hAnsi="Book Antiqua" w:cs="Arial"/>
          <w:sz w:val="24"/>
          <w:szCs w:val="24"/>
        </w:rPr>
        <w:t xml:space="preserve">. priamymi nákladmi vynaloženými na tvorbu zásob ako aj časťou nepriamych nákladov, ktoré sa k tvorbe zásob vzťahujú. </w:t>
      </w:r>
    </w:p>
    <w:p w:rsidR="00D11935" w:rsidRPr="00402A07" w:rsidRDefault="00D11935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A5482C">
      <w:pPr>
        <w:numPr>
          <w:ilvl w:val="0"/>
          <w:numId w:val="1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Default="00347A64" w:rsidP="008266DA">
      <w:pPr>
        <w:spacing w:line="276" w:lineRule="auto"/>
        <w:rPr>
          <w:rFonts w:ascii="Book Antiqua" w:hAnsi="Book Antiqua" w:cs="Tahoma"/>
          <w:b/>
          <w:bCs/>
          <w:sz w:val="24"/>
          <w:szCs w:val="24"/>
        </w:rPr>
      </w:pPr>
    </w:p>
    <w:p w:rsidR="00DA7B5E" w:rsidRPr="00402A07" w:rsidRDefault="00DA7B5E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7EF2">
        <w:rPr>
          <w:rFonts w:ascii="Book Antiqua" w:hAnsi="Book Antiqua" w:cs="Arial"/>
          <w:b/>
          <w:i/>
          <w:sz w:val="24"/>
          <w:szCs w:val="24"/>
        </w:rPr>
        <w:t>Harmanec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649B5">
        <w:rPr>
          <w:rFonts w:ascii="Book Antiqua" w:hAnsi="Book Antiqua" w:cs="Arial"/>
          <w:b/>
          <w:sz w:val="24"/>
          <w:szCs w:val="24"/>
        </w:rPr>
        <w:t xml:space="preserve"> a 1 </w:t>
      </w:r>
      <w:r w:rsidR="00787EF2">
        <w:rPr>
          <w:rFonts w:ascii="Book Antiqua" w:hAnsi="Book Antiqua" w:cs="Arial"/>
          <w:b/>
          <w:sz w:val="24"/>
          <w:szCs w:val="24"/>
        </w:rPr>
        <w:t>príspevkovú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649B5">
        <w:rPr>
          <w:rFonts w:ascii="Book Antiqua" w:hAnsi="Book Antiqua" w:cs="Arial"/>
          <w:b/>
          <w:sz w:val="24"/>
          <w:szCs w:val="24"/>
        </w:rPr>
        <w:t>ich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787EF2">
        <w:rPr>
          <w:rFonts w:ascii="Book Antiqua" w:hAnsi="Book Antiqua" w:cs="Arial"/>
          <w:i/>
          <w:sz w:val="24"/>
          <w:szCs w:val="24"/>
        </w:rPr>
        <w:t>Harmanec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Default="00DE59D4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</w:p>
    <w:p w:rsidR="008266DA" w:rsidRPr="00402A07" w:rsidRDefault="008266DA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1537"/>
        <w:gridCol w:w="1559"/>
        <w:gridCol w:w="1620"/>
      </w:tblGrid>
      <w:tr w:rsidR="00C82159" w:rsidRPr="00402A07" w:rsidTr="009314B1">
        <w:tc>
          <w:tcPr>
            <w:tcW w:w="5100" w:type="dxa"/>
          </w:tcPr>
          <w:p w:rsidR="00C82159" w:rsidRPr="00402A07" w:rsidRDefault="00C82159" w:rsidP="008266DA">
            <w:pPr>
              <w:spacing w:line="276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8266DA">
            <w:pPr>
              <w:spacing w:line="276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402A07" w:rsidRDefault="00C82159" w:rsidP="008266DA">
            <w:pPr>
              <w:spacing w:line="276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8266DA">
            <w:pPr>
              <w:spacing w:line="276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402A07" w:rsidRDefault="00C82159" w:rsidP="008266DA">
            <w:pPr>
              <w:spacing w:line="276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8266DA">
            <w:pPr>
              <w:spacing w:line="276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402A07" w:rsidRDefault="00C82159" w:rsidP="008266DA">
            <w:pPr>
              <w:spacing w:line="276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8266DA">
            <w:pPr>
              <w:spacing w:line="276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787EF2" w:rsidP="008266DA">
            <w:pPr>
              <w:spacing w:line="276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:rsidR="00C82159" w:rsidRPr="00402A07" w:rsidRDefault="009314B1" w:rsidP="008266DA">
            <w:pPr>
              <w:spacing w:line="276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402A07" w:rsidRDefault="00C82159" w:rsidP="008266DA">
            <w:pPr>
              <w:spacing w:line="276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8266DA">
            <w:pPr>
              <w:spacing w:line="276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787EF2" w:rsidP="008266DA">
            <w:pPr>
              <w:spacing w:line="276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Bytový podnik Harmanec</w:t>
            </w:r>
          </w:p>
        </w:tc>
        <w:tc>
          <w:tcPr>
            <w:tcW w:w="1537" w:type="dxa"/>
          </w:tcPr>
          <w:p w:rsidR="00C82159" w:rsidRPr="00402A07" w:rsidRDefault="007649B5" w:rsidP="008266DA">
            <w:pPr>
              <w:spacing w:line="276" w:lineRule="auto"/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402A07" w:rsidRDefault="00C82159" w:rsidP="008266DA">
            <w:pPr>
              <w:spacing w:line="276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8266DA">
            <w:pPr>
              <w:spacing w:line="276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C82159" w:rsidRDefault="00C82159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5482C">
      <w:pPr>
        <w:numPr>
          <w:ilvl w:val="0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276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5482C">
      <w:pPr>
        <w:numPr>
          <w:ilvl w:val="0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276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5482C">
      <w:pPr>
        <w:numPr>
          <w:ilvl w:val="0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276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proofErr w:type="spellStart"/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  <w:proofErr w:type="spellEnd"/>
    </w:p>
    <w:p w:rsidR="000B082D" w:rsidRPr="00402A07" w:rsidRDefault="000B082D" w:rsidP="00A5482C">
      <w:pPr>
        <w:numPr>
          <w:ilvl w:val="0"/>
          <w:numId w:val="3"/>
        </w:numPr>
        <w:tabs>
          <w:tab w:val="clear" w:pos="1440"/>
          <w:tab w:val="num" w:pos="567"/>
        </w:tabs>
        <w:spacing w:line="276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rozpočtová organizácia.</w:t>
      </w:r>
    </w:p>
    <w:p w:rsidR="000B082D" w:rsidRPr="00402A07" w:rsidRDefault="000B082D" w:rsidP="00A5482C">
      <w:pPr>
        <w:numPr>
          <w:ilvl w:val="0"/>
          <w:numId w:val="3"/>
        </w:numPr>
        <w:tabs>
          <w:tab w:val="clear" w:pos="1440"/>
          <w:tab w:val="num" w:pos="567"/>
        </w:tabs>
        <w:spacing w:line="276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príspevková  organizácia.</w:t>
      </w:r>
    </w:p>
    <w:p w:rsidR="000B082D" w:rsidRPr="00402A07" w:rsidRDefault="000B082D" w:rsidP="00A5482C">
      <w:pPr>
        <w:numPr>
          <w:ilvl w:val="0"/>
          <w:numId w:val="3"/>
        </w:numPr>
        <w:tabs>
          <w:tab w:val="clear" w:pos="1440"/>
          <w:tab w:val="num" w:pos="567"/>
        </w:tabs>
        <w:spacing w:line="276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založení konsolidovanej účtovnej  jednotky, ktorou je obchodná spoločnosť. </w:t>
      </w:r>
    </w:p>
    <w:p w:rsidR="000B082D" w:rsidRPr="00402A07" w:rsidRDefault="000B082D" w:rsidP="00A5482C">
      <w:pPr>
        <w:numPr>
          <w:ilvl w:val="0"/>
          <w:numId w:val="3"/>
        </w:numPr>
        <w:tabs>
          <w:tab w:val="clear" w:pos="1440"/>
          <w:tab w:val="num" w:pos="567"/>
        </w:tabs>
        <w:spacing w:line="276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vzniká pri kúpe už existujúcej konsolidovanej účtovnej  jednotky, ktorou je obchodná spoločnosť.</w:t>
      </w:r>
    </w:p>
    <w:p w:rsidR="000B082D" w:rsidRPr="00402A07" w:rsidRDefault="000B082D" w:rsidP="00A5482C">
      <w:pPr>
        <w:numPr>
          <w:ilvl w:val="0"/>
          <w:numId w:val="3"/>
        </w:numPr>
        <w:tabs>
          <w:tab w:val="clear" w:pos="1440"/>
          <w:tab w:val="num" w:pos="567"/>
        </w:tabs>
        <w:spacing w:line="276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sa odpisuje do 5 rokov.</w:t>
      </w:r>
    </w:p>
    <w:p w:rsidR="00402A07" w:rsidRPr="00402A07" w:rsidRDefault="00402A07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A4312C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</w:t>
      </w:r>
      <w:r w:rsidR="00DA7B5E">
        <w:rPr>
          <w:rFonts w:ascii="Book Antiqua" w:hAnsi="Book Antiqua" w:cs="Arial"/>
          <w:b/>
          <w:sz w:val="24"/>
          <w:szCs w:val="24"/>
        </w:rPr>
        <w:t> </w:t>
      </w:r>
      <w:r w:rsidR="00AA4068" w:rsidRPr="00402A07">
        <w:rPr>
          <w:rFonts w:ascii="Book Antiqua" w:hAnsi="Book Antiqua" w:cs="Arial"/>
          <w:b/>
          <w:sz w:val="24"/>
          <w:szCs w:val="24"/>
        </w:rPr>
        <w:t>pasív</w:t>
      </w:r>
    </w:p>
    <w:p w:rsidR="00DA7B5E" w:rsidRDefault="00DA7B5E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DA7B5E" w:rsidRDefault="00D3330F" w:rsidP="00DA7B5E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Popis údajov vy</w:t>
      </w:r>
      <w:r w:rsidR="00DA7B5E">
        <w:rPr>
          <w:rFonts w:ascii="Book Antiqua" w:hAnsi="Book Antiqua" w:cs="Arial"/>
          <w:b/>
          <w:sz w:val="24"/>
          <w:szCs w:val="24"/>
        </w:rPr>
        <w:t>plnených v prehľade pohybov dl</w:t>
      </w:r>
      <w:r>
        <w:rPr>
          <w:rFonts w:ascii="Book Antiqua" w:hAnsi="Book Antiqua" w:cs="Arial"/>
          <w:b/>
          <w:sz w:val="24"/>
          <w:szCs w:val="24"/>
        </w:rPr>
        <w:t>hod</w:t>
      </w:r>
      <w:r w:rsidR="00DA7B5E">
        <w:rPr>
          <w:rFonts w:ascii="Book Antiqua" w:hAnsi="Book Antiqua" w:cs="Arial"/>
          <w:b/>
          <w:sz w:val="24"/>
          <w:szCs w:val="24"/>
        </w:rPr>
        <w:t xml:space="preserve">obého nehmotného </w:t>
      </w:r>
      <w:r>
        <w:rPr>
          <w:rFonts w:ascii="Book Antiqua" w:hAnsi="Book Antiqua" w:cs="Arial"/>
          <w:b/>
          <w:sz w:val="24"/>
          <w:szCs w:val="24"/>
        </w:rPr>
        <w:t>a dlhodobého hmotného majetku</w:t>
      </w:r>
    </w:p>
    <w:p w:rsidR="00D3330F" w:rsidRPr="00011FD1" w:rsidRDefault="00D3330F" w:rsidP="00A5482C">
      <w:pPr>
        <w:pStyle w:val="Odsekzoznamu"/>
        <w:numPr>
          <w:ilvl w:val="0"/>
          <w:numId w:val="4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>Bezprostredne predchádzajúce účtov</w:t>
      </w:r>
      <w:r w:rsidR="00DD63DA">
        <w:rPr>
          <w:rFonts w:ascii="Book Antiqua" w:hAnsi="Book Antiqua" w:cs="Arial"/>
          <w:sz w:val="24"/>
          <w:szCs w:val="24"/>
        </w:rPr>
        <w:t xml:space="preserve">né obdobie sa </w:t>
      </w:r>
      <w:r w:rsidR="00006988">
        <w:rPr>
          <w:rFonts w:ascii="Book Antiqua" w:hAnsi="Book Antiqua" w:cs="Arial"/>
          <w:sz w:val="24"/>
          <w:szCs w:val="24"/>
        </w:rPr>
        <w:t>chápe k 31.12.2021</w:t>
      </w:r>
    </w:p>
    <w:p w:rsidR="00D3330F" w:rsidRPr="00011FD1" w:rsidRDefault="00D3330F" w:rsidP="00A5482C">
      <w:pPr>
        <w:pStyle w:val="Odsekzoznamu"/>
        <w:numPr>
          <w:ilvl w:val="0"/>
          <w:numId w:val="4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 xml:space="preserve">Bežné účtovné </w:t>
      </w:r>
      <w:r w:rsidR="00006988">
        <w:rPr>
          <w:rFonts w:ascii="Book Antiqua" w:hAnsi="Book Antiqua" w:cs="Arial"/>
          <w:sz w:val="24"/>
          <w:szCs w:val="24"/>
        </w:rPr>
        <w:t>obdobie sa vykazuje k 31.12.2022</w:t>
      </w:r>
    </w:p>
    <w:p w:rsidR="00D3330F" w:rsidRPr="00011FD1" w:rsidRDefault="00D3330F" w:rsidP="00A5482C">
      <w:pPr>
        <w:pStyle w:val="Odsekzoznamu"/>
        <w:numPr>
          <w:ilvl w:val="0"/>
          <w:numId w:val="4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D3330F" w:rsidRDefault="00D3330F" w:rsidP="00A5482C">
      <w:pPr>
        <w:pStyle w:val="Odsekzoznamu"/>
        <w:numPr>
          <w:ilvl w:val="0"/>
          <w:numId w:val="4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>Úbytok je vykázanie zníženia aktív (napr. predaj, darovanie)</w:t>
      </w:r>
    </w:p>
    <w:p w:rsidR="00011FD1" w:rsidRPr="00011FD1" w:rsidRDefault="00011FD1" w:rsidP="00A5482C">
      <w:pPr>
        <w:pStyle w:val="Odsekzoznamu"/>
        <w:numPr>
          <w:ilvl w:val="0"/>
          <w:numId w:val="4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>Presun je vykázanie zmeny hodnoty niektorej položky bez zmeny celkovej hodnoty aktív.</w:t>
      </w:r>
    </w:p>
    <w:p w:rsidR="00D3330F" w:rsidRDefault="00D3330F" w:rsidP="00D3330F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</w:p>
    <w:p w:rsidR="00D3330F" w:rsidRDefault="00D3330F" w:rsidP="00D3330F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Popis významných informácií o aktívach a pasívach (príloha tabuľky)</w:t>
      </w:r>
    </w:p>
    <w:p w:rsidR="008F6C76" w:rsidRDefault="008F6C76" w:rsidP="008266DA">
      <w:pPr>
        <w:spacing w:line="276" w:lineRule="auto"/>
        <w:jc w:val="both"/>
        <w:rPr>
          <w:rFonts w:ascii="Book Antiqua" w:hAnsi="Book Antiqua" w:cs="Arial"/>
          <w:b/>
          <w:sz w:val="24"/>
          <w:szCs w:val="24"/>
        </w:rPr>
      </w:pPr>
    </w:p>
    <w:p w:rsidR="00D3330F" w:rsidRPr="00011FD1" w:rsidRDefault="00D3330F" w:rsidP="00A5482C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 xml:space="preserve">Konsolidovaný celok obce Harmanec zahŕňa jednu rozpočtovú a jednu príspevkovú organizáciu, ich identifikačné údaje sa nachádzajú v priloženom prehľade. </w:t>
      </w:r>
    </w:p>
    <w:p w:rsidR="00A703CF" w:rsidRPr="00011FD1" w:rsidRDefault="00D3330F" w:rsidP="00A5482C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 xml:space="preserve">Rezervy sa v konsolidovanom celku tvorili v rámci </w:t>
      </w:r>
      <w:r w:rsidR="00A703CF" w:rsidRPr="00011FD1">
        <w:rPr>
          <w:rFonts w:ascii="Book Antiqua" w:hAnsi="Book Antiqua" w:cs="Arial"/>
          <w:sz w:val="24"/>
          <w:szCs w:val="24"/>
        </w:rPr>
        <w:t>hlavnej činnosti, konkrétne hod</w:t>
      </w:r>
      <w:r w:rsidRPr="00011FD1">
        <w:rPr>
          <w:rFonts w:ascii="Book Antiqua" w:hAnsi="Book Antiqua" w:cs="Arial"/>
          <w:sz w:val="24"/>
          <w:szCs w:val="24"/>
        </w:rPr>
        <w:t>n</w:t>
      </w:r>
      <w:r w:rsidR="00A703CF" w:rsidRPr="00011FD1">
        <w:rPr>
          <w:rFonts w:ascii="Book Antiqua" w:hAnsi="Book Antiqua" w:cs="Arial"/>
          <w:sz w:val="24"/>
          <w:szCs w:val="24"/>
        </w:rPr>
        <w:t>o</w:t>
      </w:r>
      <w:r w:rsidRPr="00011FD1">
        <w:rPr>
          <w:rFonts w:ascii="Book Antiqua" w:hAnsi="Book Antiqua" w:cs="Arial"/>
          <w:sz w:val="24"/>
          <w:szCs w:val="24"/>
        </w:rPr>
        <w:t>ty sa nachádzajú  v priloženom prehľade o pohybe rezer</w:t>
      </w:r>
      <w:r w:rsidR="00A703CF" w:rsidRPr="00011FD1">
        <w:rPr>
          <w:rFonts w:ascii="Book Antiqua" w:hAnsi="Book Antiqua" w:cs="Arial"/>
          <w:sz w:val="24"/>
          <w:szCs w:val="24"/>
        </w:rPr>
        <w:t xml:space="preserve">v; najvýznamnejšia </w:t>
      </w:r>
      <w:r w:rsidR="00A703CF" w:rsidRPr="00011FD1">
        <w:rPr>
          <w:rFonts w:ascii="Book Antiqua" w:hAnsi="Book Antiqua" w:cs="Arial"/>
          <w:sz w:val="24"/>
          <w:szCs w:val="24"/>
        </w:rPr>
        <w:lastRenderedPageBreak/>
        <w:t xml:space="preserve">tvorba, </w:t>
      </w:r>
      <w:r w:rsidR="008F6C76">
        <w:rPr>
          <w:rFonts w:ascii="Book Antiqua" w:hAnsi="Book Antiqua" w:cs="Arial"/>
          <w:sz w:val="24"/>
          <w:szCs w:val="24"/>
        </w:rPr>
        <w:t>použitie</w:t>
      </w:r>
      <w:r w:rsidR="00A703CF" w:rsidRPr="00011FD1">
        <w:rPr>
          <w:rFonts w:ascii="Book Antiqua" w:hAnsi="Book Antiqua" w:cs="Arial"/>
          <w:sz w:val="24"/>
          <w:szCs w:val="24"/>
        </w:rPr>
        <w:t xml:space="preserve"> rezerv sa vykázala na overenie účtovnej závierky</w:t>
      </w:r>
      <w:r w:rsidR="008F6C76">
        <w:rPr>
          <w:rFonts w:ascii="Book Antiqua" w:hAnsi="Book Antiqua" w:cs="Arial"/>
          <w:sz w:val="24"/>
          <w:szCs w:val="24"/>
        </w:rPr>
        <w:t xml:space="preserve"> a </w:t>
      </w:r>
      <w:r w:rsidR="00D55427">
        <w:rPr>
          <w:rFonts w:ascii="Book Antiqua" w:hAnsi="Book Antiqua" w:cs="Arial"/>
          <w:sz w:val="24"/>
          <w:szCs w:val="24"/>
        </w:rPr>
        <w:t>nevyfakturované</w:t>
      </w:r>
      <w:r w:rsidR="008F6C76">
        <w:rPr>
          <w:rFonts w:ascii="Book Antiqua" w:hAnsi="Book Antiqua" w:cs="Arial"/>
          <w:sz w:val="24"/>
          <w:szCs w:val="24"/>
        </w:rPr>
        <w:t xml:space="preserve"> energie</w:t>
      </w:r>
      <w:r w:rsidR="00A703CF" w:rsidRPr="00011FD1">
        <w:rPr>
          <w:rFonts w:ascii="Book Antiqua" w:hAnsi="Book Antiqua" w:cs="Arial"/>
          <w:sz w:val="24"/>
          <w:szCs w:val="24"/>
        </w:rPr>
        <w:t xml:space="preserve">. </w:t>
      </w:r>
    </w:p>
    <w:p w:rsidR="00D3330F" w:rsidRPr="00011FD1" w:rsidRDefault="00A703CF" w:rsidP="00A5482C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 xml:space="preserve">Prehľad o pohybe dlhodobého majetku sa nachádza v priloženom tabuľkovom formulári a vysvetľuje položky súvahy – aktív. Najvýznamnejší prírastok dlhodobého majetku bol vykázaný v konsolidovanej účtovnej jednotke obec Harmanec. Významný úbytok dlhodobého majetku nebol vykázaný v žiadnej konsolidovanej účtovnej jednotke.  </w:t>
      </w:r>
    </w:p>
    <w:p w:rsidR="00A703CF" w:rsidRDefault="00A703CF" w:rsidP="00A5482C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 xml:space="preserve">V rámci dlhodobého finančného majetku vykazuje konsolidovaný celok obec Harmanec cenné papiere Stredoslovenskej vodárenskej spoločnosti a. s. v hodnote 176 970,00 EUR. </w:t>
      </w:r>
    </w:p>
    <w:p w:rsidR="00E74804" w:rsidRPr="00011FD1" w:rsidRDefault="00A703CF" w:rsidP="00A5482C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>Konsolidovaný celok nevytvoril opravné položky k</w:t>
      </w:r>
      <w:r w:rsidR="00EA446F">
        <w:rPr>
          <w:rFonts w:ascii="Book Antiqua" w:hAnsi="Book Antiqua" w:cs="Arial"/>
          <w:sz w:val="24"/>
          <w:szCs w:val="24"/>
        </w:rPr>
        <w:t> </w:t>
      </w:r>
      <w:r w:rsidRPr="00011FD1">
        <w:rPr>
          <w:rFonts w:ascii="Book Antiqua" w:hAnsi="Book Antiqua" w:cs="Arial"/>
          <w:sz w:val="24"/>
          <w:szCs w:val="24"/>
        </w:rPr>
        <w:t>zásobám</w:t>
      </w:r>
      <w:r w:rsidR="00EA446F">
        <w:rPr>
          <w:rFonts w:ascii="Book Antiqua" w:hAnsi="Book Antiqua" w:cs="Arial"/>
          <w:sz w:val="24"/>
          <w:szCs w:val="24"/>
        </w:rPr>
        <w:t>, ani k pohľadávkam</w:t>
      </w:r>
      <w:r w:rsidR="00E74804" w:rsidRPr="00011FD1">
        <w:rPr>
          <w:rFonts w:ascii="Book Antiqua" w:hAnsi="Book Antiqua" w:cs="Arial"/>
          <w:sz w:val="24"/>
          <w:szCs w:val="24"/>
        </w:rPr>
        <w:t>.</w:t>
      </w:r>
    </w:p>
    <w:p w:rsidR="00A703CF" w:rsidRDefault="00A703CF" w:rsidP="00A5482C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>Konsolidovaný celok vykazuje dlhodobé pohľadávky</w:t>
      </w:r>
      <w:r w:rsidR="00EA446F">
        <w:rPr>
          <w:rFonts w:ascii="Book Antiqua" w:hAnsi="Book Antiqua" w:cs="Arial"/>
          <w:sz w:val="24"/>
          <w:szCs w:val="24"/>
        </w:rPr>
        <w:t xml:space="preserve"> vo výške </w:t>
      </w:r>
      <w:r w:rsidR="00C671B7">
        <w:rPr>
          <w:rFonts w:ascii="Book Antiqua" w:hAnsi="Book Antiqua" w:cs="Arial"/>
          <w:sz w:val="24"/>
          <w:szCs w:val="24"/>
        </w:rPr>
        <w:t>1</w:t>
      </w:r>
      <w:r w:rsidR="00006988">
        <w:rPr>
          <w:rFonts w:ascii="Book Antiqua" w:hAnsi="Book Antiqua" w:cs="Arial"/>
          <w:sz w:val="24"/>
          <w:szCs w:val="24"/>
        </w:rPr>
        <w:t>22</w:t>
      </w:r>
      <w:r w:rsidR="00C671B7">
        <w:rPr>
          <w:rFonts w:ascii="Book Antiqua" w:hAnsi="Book Antiqua" w:cs="Arial"/>
          <w:sz w:val="24"/>
          <w:szCs w:val="24"/>
        </w:rPr>
        <w:t> </w:t>
      </w:r>
      <w:r w:rsidR="00006988">
        <w:rPr>
          <w:rFonts w:ascii="Book Antiqua" w:hAnsi="Book Antiqua" w:cs="Arial"/>
          <w:sz w:val="24"/>
          <w:szCs w:val="24"/>
        </w:rPr>
        <w:t>806</w:t>
      </w:r>
      <w:r w:rsidR="00C671B7">
        <w:rPr>
          <w:rFonts w:ascii="Book Antiqua" w:hAnsi="Book Antiqua" w:cs="Arial"/>
          <w:sz w:val="24"/>
          <w:szCs w:val="24"/>
        </w:rPr>
        <w:t>,</w:t>
      </w:r>
      <w:r w:rsidR="00006988">
        <w:rPr>
          <w:rFonts w:ascii="Book Antiqua" w:hAnsi="Book Antiqua" w:cs="Arial"/>
          <w:sz w:val="24"/>
          <w:szCs w:val="24"/>
        </w:rPr>
        <w:t>61</w:t>
      </w:r>
      <w:r w:rsidR="00C50AFF" w:rsidRPr="00757B47">
        <w:rPr>
          <w:rFonts w:ascii="Book Antiqua" w:hAnsi="Book Antiqua" w:cs="Arial"/>
          <w:color w:val="FF0000"/>
          <w:sz w:val="24"/>
          <w:szCs w:val="24"/>
        </w:rPr>
        <w:t xml:space="preserve"> </w:t>
      </w:r>
      <w:r w:rsidR="00C50AFF">
        <w:rPr>
          <w:rFonts w:ascii="Book Antiqua" w:hAnsi="Book Antiqua" w:cs="Arial"/>
          <w:sz w:val="24"/>
          <w:szCs w:val="24"/>
        </w:rPr>
        <w:t>EUR, ktoré sa týkajú týchto druhov ekonomických transakcií: platby od obyvateľov za nájom bytov, odberat</w:t>
      </w:r>
      <w:r w:rsidR="00357F71">
        <w:rPr>
          <w:rFonts w:ascii="Book Antiqua" w:hAnsi="Book Antiqua" w:cs="Arial"/>
          <w:sz w:val="24"/>
          <w:szCs w:val="24"/>
        </w:rPr>
        <w:t xml:space="preserve">eľské faktúry za služby. </w:t>
      </w:r>
      <w:r w:rsidR="00C50AFF">
        <w:rPr>
          <w:rFonts w:ascii="Book Antiqua" w:hAnsi="Book Antiqua" w:cs="Arial"/>
          <w:sz w:val="24"/>
          <w:szCs w:val="24"/>
        </w:rPr>
        <w:t xml:space="preserve"> </w:t>
      </w:r>
    </w:p>
    <w:p w:rsidR="00C50AFF" w:rsidRPr="00757B47" w:rsidRDefault="00C50AFF" w:rsidP="008266DA">
      <w:pPr>
        <w:pStyle w:val="Odsekzoznamu"/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Najväčší podiel na vykázaných dlhodobých pohľadávkach má Bytový podnik Harmanec  </w:t>
      </w:r>
    </w:p>
    <w:p w:rsidR="00813893" w:rsidRDefault="00A703CF" w:rsidP="00A5482C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 xml:space="preserve">Konsolidovaný celok vykazuje krátkodobé pohľadávky vo výške </w:t>
      </w:r>
      <w:r w:rsidR="00006988">
        <w:rPr>
          <w:rFonts w:ascii="Book Antiqua" w:hAnsi="Book Antiqua" w:cs="Arial"/>
          <w:sz w:val="24"/>
          <w:szCs w:val="24"/>
        </w:rPr>
        <w:t>9 413</w:t>
      </w:r>
      <w:r w:rsidR="00C671B7">
        <w:rPr>
          <w:rFonts w:ascii="Book Antiqua" w:hAnsi="Book Antiqua" w:cs="Arial"/>
          <w:sz w:val="24"/>
          <w:szCs w:val="24"/>
        </w:rPr>
        <w:t>,</w:t>
      </w:r>
      <w:r w:rsidR="00006988">
        <w:rPr>
          <w:rFonts w:ascii="Book Antiqua" w:hAnsi="Book Antiqua" w:cs="Arial"/>
          <w:sz w:val="24"/>
          <w:szCs w:val="24"/>
        </w:rPr>
        <w:t>38</w:t>
      </w:r>
      <w:r w:rsidR="008F6C76" w:rsidRPr="00757B47">
        <w:rPr>
          <w:rFonts w:ascii="Book Antiqua" w:hAnsi="Book Antiqua" w:cs="Arial"/>
          <w:sz w:val="24"/>
          <w:szCs w:val="24"/>
        </w:rPr>
        <w:t xml:space="preserve"> </w:t>
      </w:r>
      <w:r w:rsidR="008F6C76">
        <w:rPr>
          <w:rFonts w:ascii="Book Antiqua" w:hAnsi="Book Antiqua" w:cs="Arial"/>
          <w:sz w:val="24"/>
          <w:szCs w:val="24"/>
        </w:rPr>
        <w:t>EUR</w:t>
      </w:r>
      <w:r w:rsidRPr="00011FD1">
        <w:rPr>
          <w:rFonts w:ascii="Book Antiqua" w:hAnsi="Book Antiqua" w:cs="Arial"/>
          <w:sz w:val="24"/>
          <w:szCs w:val="24"/>
        </w:rPr>
        <w:t xml:space="preserve">, ktoré sa týkajú týchto druhov ekonomických transakcií: </w:t>
      </w:r>
    </w:p>
    <w:p w:rsidR="00813893" w:rsidRDefault="00813893" w:rsidP="008266DA">
      <w:pPr>
        <w:pStyle w:val="Odsekzoznamu"/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Obec Harmanec : </w:t>
      </w:r>
      <w:r w:rsidR="00A703CF" w:rsidRPr="00011FD1">
        <w:rPr>
          <w:rFonts w:ascii="Book Antiqua" w:hAnsi="Book Antiqua" w:cs="Arial"/>
          <w:sz w:val="24"/>
          <w:szCs w:val="24"/>
        </w:rPr>
        <w:t>daň z</w:t>
      </w:r>
      <w:r>
        <w:rPr>
          <w:rFonts w:ascii="Book Antiqua" w:hAnsi="Book Antiqua" w:cs="Arial"/>
          <w:sz w:val="24"/>
          <w:szCs w:val="24"/>
        </w:rPr>
        <w:t> </w:t>
      </w:r>
      <w:r w:rsidR="008F6C76">
        <w:rPr>
          <w:rFonts w:ascii="Book Antiqua" w:hAnsi="Book Antiqua" w:cs="Arial"/>
          <w:sz w:val="24"/>
          <w:szCs w:val="24"/>
        </w:rPr>
        <w:t>pozemkov</w:t>
      </w:r>
      <w:r>
        <w:rPr>
          <w:rFonts w:ascii="Book Antiqua" w:hAnsi="Book Antiqua" w:cs="Arial"/>
          <w:sz w:val="24"/>
          <w:szCs w:val="24"/>
        </w:rPr>
        <w:t>,</w:t>
      </w:r>
      <w:r w:rsidR="008F6C76">
        <w:rPr>
          <w:rFonts w:ascii="Book Antiqua" w:hAnsi="Book Antiqua" w:cs="Arial"/>
          <w:sz w:val="24"/>
          <w:szCs w:val="24"/>
        </w:rPr>
        <w:t xml:space="preserve"> </w:t>
      </w:r>
      <w:r w:rsidR="00A703CF" w:rsidRPr="00011FD1">
        <w:rPr>
          <w:rFonts w:ascii="Book Antiqua" w:hAnsi="Book Antiqua" w:cs="Arial"/>
          <w:sz w:val="24"/>
          <w:szCs w:val="24"/>
        </w:rPr>
        <w:t xml:space="preserve">stavieb </w:t>
      </w:r>
      <w:r>
        <w:rPr>
          <w:rFonts w:ascii="Book Antiqua" w:hAnsi="Book Antiqua" w:cs="Arial"/>
          <w:sz w:val="24"/>
          <w:szCs w:val="24"/>
        </w:rPr>
        <w:t xml:space="preserve">a bytov, </w:t>
      </w:r>
      <w:r w:rsidRPr="00011FD1">
        <w:rPr>
          <w:rFonts w:ascii="Book Antiqua" w:hAnsi="Book Antiqua" w:cs="Arial"/>
          <w:sz w:val="24"/>
          <w:szCs w:val="24"/>
        </w:rPr>
        <w:t>poplatky za odvoz komunálneho odpadu</w:t>
      </w:r>
      <w:r>
        <w:rPr>
          <w:rFonts w:ascii="Book Antiqua" w:hAnsi="Book Antiqua" w:cs="Arial"/>
          <w:sz w:val="24"/>
          <w:szCs w:val="24"/>
        </w:rPr>
        <w:t xml:space="preserve"> </w:t>
      </w:r>
      <w:r w:rsidR="008F6C76">
        <w:rPr>
          <w:rFonts w:ascii="Book Antiqua" w:hAnsi="Book Antiqua" w:cs="Arial"/>
          <w:sz w:val="24"/>
          <w:szCs w:val="24"/>
        </w:rPr>
        <w:t xml:space="preserve">– </w:t>
      </w:r>
      <w:r w:rsidR="00BF6796">
        <w:rPr>
          <w:rFonts w:ascii="Book Antiqua" w:hAnsi="Book Antiqua" w:cs="Arial"/>
          <w:sz w:val="24"/>
          <w:szCs w:val="24"/>
        </w:rPr>
        <w:t>fyzické osoby.</w:t>
      </w:r>
    </w:p>
    <w:p w:rsidR="00E74804" w:rsidRDefault="00813893" w:rsidP="008266DA">
      <w:pPr>
        <w:pStyle w:val="Odsekzoznamu"/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Bytový podnik Harmanec – pohľadávky z nájomného – fyzické osoby</w:t>
      </w:r>
      <w:r w:rsidR="00E74804" w:rsidRPr="00011FD1">
        <w:rPr>
          <w:rFonts w:ascii="Book Antiqua" w:hAnsi="Book Antiqua" w:cs="Arial"/>
          <w:sz w:val="24"/>
          <w:szCs w:val="24"/>
        </w:rPr>
        <w:t xml:space="preserve">. </w:t>
      </w:r>
    </w:p>
    <w:p w:rsidR="00357F71" w:rsidRDefault="00E74804" w:rsidP="00A5482C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11FD1">
        <w:rPr>
          <w:rFonts w:ascii="Book Antiqua" w:hAnsi="Book Antiqua" w:cs="Arial"/>
          <w:sz w:val="24"/>
          <w:szCs w:val="24"/>
        </w:rPr>
        <w:t>Konsolidova</w:t>
      </w:r>
      <w:r w:rsidR="00357F71">
        <w:rPr>
          <w:rFonts w:ascii="Book Antiqua" w:hAnsi="Book Antiqua" w:cs="Arial"/>
          <w:sz w:val="24"/>
          <w:szCs w:val="24"/>
        </w:rPr>
        <w:t>ný celok vykazuje dlhodobé</w:t>
      </w:r>
      <w:r w:rsidRPr="00011FD1">
        <w:rPr>
          <w:rFonts w:ascii="Book Antiqua" w:hAnsi="Book Antiqua" w:cs="Arial"/>
          <w:sz w:val="24"/>
          <w:szCs w:val="24"/>
        </w:rPr>
        <w:t xml:space="preserve"> záväzky vo výške</w:t>
      </w:r>
      <w:r w:rsidR="00813893">
        <w:rPr>
          <w:rFonts w:ascii="Book Antiqua" w:hAnsi="Book Antiqua" w:cs="Arial"/>
          <w:sz w:val="24"/>
          <w:szCs w:val="24"/>
        </w:rPr>
        <w:t xml:space="preserve">  </w:t>
      </w:r>
      <w:r w:rsidR="00006988">
        <w:rPr>
          <w:rFonts w:ascii="Book Antiqua" w:hAnsi="Book Antiqua" w:cs="Arial"/>
          <w:sz w:val="24"/>
          <w:szCs w:val="24"/>
        </w:rPr>
        <w:t>765</w:t>
      </w:r>
      <w:r w:rsidR="00C671B7">
        <w:rPr>
          <w:rFonts w:ascii="Book Antiqua" w:hAnsi="Book Antiqua" w:cs="Arial"/>
          <w:sz w:val="24"/>
          <w:szCs w:val="24"/>
        </w:rPr>
        <w:t>,</w:t>
      </w:r>
      <w:r w:rsidR="00006988">
        <w:rPr>
          <w:rFonts w:ascii="Book Antiqua" w:hAnsi="Book Antiqua" w:cs="Arial"/>
          <w:sz w:val="24"/>
          <w:szCs w:val="24"/>
        </w:rPr>
        <w:t>52</w:t>
      </w:r>
      <w:r w:rsidR="00757B47">
        <w:rPr>
          <w:rFonts w:ascii="Book Antiqua" w:hAnsi="Book Antiqua" w:cs="Arial"/>
          <w:sz w:val="24"/>
          <w:szCs w:val="24"/>
        </w:rPr>
        <w:t xml:space="preserve"> </w:t>
      </w:r>
      <w:r w:rsidR="00813893">
        <w:rPr>
          <w:rFonts w:ascii="Book Antiqua" w:hAnsi="Book Antiqua" w:cs="Arial"/>
          <w:sz w:val="24"/>
          <w:szCs w:val="24"/>
        </w:rPr>
        <w:t>EUR</w:t>
      </w:r>
      <w:r w:rsidRPr="00011FD1">
        <w:rPr>
          <w:rFonts w:ascii="Book Antiqua" w:hAnsi="Book Antiqua" w:cs="Arial"/>
          <w:sz w:val="24"/>
          <w:szCs w:val="24"/>
        </w:rPr>
        <w:t xml:space="preserve"> , ktoré sa týkajú týchto druhov ekonomických transakcií: </w:t>
      </w:r>
      <w:r w:rsidR="00C671B7">
        <w:rPr>
          <w:rFonts w:ascii="Book Antiqua" w:hAnsi="Book Antiqua" w:cs="Arial"/>
          <w:sz w:val="24"/>
          <w:szCs w:val="24"/>
        </w:rPr>
        <w:t xml:space="preserve">záväzky zo sociálneho fondu. </w:t>
      </w:r>
    </w:p>
    <w:p w:rsidR="00C671B7" w:rsidRPr="00E2133B" w:rsidRDefault="00357F71" w:rsidP="00A5482C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E2133B">
        <w:rPr>
          <w:rFonts w:ascii="Book Antiqua" w:hAnsi="Book Antiqua" w:cs="Arial"/>
          <w:sz w:val="24"/>
          <w:szCs w:val="24"/>
        </w:rPr>
        <w:t xml:space="preserve">Konsolidovaný celok vykazuje krátkodobé záväzky vo výške </w:t>
      </w:r>
      <w:r w:rsidR="00D55427" w:rsidRPr="00E2133B">
        <w:rPr>
          <w:rFonts w:ascii="Book Antiqua" w:hAnsi="Book Antiqua" w:cs="Arial"/>
          <w:sz w:val="24"/>
          <w:szCs w:val="24"/>
        </w:rPr>
        <w:t xml:space="preserve"> </w:t>
      </w:r>
      <w:r w:rsidR="00006988">
        <w:rPr>
          <w:rFonts w:ascii="Book Antiqua" w:hAnsi="Book Antiqua" w:cs="Arial"/>
          <w:sz w:val="24"/>
          <w:szCs w:val="24"/>
        </w:rPr>
        <w:t>2 781</w:t>
      </w:r>
      <w:r w:rsidR="00C671B7" w:rsidRPr="00E2133B">
        <w:rPr>
          <w:rFonts w:ascii="Book Antiqua" w:hAnsi="Book Antiqua" w:cs="Arial"/>
          <w:sz w:val="24"/>
          <w:szCs w:val="24"/>
        </w:rPr>
        <w:t> </w:t>
      </w:r>
      <w:r w:rsidR="00006988">
        <w:rPr>
          <w:rFonts w:ascii="Book Antiqua" w:hAnsi="Book Antiqua" w:cs="Arial"/>
          <w:sz w:val="24"/>
          <w:szCs w:val="24"/>
        </w:rPr>
        <w:t>514</w:t>
      </w:r>
      <w:r w:rsidR="00C671B7" w:rsidRPr="00E2133B">
        <w:rPr>
          <w:rFonts w:ascii="Book Antiqua" w:hAnsi="Book Antiqua" w:cs="Arial"/>
          <w:sz w:val="24"/>
          <w:szCs w:val="24"/>
        </w:rPr>
        <w:t>,</w:t>
      </w:r>
      <w:r w:rsidR="00006988">
        <w:rPr>
          <w:rFonts w:ascii="Book Antiqua" w:hAnsi="Book Antiqua" w:cs="Arial"/>
          <w:sz w:val="24"/>
          <w:szCs w:val="24"/>
        </w:rPr>
        <w:t>74</w:t>
      </w:r>
      <w:r w:rsidRPr="00E2133B">
        <w:rPr>
          <w:rFonts w:ascii="Book Antiqua" w:hAnsi="Book Antiqua" w:cs="Arial"/>
          <w:sz w:val="24"/>
          <w:szCs w:val="24"/>
        </w:rPr>
        <w:t xml:space="preserve">  EUR , </w:t>
      </w:r>
      <w:r w:rsidR="00C671B7" w:rsidRPr="00E2133B">
        <w:rPr>
          <w:rFonts w:ascii="Book Antiqua" w:hAnsi="Book Antiqua" w:cs="Arial"/>
          <w:sz w:val="24"/>
          <w:szCs w:val="24"/>
        </w:rPr>
        <w:t xml:space="preserve">   </w:t>
      </w:r>
    </w:p>
    <w:p w:rsidR="00C671B7" w:rsidRDefault="00C671B7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            </w:t>
      </w:r>
      <w:r w:rsidR="00357F71" w:rsidRPr="00357F71">
        <w:rPr>
          <w:rFonts w:ascii="Book Antiqua" w:hAnsi="Book Antiqua" w:cs="Arial"/>
          <w:sz w:val="24"/>
          <w:szCs w:val="24"/>
        </w:rPr>
        <w:t xml:space="preserve">ktoré sa týkajú týchto druhov ekonomických transakcií: dodávateľské faktúry, </w:t>
      </w:r>
      <w:r>
        <w:rPr>
          <w:rFonts w:ascii="Book Antiqua" w:hAnsi="Book Antiqua" w:cs="Arial"/>
          <w:sz w:val="24"/>
          <w:szCs w:val="24"/>
        </w:rPr>
        <w:t xml:space="preserve"> </w:t>
      </w:r>
    </w:p>
    <w:p w:rsidR="00C671B7" w:rsidRDefault="00C671B7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            </w:t>
      </w:r>
      <w:r w:rsidR="00357F71" w:rsidRPr="00357F71">
        <w:rPr>
          <w:rFonts w:ascii="Book Antiqua" w:hAnsi="Book Antiqua" w:cs="Arial"/>
          <w:sz w:val="24"/>
          <w:szCs w:val="24"/>
        </w:rPr>
        <w:t>mzdy zam</w:t>
      </w:r>
      <w:r w:rsidR="00A51244">
        <w:rPr>
          <w:rFonts w:ascii="Book Antiqua" w:hAnsi="Book Antiqua" w:cs="Arial"/>
          <w:sz w:val="24"/>
          <w:szCs w:val="24"/>
        </w:rPr>
        <w:t xml:space="preserve">estnancov a odvody do poisťovní, </w:t>
      </w:r>
      <w:r>
        <w:rPr>
          <w:rFonts w:ascii="Book Antiqua" w:hAnsi="Book Antiqua" w:cs="Arial"/>
          <w:sz w:val="24"/>
          <w:szCs w:val="24"/>
        </w:rPr>
        <w:t xml:space="preserve">fondy opráv a </w:t>
      </w:r>
      <w:r w:rsidR="00A51244">
        <w:rPr>
          <w:rFonts w:ascii="Book Antiqua" w:hAnsi="Book Antiqua" w:cs="Arial"/>
          <w:sz w:val="24"/>
          <w:szCs w:val="24"/>
        </w:rPr>
        <w:t xml:space="preserve">úvery nájomníkov </w:t>
      </w:r>
    </w:p>
    <w:p w:rsidR="00A25F64" w:rsidRDefault="00C671B7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            b</w:t>
      </w:r>
      <w:r w:rsidR="00A51244">
        <w:rPr>
          <w:rFonts w:ascii="Book Antiqua" w:hAnsi="Book Antiqua" w:cs="Arial"/>
          <w:sz w:val="24"/>
          <w:szCs w:val="24"/>
        </w:rPr>
        <w:t xml:space="preserve">ytových domov v správe Bytového podniku. </w:t>
      </w:r>
      <w:r w:rsidR="00357F71" w:rsidRPr="00357F71">
        <w:rPr>
          <w:rFonts w:ascii="Book Antiqua" w:hAnsi="Book Antiqua" w:cs="Arial"/>
          <w:sz w:val="24"/>
          <w:szCs w:val="24"/>
        </w:rPr>
        <w:t xml:space="preserve"> </w:t>
      </w:r>
      <w:r w:rsidR="00A25F64">
        <w:rPr>
          <w:rFonts w:ascii="Book Antiqua" w:hAnsi="Book Antiqua" w:cs="Arial"/>
          <w:sz w:val="24"/>
          <w:szCs w:val="24"/>
        </w:rPr>
        <w:t xml:space="preserve">Najväčší podiel na vykázaných   </w:t>
      </w:r>
    </w:p>
    <w:p w:rsidR="00A25F64" w:rsidRDefault="00A25F64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            krátkodobých z</w:t>
      </w:r>
      <w:r w:rsidR="00C671B7">
        <w:rPr>
          <w:rFonts w:ascii="Book Antiqua" w:hAnsi="Book Antiqua" w:cs="Arial"/>
          <w:sz w:val="24"/>
          <w:szCs w:val="24"/>
        </w:rPr>
        <w:t>áväzk</w:t>
      </w:r>
      <w:r>
        <w:rPr>
          <w:rFonts w:ascii="Book Antiqua" w:hAnsi="Book Antiqua" w:cs="Arial"/>
          <w:sz w:val="24"/>
          <w:szCs w:val="24"/>
        </w:rPr>
        <w:t>ov</w:t>
      </w:r>
      <w:r w:rsidR="00C671B7">
        <w:rPr>
          <w:rFonts w:ascii="Book Antiqua" w:hAnsi="Book Antiqua" w:cs="Arial"/>
          <w:sz w:val="24"/>
          <w:szCs w:val="24"/>
        </w:rPr>
        <w:t xml:space="preserve"> </w:t>
      </w:r>
      <w:r>
        <w:rPr>
          <w:rFonts w:ascii="Book Antiqua" w:hAnsi="Book Antiqua" w:cs="Arial"/>
          <w:sz w:val="24"/>
          <w:szCs w:val="24"/>
        </w:rPr>
        <w:t xml:space="preserve">má </w:t>
      </w:r>
      <w:r w:rsidR="00C671B7">
        <w:rPr>
          <w:rFonts w:ascii="Book Antiqua" w:hAnsi="Book Antiqua" w:cs="Arial"/>
          <w:sz w:val="24"/>
          <w:szCs w:val="24"/>
        </w:rPr>
        <w:t>Obec</w:t>
      </w:r>
      <w:r w:rsidR="00456EA1">
        <w:rPr>
          <w:rFonts w:ascii="Book Antiqua" w:hAnsi="Book Antiqua" w:cs="Arial"/>
          <w:sz w:val="24"/>
          <w:szCs w:val="24"/>
        </w:rPr>
        <w:t xml:space="preserve"> vo výške 2 604</w:t>
      </w:r>
      <w:r w:rsidR="009959C9">
        <w:rPr>
          <w:rFonts w:ascii="Book Antiqua" w:hAnsi="Book Antiqua" w:cs="Arial"/>
          <w:sz w:val="24"/>
          <w:szCs w:val="24"/>
        </w:rPr>
        <w:t> </w:t>
      </w:r>
      <w:r w:rsidR="00456EA1">
        <w:rPr>
          <w:rFonts w:ascii="Book Antiqua" w:hAnsi="Book Antiqua" w:cs="Arial"/>
          <w:sz w:val="24"/>
          <w:szCs w:val="24"/>
        </w:rPr>
        <w:t>370</w:t>
      </w:r>
      <w:r w:rsidR="009959C9">
        <w:rPr>
          <w:rFonts w:ascii="Book Antiqua" w:hAnsi="Book Antiqua" w:cs="Arial"/>
          <w:sz w:val="24"/>
          <w:szCs w:val="24"/>
        </w:rPr>
        <w:t>,</w:t>
      </w:r>
      <w:r w:rsidR="00456EA1">
        <w:rPr>
          <w:rFonts w:ascii="Book Antiqua" w:hAnsi="Book Antiqua" w:cs="Arial"/>
          <w:sz w:val="24"/>
          <w:szCs w:val="24"/>
        </w:rPr>
        <w:t>75</w:t>
      </w:r>
      <w:r w:rsidR="009959C9">
        <w:rPr>
          <w:rFonts w:ascii="Book Antiqua" w:hAnsi="Book Antiqua" w:cs="Arial"/>
          <w:sz w:val="24"/>
          <w:szCs w:val="24"/>
        </w:rPr>
        <w:t xml:space="preserve"> EUR, týka</w:t>
      </w:r>
      <w:r>
        <w:rPr>
          <w:rFonts w:ascii="Book Antiqua" w:hAnsi="Book Antiqua" w:cs="Arial"/>
          <w:sz w:val="24"/>
          <w:szCs w:val="24"/>
        </w:rPr>
        <w:t xml:space="preserve">jú sa nájomného  </w:t>
      </w:r>
    </w:p>
    <w:p w:rsidR="00A25F64" w:rsidRDefault="00A25F64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            bytového d</w:t>
      </w:r>
      <w:r w:rsidR="009959C9">
        <w:rPr>
          <w:rFonts w:ascii="Book Antiqua" w:hAnsi="Book Antiqua" w:cs="Arial"/>
          <w:sz w:val="24"/>
          <w:szCs w:val="24"/>
        </w:rPr>
        <w:t>omu súp.č.49,  ktorý obec spravuje, a plánuje obstarať od investorov</w:t>
      </w:r>
      <w:r>
        <w:rPr>
          <w:rFonts w:ascii="Book Antiqua" w:hAnsi="Book Antiqua" w:cs="Arial"/>
          <w:sz w:val="24"/>
          <w:szCs w:val="24"/>
        </w:rPr>
        <w:t xml:space="preserve"> </w:t>
      </w:r>
      <w:r w:rsidR="009959C9">
        <w:rPr>
          <w:rFonts w:ascii="Book Antiqua" w:hAnsi="Book Antiqua" w:cs="Arial"/>
          <w:sz w:val="24"/>
          <w:szCs w:val="24"/>
        </w:rPr>
        <w:t xml:space="preserve"> </w:t>
      </w:r>
      <w:r>
        <w:rPr>
          <w:rFonts w:ascii="Book Antiqua" w:hAnsi="Book Antiqua" w:cs="Arial"/>
          <w:sz w:val="24"/>
          <w:szCs w:val="24"/>
        </w:rPr>
        <w:t xml:space="preserve">       </w:t>
      </w:r>
    </w:p>
    <w:p w:rsidR="00357F71" w:rsidRPr="00357F71" w:rsidRDefault="00E86CE2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           </w:t>
      </w:r>
      <w:r w:rsidR="00A25F64">
        <w:rPr>
          <w:rFonts w:ascii="Book Antiqua" w:hAnsi="Book Antiqua" w:cs="Arial"/>
          <w:sz w:val="24"/>
          <w:szCs w:val="24"/>
        </w:rPr>
        <w:t>s</w:t>
      </w:r>
      <w:r w:rsidR="009959C9">
        <w:rPr>
          <w:rFonts w:ascii="Book Antiqua" w:hAnsi="Book Antiqua" w:cs="Arial"/>
          <w:sz w:val="24"/>
          <w:szCs w:val="24"/>
        </w:rPr>
        <w:t xml:space="preserve">pôsobom  čerpania úveru zo ŠFRB.   </w:t>
      </w:r>
    </w:p>
    <w:p w:rsidR="00E86CE2" w:rsidRDefault="009959C9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          </w:t>
      </w:r>
      <w:r w:rsidR="00E86CE2">
        <w:rPr>
          <w:rFonts w:ascii="Book Antiqua" w:hAnsi="Book Antiqua" w:cs="Arial"/>
          <w:sz w:val="24"/>
          <w:szCs w:val="24"/>
        </w:rPr>
        <w:t xml:space="preserve">Konsolidovaný celok </w:t>
      </w:r>
      <w:r w:rsidR="00E74804" w:rsidRPr="009959C9">
        <w:rPr>
          <w:rFonts w:ascii="Book Antiqua" w:hAnsi="Book Antiqua" w:cs="Arial"/>
          <w:sz w:val="24"/>
          <w:szCs w:val="24"/>
        </w:rPr>
        <w:t>vykazuje záväzky po lehote splatnosti</w:t>
      </w:r>
      <w:r w:rsidR="00E86CE2">
        <w:rPr>
          <w:rFonts w:ascii="Book Antiqua" w:hAnsi="Book Antiqua" w:cs="Arial"/>
          <w:sz w:val="24"/>
          <w:szCs w:val="24"/>
        </w:rPr>
        <w:t xml:space="preserve"> vo výške </w:t>
      </w:r>
      <w:r w:rsidR="00006988">
        <w:rPr>
          <w:rFonts w:ascii="Book Antiqua" w:hAnsi="Book Antiqua" w:cs="Arial"/>
          <w:sz w:val="24"/>
          <w:szCs w:val="24"/>
        </w:rPr>
        <w:t>133</w:t>
      </w:r>
      <w:r w:rsidR="00E86CE2">
        <w:rPr>
          <w:rFonts w:ascii="Book Antiqua" w:hAnsi="Book Antiqua" w:cs="Arial"/>
          <w:sz w:val="24"/>
          <w:szCs w:val="24"/>
        </w:rPr>
        <w:t> </w:t>
      </w:r>
      <w:r w:rsidR="00006988">
        <w:rPr>
          <w:rFonts w:ascii="Book Antiqua" w:hAnsi="Book Antiqua" w:cs="Arial"/>
          <w:sz w:val="24"/>
          <w:szCs w:val="24"/>
        </w:rPr>
        <w:t>026</w:t>
      </w:r>
      <w:r w:rsidR="00E86CE2">
        <w:rPr>
          <w:rFonts w:ascii="Book Antiqua" w:hAnsi="Book Antiqua" w:cs="Arial"/>
          <w:sz w:val="24"/>
          <w:szCs w:val="24"/>
        </w:rPr>
        <w:t>,</w:t>
      </w:r>
      <w:r w:rsidR="00006988">
        <w:rPr>
          <w:rFonts w:ascii="Book Antiqua" w:hAnsi="Book Antiqua" w:cs="Arial"/>
          <w:sz w:val="24"/>
          <w:szCs w:val="24"/>
        </w:rPr>
        <w:t>60</w:t>
      </w:r>
      <w:r w:rsidR="00E86CE2">
        <w:rPr>
          <w:rFonts w:ascii="Book Antiqua" w:hAnsi="Book Antiqua" w:cs="Arial"/>
          <w:sz w:val="24"/>
          <w:szCs w:val="24"/>
        </w:rPr>
        <w:t xml:space="preserve"> </w:t>
      </w:r>
    </w:p>
    <w:p w:rsidR="00D62489" w:rsidRDefault="00E86CE2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          EUR, ktoré vykazuje Bytový podnik</w:t>
      </w:r>
      <w:r w:rsidR="00D62489">
        <w:rPr>
          <w:rFonts w:ascii="Book Antiqua" w:hAnsi="Book Antiqua" w:cs="Arial"/>
          <w:sz w:val="24"/>
          <w:szCs w:val="24"/>
        </w:rPr>
        <w:t xml:space="preserve">: záväzok voči  dodávateľom a prijaté  </w:t>
      </w:r>
    </w:p>
    <w:p w:rsidR="00C55CFE" w:rsidRDefault="00D62489" w:rsidP="00C55CFE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          preddavky.</w:t>
      </w:r>
      <w:r w:rsidR="00E86CE2">
        <w:rPr>
          <w:rFonts w:ascii="Book Antiqua" w:hAnsi="Book Antiqua" w:cs="Arial"/>
          <w:sz w:val="24"/>
          <w:szCs w:val="24"/>
        </w:rPr>
        <w:t xml:space="preserve"> </w:t>
      </w:r>
    </w:p>
    <w:p w:rsidR="00C55CFE" w:rsidRPr="00C55CFE" w:rsidRDefault="00C55CFE" w:rsidP="00A5482C">
      <w:pPr>
        <w:pStyle w:val="Odsekzoznamu"/>
        <w:numPr>
          <w:ilvl w:val="0"/>
          <w:numId w:val="6"/>
        </w:num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C55CFE">
        <w:rPr>
          <w:rFonts w:ascii="Book Antiqua" w:hAnsi="Book Antiqua"/>
          <w:sz w:val="24"/>
          <w:szCs w:val="24"/>
        </w:rPr>
        <w:t>Konsolidovaný celok vykazuje úvery vo výške</w:t>
      </w:r>
      <w:r w:rsidRPr="00C55CFE">
        <w:rPr>
          <w:rFonts w:ascii="Book Antiqua" w:hAnsi="Book Antiqua"/>
          <w:sz w:val="24"/>
          <w:szCs w:val="24"/>
        </w:rPr>
        <w:t xml:space="preserve"> 345 377,00 EUR</w:t>
      </w:r>
      <w:r>
        <w:rPr>
          <w:rFonts w:ascii="Book Antiqua" w:hAnsi="Book Antiqua"/>
          <w:sz w:val="24"/>
          <w:szCs w:val="24"/>
        </w:rPr>
        <w:t xml:space="preserve">, podiel všetkých úverov má Obec. </w:t>
      </w:r>
      <w:bookmarkStart w:id="0" w:name="_GoBack"/>
      <w:bookmarkEnd w:id="0"/>
    </w:p>
    <w:p w:rsidR="00C55CFE" w:rsidRPr="00C55CFE" w:rsidRDefault="00C55CFE" w:rsidP="00C55CFE">
      <w:pPr>
        <w:pStyle w:val="Odsekzoznamu"/>
        <w:spacing w:line="276" w:lineRule="auto"/>
        <w:jc w:val="both"/>
        <w:rPr>
          <w:rFonts w:ascii="Book Antiqua" w:hAnsi="Book Antiqua" w:cs="Arial"/>
          <w:sz w:val="24"/>
          <w:szCs w:val="24"/>
        </w:rPr>
      </w:pPr>
    </w:p>
    <w:p w:rsidR="00A703CF" w:rsidRPr="009959C9" w:rsidRDefault="00E74804" w:rsidP="008266DA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9959C9">
        <w:rPr>
          <w:rFonts w:ascii="Book Antiqua" w:hAnsi="Book Antiqua" w:cs="Arial"/>
          <w:sz w:val="24"/>
          <w:szCs w:val="24"/>
        </w:rPr>
        <w:t xml:space="preserve"> </w:t>
      </w:r>
      <w:r w:rsidR="00A703CF" w:rsidRPr="009959C9">
        <w:rPr>
          <w:rFonts w:ascii="Book Antiqua" w:hAnsi="Book Antiqua" w:cs="Arial"/>
          <w:sz w:val="24"/>
          <w:szCs w:val="24"/>
        </w:rPr>
        <w:t xml:space="preserve"> </w:t>
      </w:r>
    </w:p>
    <w:p w:rsidR="00A4312C" w:rsidRDefault="00D3330F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   </w:t>
      </w:r>
      <w:r w:rsidR="00B03240"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p w:rsidR="008266DA" w:rsidRDefault="008266DA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</w:p>
    <w:p w:rsidR="00E74804" w:rsidRPr="001251AA" w:rsidRDefault="00E74804" w:rsidP="00B03240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1251AA">
        <w:rPr>
          <w:rFonts w:ascii="Book Antiqua" w:hAnsi="Book Antiqua" w:cs="Arial"/>
          <w:sz w:val="24"/>
          <w:szCs w:val="24"/>
        </w:rPr>
        <w:t>V Harmanci d</w:t>
      </w:r>
      <w:r w:rsidR="00006988">
        <w:rPr>
          <w:rFonts w:ascii="Book Antiqua" w:hAnsi="Book Antiqua" w:cs="Arial"/>
          <w:sz w:val="24"/>
          <w:szCs w:val="24"/>
        </w:rPr>
        <w:t>ňa 19</w:t>
      </w:r>
      <w:r w:rsidRPr="001251AA">
        <w:rPr>
          <w:rFonts w:ascii="Book Antiqua" w:hAnsi="Book Antiqua" w:cs="Arial"/>
          <w:sz w:val="24"/>
          <w:szCs w:val="24"/>
        </w:rPr>
        <w:t xml:space="preserve">. </w:t>
      </w:r>
      <w:r w:rsidR="00DD63DA">
        <w:rPr>
          <w:rFonts w:ascii="Book Antiqua" w:hAnsi="Book Antiqua" w:cs="Arial"/>
          <w:sz w:val="24"/>
          <w:szCs w:val="24"/>
        </w:rPr>
        <w:t>6</w:t>
      </w:r>
      <w:r w:rsidRPr="001251AA">
        <w:rPr>
          <w:rFonts w:ascii="Book Antiqua" w:hAnsi="Book Antiqua" w:cs="Arial"/>
          <w:sz w:val="24"/>
          <w:szCs w:val="24"/>
        </w:rPr>
        <w:t>. 20</w:t>
      </w:r>
      <w:r w:rsidR="00DD63DA">
        <w:rPr>
          <w:rFonts w:ascii="Book Antiqua" w:hAnsi="Book Antiqua" w:cs="Arial"/>
          <w:sz w:val="24"/>
          <w:szCs w:val="24"/>
        </w:rPr>
        <w:t>2</w:t>
      </w:r>
      <w:r w:rsidR="00006988">
        <w:rPr>
          <w:rFonts w:ascii="Book Antiqua" w:hAnsi="Book Antiqua" w:cs="Arial"/>
          <w:sz w:val="24"/>
          <w:szCs w:val="24"/>
        </w:rPr>
        <w:t>3</w:t>
      </w:r>
    </w:p>
    <w:p w:rsidR="001251AA" w:rsidRDefault="001251AA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</w:p>
    <w:sectPr w:rsidR="001251AA" w:rsidSect="005E267B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82C" w:rsidRDefault="00A5482C">
      <w:r>
        <w:separator/>
      </w:r>
    </w:p>
  </w:endnote>
  <w:endnote w:type="continuationSeparator" w:id="0">
    <w:p w:rsidR="00A5482C" w:rsidRDefault="00A54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4E04" w:rsidRDefault="00A063C6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55CFE">
      <w:rPr>
        <w:rStyle w:val="slostrany"/>
        <w:noProof/>
      </w:rPr>
      <w:t>5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82C" w:rsidRDefault="00A5482C">
      <w:r>
        <w:separator/>
      </w:r>
    </w:p>
  </w:footnote>
  <w:footnote w:type="continuationSeparator" w:id="0">
    <w:p w:rsidR="00A5482C" w:rsidRDefault="00A54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01F53"/>
    <w:multiLevelType w:val="hybridMultilevel"/>
    <w:tmpl w:val="D638B1E8"/>
    <w:lvl w:ilvl="0" w:tplc="670CB2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E5C31"/>
    <w:multiLevelType w:val="hybridMultilevel"/>
    <w:tmpl w:val="94DC358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F0ABB"/>
    <w:multiLevelType w:val="hybridMultilevel"/>
    <w:tmpl w:val="C15808C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06988"/>
    <w:rsid w:val="000117CC"/>
    <w:rsid w:val="00011C00"/>
    <w:rsid w:val="00011FD1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2060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1AA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27B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1F5191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AA1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57F71"/>
    <w:rsid w:val="003653B5"/>
    <w:rsid w:val="00366930"/>
    <w:rsid w:val="00372681"/>
    <w:rsid w:val="00376BFB"/>
    <w:rsid w:val="003779F0"/>
    <w:rsid w:val="00381316"/>
    <w:rsid w:val="00385410"/>
    <w:rsid w:val="00386606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5C00"/>
    <w:rsid w:val="003B7E6B"/>
    <w:rsid w:val="003B7EE6"/>
    <w:rsid w:val="003C087E"/>
    <w:rsid w:val="003C3326"/>
    <w:rsid w:val="003C3BC2"/>
    <w:rsid w:val="003C4762"/>
    <w:rsid w:val="003C5D6D"/>
    <w:rsid w:val="003C6C1A"/>
    <w:rsid w:val="003C7865"/>
    <w:rsid w:val="003D20EF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00AB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56EA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96EF8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9D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5C2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0FF2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B18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45F01"/>
    <w:rsid w:val="00754364"/>
    <w:rsid w:val="0075460E"/>
    <w:rsid w:val="00757B47"/>
    <w:rsid w:val="007600DC"/>
    <w:rsid w:val="0076024E"/>
    <w:rsid w:val="00760897"/>
    <w:rsid w:val="00761610"/>
    <w:rsid w:val="0076235B"/>
    <w:rsid w:val="007649B5"/>
    <w:rsid w:val="007649ED"/>
    <w:rsid w:val="00765E81"/>
    <w:rsid w:val="00765E8B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87EF2"/>
    <w:rsid w:val="00793198"/>
    <w:rsid w:val="00794578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DF0"/>
    <w:rsid w:val="007B71B1"/>
    <w:rsid w:val="007C090C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3893"/>
    <w:rsid w:val="00816472"/>
    <w:rsid w:val="008174B1"/>
    <w:rsid w:val="008207DB"/>
    <w:rsid w:val="00820A65"/>
    <w:rsid w:val="00823407"/>
    <w:rsid w:val="00824036"/>
    <w:rsid w:val="00825BD8"/>
    <w:rsid w:val="008266DA"/>
    <w:rsid w:val="00826E49"/>
    <w:rsid w:val="00840EEE"/>
    <w:rsid w:val="00845C4E"/>
    <w:rsid w:val="0084746C"/>
    <w:rsid w:val="00847F16"/>
    <w:rsid w:val="008505A5"/>
    <w:rsid w:val="008511CD"/>
    <w:rsid w:val="00851842"/>
    <w:rsid w:val="00852FE5"/>
    <w:rsid w:val="00853AAE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5C31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8F6C76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37D3"/>
    <w:rsid w:val="009257D9"/>
    <w:rsid w:val="00925ACD"/>
    <w:rsid w:val="00925B86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07B0"/>
    <w:rsid w:val="00952533"/>
    <w:rsid w:val="00952F47"/>
    <w:rsid w:val="00953156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E6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59C9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4960"/>
    <w:rsid w:val="009D58CC"/>
    <w:rsid w:val="009D68B1"/>
    <w:rsid w:val="009E32B8"/>
    <w:rsid w:val="009E3B89"/>
    <w:rsid w:val="009E4113"/>
    <w:rsid w:val="009E4E38"/>
    <w:rsid w:val="009E5A8D"/>
    <w:rsid w:val="009E75A2"/>
    <w:rsid w:val="009E7D4E"/>
    <w:rsid w:val="009F0666"/>
    <w:rsid w:val="009F0B62"/>
    <w:rsid w:val="009F0C1A"/>
    <w:rsid w:val="009F105B"/>
    <w:rsid w:val="009F2A54"/>
    <w:rsid w:val="00A0540B"/>
    <w:rsid w:val="00A063C6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5F64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398"/>
    <w:rsid w:val="00A41D74"/>
    <w:rsid w:val="00A4312C"/>
    <w:rsid w:val="00A44D6E"/>
    <w:rsid w:val="00A45FC3"/>
    <w:rsid w:val="00A4679A"/>
    <w:rsid w:val="00A47DF1"/>
    <w:rsid w:val="00A5028D"/>
    <w:rsid w:val="00A51244"/>
    <w:rsid w:val="00A51AB0"/>
    <w:rsid w:val="00A53252"/>
    <w:rsid w:val="00A5482C"/>
    <w:rsid w:val="00A57783"/>
    <w:rsid w:val="00A60F53"/>
    <w:rsid w:val="00A614DA"/>
    <w:rsid w:val="00A61CEE"/>
    <w:rsid w:val="00A6418B"/>
    <w:rsid w:val="00A703CF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1D99"/>
    <w:rsid w:val="00AF2461"/>
    <w:rsid w:val="00AF5E6D"/>
    <w:rsid w:val="00AF6A01"/>
    <w:rsid w:val="00AF6E15"/>
    <w:rsid w:val="00AF7AB3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0D47"/>
    <w:rsid w:val="00B81325"/>
    <w:rsid w:val="00B816C0"/>
    <w:rsid w:val="00B831FA"/>
    <w:rsid w:val="00B834B8"/>
    <w:rsid w:val="00B837AA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B37BA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6796"/>
    <w:rsid w:val="00BF71F6"/>
    <w:rsid w:val="00C01347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0AFF"/>
    <w:rsid w:val="00C54459"/>
    <w:rsid w:val="00C55CFE"/>
    <w:rsid w:val="00C5685E"/>
    <w:rsid w:val="00C56A41"/>
    <w:rsid w:val="00C609FB"/>
    <w:rsid w:val="00C60E48"/>
    <w:rsid w:val="00C64080"/>
    <w:rsid w:val="00C654F4"/>
    <w:rsid w:val="00C66EF2"/>
    <w:rsid w:val="00C671B7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5AC2"/>
    <w:rsid w:val="00CB038D"/>
    <w:rsid w:val="00CB15AD"/>
    <w:rsid w:val="00CB2991"/>
    <w:rsid w:val="00CB3486"/>
    <w:rsid w:val="00CB5678"/>
    <w:rsid w:val="00CB5757"/>
    <w:rsid w:val="00CB588C"/>
    <w:rsid w:val="00CB6793"/>
    <w:rsid w:val="00CB7E09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2B89"/>
    <w:rsid w:val="00D23EEF"/>
    <w:rsid w:val="00D2696B"/>
    <w:rsid w:val="00D26E5F"/>
    <w:rsid w:val="00D30459"/>
    <w:rsid w:val="00D30832"/>
    <w:rsid w:val="00D320EF"/>
    <w:rsid w:val="00D32BF0"/>
    <w:rsid w:val="00D3330F"/>
    <w:rsid w:val="00D36825"/>
    <w:rsid w:val="00D42180"/>
    <w:rsid w:val="00D429AE"/>
    <w:rsid w:val="00D43A42"/>
    <w:rsid w:val="00D460D5"/>
    <w:rsid w:val="00D4669D"/>
    <w:rsid w:val="00D47E1F"/>
    <w:rsid w:val="00D50B77"/>
    <w:rsid w:val="00D513DB"/>
    <w:rsid w:val="00D5238E"/>
    <w:rsid w:val="00D54E80"/>
    <w:rsid w:val="00D55427"/>
    <w:rsid w:val="00D57F88"/>
    <w:rsid w:val="00D60465"/>
    <w:rsid w:val="00D60A11"/>
    <w:rsid w:val="00D62489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A7B5E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3DA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33B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292C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4804"/>
    <w:rsid w:val="00E75908"/>
    <w:rsid w:val="00E763EC"/>
    <w:rsid w:val="00E82787"/>
    <w:rsid w:val="00E84016"/>
    <w:rsid w:val="00E85C5F"/>
    <w:rsid w:val="00E86CE2"/>
    <w:rsid w:val="00E919FC"/>
    <w:rsid w:val="00E91F16"/>
    <w:rsid w:val="00E94F6D"/>
    <w:rsid w:val="00E9707C"/>
    <w:rsid w:val="00E979C8"/>
    <w:rsid w:val="00E97EC3"/>
    <w:rsid w:val="00EA190B"/>
    <w:rsid w:val="00EA352E"/>
    <w:rsid w:val="00EA446F"/>
    <w:rsid w:val="00EA51A5"/>
    <w:rsid w:val="00EA52C1"/>
    <w:rsid w:val="00EA7ED8"/>
    <w:rsid w:val="00EB057D"/>
    <w:rsid w:val="00EB09C7"/>
    <w:rsid w:val="00EB1E06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3CD1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3EFE"/>
    <w:rsid w:val="00F95601"/>
    <w:rsid w:val="00F95813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28DF4B-62B6-49DD-BF2F-7178658F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D33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5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9234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CHLADNÁ Alena</cp:lastModifiedBy>
  <cp:revision>37</cp:revision>
  <cp:lastPrinted>2013-05-31T09:48:00Z</cp:lastPrinted>
  <dcterms:created xsi:type="dcterms:W3CDTF">2016-06-02T07:55:00Z</dcterms:created>
  <dcterms:modified xsi:type="dcterms:W3CDTF">2023-06-19T12:05:00Z</dcterms:modified>
</cp:coreProperties>
</file>