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/>
      </w:pPr>
      <w:r>
        <w:rPr>
          <w:rFonts w:cs="Arial" w:ascii="Cambria" w:hAnsi="Cambria" w:asciiTheme="majorHAnsi" w:hAnsiTheme="majorHAnsi"/>
          <w:b/>
          <w:sz w:val="16"/>
          <w:szCs w:val="16"/>
        </w:rPr>
        <w:t xml:space="preserve">                                                                                                          </w:t>
      </w:r>
      <w:r>
        <w:rPr>
          <w:rFonts w:cs="Arial" w:ascii="Cambria" w:hAnsi="Cambria" w:asciiTheme="majorHAnsi" w:hAnsiTheme="majorHAnsi"/>
          <w:b/>
          <w:sz w:val="16"/>
          <w:szCs w:val="16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  <w:sz w:val="16"/>
          <w:szCs w:val="16"/>
        </w:rPr>
        <w:t>I.1</w:t>
        <w:tab/>
        <w:t>Názov právnickej osoby: NOVOSTAV Topoľčany s.r.o.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fldChar w:fldCharType="begin">
          <w:ffData>
            <w:name w:val="Text19"/>
            <w:enabled/>
            <w:calcOnExit w:val="0"/>
            <w:textInput/>
          </w:ffData>
        </w:fldChar>
      </w:r>
      <w:r>
        <w:rPr/>
        <w:instrText> FORMTEXT </w:instrText>
      </w:r>
      <w:r>
        <w:rPr/>
        <w:fldChar w:fldCharType="separate"/>
      </w:r>
      <w:bookmarkStart w:id="0" w:name="Text19"/>
      <w:r>
        <w:rPr/>
      </w:r>
      <w:r>
        <w:rPr/>
      </w:r>
      <w:r>
        <w:rPr/>
        <w:fldChar w:fldCharType="end"/>
      </w:r>
      <w:bookmarkEnd w:id="0"/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  <w:sz w:val="16"/>
          <w:szCs w:val="16"/>
        </w:rPr>
        <w:t xml:space="preserve">       </w:t>
      </w:r>
      <w:r>
        <w:rPr>
          <w:rFonts w:cs="Arial" w:ascii="Cambria" w:hAnsi="Cambria"/>
          <w:b/>
          <w:sz w:val="16"/>
          <w:szCs w:val="16"/>
        </w:rPr>
        <w:tab/>
        <w:t>Sídlo účtovnej jednotky</w:t>
      </w:r>
      <w:r>
        <w:rPr>
          <w:rFonts w:cs="Arial" w:ascii="Cambria" w:hAnsi="Cambria"/>
          <w:sz w:val="16"/>
          <w:szCs w:val="16"/>
        </w:rPr>
        <w:t xml:space="preserve">: </w:t>
      </w:r>
      <w:r>
        <w:fldChar w:fldCharType="begin">
          <w:ffData>
            <w:name w:val="Text20"/>
            <w:enabled/>
            <w:calcOnExit w:val="0"/>
            <w:textInput/>
          </w:ffData>
        </w:fldChar>
      </w:r>
      <w:r>
        <w:rPr>
          <w:sz w:val="16"/>
          <w:szCs w:val="16"/>
          <w:rFonts w:cs="Arial" w:ascii="Cambria" w:hAnsi="Cambria"/>
        </w:rPr>
        <w:instrText> FORMTEXT </w:instrText>
      </w:r>
      <w:r>
        <w:rPr>
          <w:sz w:val="16"/>
          <w:szCs w:val="16"/>
          <w:rFonts w:cs="Arial" w:ascii="Cambria" w:hAnsi="Cambria"/>
        </w:rPr>
        <w:fldChar w:fldCharType="separate"/>
      </w:r>
      <w:bookmarkStart w:id="1" w:name="Text20"/>
      <w:r>
        <w:rPr>
          <w:rFonts w:cs="Arial" w:ascii="Cambria" w:hAnsi="Cambria"/>
          <w:sz w:val="16"/>
          <w:szCs w:val="16"/>
        </w:rPr>
        <w:t>Streďanská 4056</w:t>
      </w:r>
      <w:r>
        <w:rPr>
          <w:rFonts w:cs="Arial" w:ascii="Cambria" w:hAnsi="Cambria"/>
          <w:sz w:val="16"/>
          <w:szCs w:val="16"/>
        </w:rPr>
      </w:r>
      <w:r>
        <w:rPr>
          <w:sz w:val="16"/>
          <w:szCs w:val="16"/>
          <w:rFonts w:cs="Arial" w:ascii="Cambria" w:hAnsi="Cambria"/>
        </w:rPr>
        <w:fldChar w:fldCharType="end"/>
      </w:r>
      <w:bookmarkEnd w:id="1"/>
    </w:p>
    <w:p>
      <w:pPr>
        <w:pStyle w:val="Normal"/>
        <w:spacing w:lineRule="auto" w:line="240" w:before="0" w:after="0"/>
        <w:ind w:left="426" w:hanging="426"/>
        <w:jc w:val="both"/>
        <w:rPr>
          <w:sz w:val="16"/>
          <w:szCs w:val="16"/>
        </w:rPr>
      </w:pPr>
      <w:r>
        <w:rPr>
          <w:rFonts w:cs="Arial" w:ascii="Cambria" w:hAnsi="Cambria"/>
          <w:i/>
          <w:sz w:val="16"/>
          <w:szCs w:val="16"/>
        </w:rPr>
        <w:t xml:space="preserve">                                                             </w:t>
      </w:r>
      <w:r>
        <w:rPr>
          <w:rFonts w:cs="Arial" w:ascii="Cambria" w:hAnsi="Cambria"/>
          <w:i/>
          <w:sz w:val="16"/>
          <w:szCs w:val="16"/>
        </w:rPr>
        <w:t>955 01 Topoľčany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  <w:sz w:val="16"/>
          <w:szCs w:val="16"/>
        </w:rPr>
        <w:tab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  <w:sz w:val="16"/>
          <w:szCs w:val="16"/>
        </w:rPr>
        <w:t>I.2</w:t>
        <w:tab/>
        <w:t>Údaje o konsolidovanom celku, ak je účtovná jednotka jeho súčasťou: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/>
      </w:pPr>
      <w:r>
        <w:rPr>
          <w:rFonts w:cs="Arial" w:ascii="Cambria" w:hAnsi="Cambria"/>
          <w:sz w:val="16"/>
          <w:szCs w:val="16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  <w:b/>
          <w:b/>
          <w:sz w:val="16"/>
          <w:szCs w:val="16"/>
        </w:rPr>
      </w:pPr>
      <w:r>
        <w:rPr>
          <w:rFonts w:cs="Arial" w:ascii="Cambria" w:hAnsi="Cambria"/>
          <w:b/>
          <w:sz w:val="16"/>
          <w:szCs w:val="16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16"/>
          <w:szCs w:val="16"/>
        </w:rPr>
        <w:t xml:space="preserve">b)    </w:t>
      </w:r>
      <w:r>
        <w:rPr>
          <w:rFonts w:cs="Arial" w:ascii="Cambria" w:hAnsi="Cambria"/>
          <w:sz w:val="16"/>
          <w:szCs w:val="16"/>
        </w:rPr>
        <w:t>A.</w:t>
      </w:r>
      <w:r>
        <w:rPr>
          <w:rFonts w:cs="Arial" w:ascii="Cambria" w:hAnsi="Cambria"/>
          <w:b/>
          <w:sz w:val="16"/>
          <w:szCs w:val="16"/>
        </w:rPr>
        <w:t xml:space="preserve">    </w:t>
      </w:r>
      <w:r>
        <w:rPr>
          <w:rFonts w:cs="Arial" w:ascii="Cambria" w:hAnsi="Cambria"/>
          <w:sz w:val="16"/>
          <w:szCs w:val="16"/>
        </w:rPr>
        <w:t xml:space="preserve">je </w:t>
      </w:r>
      <w:r>
        <w:rPr>
          <w:rFonts w:cs="Arial" w:ascii="Cambria" w:hAnsi="Cambria"/>
          <w:b/>
          <w:sz w:val="16"/>
          <w:szCs w:val="16"/>
        </w:rPr>
        <w:t xml:space="preserve"> </w:t>
      </w:r>
      <w:r>
        <w:rPr>
          <w:rFonts w:cs="Arial" w:ascii="Cambria" w:hAnsi="Cambria"/>
          <w:sz w:val="16"/>
          <w:szCs w:val="16"/>
        </w:rPr>
        <w:t>účtovná jednotka  materskou účtovnou jednotkou</w:t>
      </w:r>
      <w:r>
        <w:rPr>
          <w:rFonts w:cs="Arial" w:ascii="Cambria" w:hAnsi="Cambria"/>
          <w:b/>
          <w:sz w:val="16"/>
          <w:szCs w:val="16"/>
        </w:rPr>
        <w:t xml:space="preserve">: </w:t>
      </w:r>
      <w:r>
        <w:rPr/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16"/>
          <w:szCs w:val="16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16"/>
          <w:szCs w:val="16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contextualSpacing/>
        <w:jc w:val="both"/>
        <w:rPr>
          <w:rFonts w:ascii="Cambria" w:hAnsi="Cambria" w:cs="Arial" w:asciiTheme="majorHAnsi" w:hAnsiTheme="majorHAnsi"/>
          <w:sz w:val="16"/>
          <w:szCs w:val="16"/>
        </w:rPr>
      </w:pPr>
      <w:r>
        <w:rPr>
          <w:rFonts w:cs="Arial" w:ascii="Cambria" w:hAnsi="Cambria"/>
          <w:sz w:val="16"/>
          <w:szCs w:val="16"/>
        </w:rPr>
      </w:r>
    </w:p>
    <w:p>
      <w:pPr>
        <w:pStyle w:val="NoSpacing"/>
        <w:ind w:left="426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  <w:sz w:val="16"/>
              <w:szCs w:val="16"/>
            </w:rPr>
            <w:t>☐</w:t>
          </w:r>
        </w:sdtContent>
      </w:sdt>
      <w:r>
        <w:rPr>
          <w:rFonts w:cs="Arial" w:ascii="Cambria" w:hAnsi="Cambria" w:asciiTheme="majorHAnsi" w:hAnsiTheme="majorHAnsi"/>
          <w:b/>
          <w:sz w:val="16"/>
          <w:szCs w:val="16"/>
        </w:rPr>
        <w:tab/>
      </w:r>
      <w:r>
        <w:rPr>
          <w:rFonts w:cs="Arial" w:ascii="Cambria" w:hAnsi="Cambria" w:asciiTheme="majorHAnsi" w:hAnsiTheme="majorHAnsi"/>
          <w:sz w:val="16"/>
          <w:szCs w:val="16"/>
        </w:rPr>
        <w:t>v zmysle § 22 ods. 8 ZoÚ (oslobodenie od konsolidácie na medzistupni):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16"/>
          <w:szCs w:val="16"/>
        </w:rPr>
      </w:pPr>
      <w:r>
        <w:rPr>
          <w:rFonts w:cs="Arial" w:ascii="Cambria" w:hAnsi="Cambria"/>
          <w:sz w:val="16"/>
          <w:szCs w:val="16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16"/>
          <w:szCs w:val="16"/>
        </w:rPr>
        <w:t>Údaje o materskej účtovnej jednotke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16"/>
          <w:szCs w:val="16"/>
        </w:rPr>
      </w:pPr>
      <w:r>
        <w:rPr>
          <w:rFonts w:cs="Arial" w:ascii="Cambria" w:hAnsi="Cambria"/>
          <w:b/>
          <w:sz w:val="16"/>
          <w:szCs w:val="16"/>
        </w:rPr>
      </w:r>
    </w:p>
    <w:p>
      <w:pPr>
        <w:pStyle w:val="NoSpacing"/>
        <w:ind w:left="852" w:hanging="426"/>
        <w:jc w:val="both"/>
        <w:rPr>
          <w:sz w:val="16"/>
          <w:szCs w:val="16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  <w:sz w:val="16"/>
              <w:szCs w:val="16"/>
            </w:rPr>
            <w:t>☐</w:t>
          </w:r>
        </w:sdtContent>
      </w:sdt>
      <w:r>
        <w:rPr>
          <w:rFonts w:cs="Arial" w:ascii="Cambria" w:hAnsi="Cambria"/>
          <w:b/>
          <w:sz w:val="16"/>
          <w:szCs w:val="16"/>
        </w:rPr>
        <w:tab/>
      </w:r>
      <w:r>
        <w:rPr>
          <w:rFonts w:cs="Arial" w:ascii="Cambria" w:hAnsi="Cambria"/>
          <w:sz w:val="16"/>
          <w:szCs w:val="16"/>
        </w:rPr>
        <w:t xml:space="preserve">v zmysle § 22 ods. 10 a 12 ZoÚ (oslobodenie pri nevýznamnosti dcérskych spoločností, uvedených v prehľade): </w:t>
      </w:r>
    </w:p>
    <w:p>
      <w:pPr>
        <w:pStyle w:val="NoSpacing"/>
        <w:ind w:left="426" w:hanging="426"/>
        <w:jc w:val="both"/>
        <w:rPr>
          <w:rFonts w:ascii="Cambria" w:hAnsi="Cambria" w:cs="Arial"/>
          <w:sz w:val="16"/>
          <w:szCs w:val="16"/>
        </w:rPr>
      </w:pPr>
      <w:r>
        <w:rPr>
          <w:rFonts w:cs="Arial" w:ascii="Cambria" w:hAnsi="Cambria"/>
          <w:sz w:val="16"/>
          <w:szCs w:val="16"/>
        </w:rPr>
      </w:r>
    </w:p>
    <w:tbl>
      <w:tblPr>
        <w:tblStyle w:val="Mriekatabuky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22"/>
        <w:gridCol w:w="5031"/>
      </w:tblGrid>
      <w:tr>
        <w:trPr/>
        <w:tc>
          <w:tcPr>
            <w:tcW w:w="8953" w:type="dxa"/>
            <w:gridSpan w:val="2"/>
            <w:tcBorders/>
            <w:shd w:fill="auto" w:val="clear"/>
            <w:vAlign w:val="center"/>
          </w:tcPr>
          <w:p>
            <w:pPr>
              <w:pStyle w:val="NoSpacing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16"/>
                <w:szCs w:val="16"/>
              </w:rPr>
              <w:t>Dcérska spoločnosť</w:t>
            </w:r>
          </w:p>
        </w:tc>
      </w:tr>
      <w:tr>
        <w:trPr/>
        <w:tc>
          <w:tcPr>
            <w:tcW w:w="3922" w:type="dxa"/>
            <w:tcBorders/>
            <w:shd w:fill="auto" w:val="clear"/>
            <w:vAlign w:val="center"/>
          </w:tcPr>
          <w:p>
            <w:pPr>
              <w:pStyle w:val="NoSpacing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16"/>
                <w:szCs w:val="16"/>
              </w:rPr>
              <w:t>Obchodné meno</w:t>
            </w:r>
          </w:p>
        </w:tc>
        <w:tc>
          <w:tcPr>
            <w:tcW w:w="5031" w:type="dxa"/>
            <w:tcBorders/>
            <w:shd w:fill="auto" w:val="clear"/>
            <w:vAlign w:val="center"/>
          </w:tcPr>
          <w:p>
            <w:pPr>
              <w:pStyle w:val="NoSpacing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16"/>
                <w:szCs w:val="16"/>
              </w:rPr>
              <w:t>Sídlo</w:t>
            </w:r>
          </w:p>
        </w:tc>
      </w:tr>
      <w:tr>
        <w:trPr/>
        <w:tc>
          <w:tcPr>
            <w:tcW w:w="3922" w:type="dxa"/>
            <w:tcBorders/>
            <w:shd w:color="auto" w:fill="DBE5F1" w:themeFill="accent1" w:themeFillTint="33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color w:val="DBE5F1" w:themeColor="accent1" w:themeTint="33"/>
                <w:sz w:val="16"/>
                <w:szCs w:val="16"/>
              </w:rPr>
            </w:pPr>
            <w:r>
              <w:rPr>
                <w:rFonts w:cs="Arial" w:ascii="Cambria" w:hAnsi="Cambria"/>
                <w:color w:val="DBE5F1" w:themeColor="accent1" w:themeTint="33"/>
                <w:sz w:val="16"/>
                <w:szCs w:val="16"/>
              </w:rPr>
            </w:r>
          </w:p>
        </w:tc>
        <w:tc>
          <w:tcPr>
            <w:tcW w:w="5031" w:type="dxa"/>
            <w:tcBorders/>
            <w:shd w:color="auto" w:fill="DBE5F1" w:themeFill="accent1" w:themeFillTint="33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color w:val="DBE5F1" w:themeColor="accent1" w:themeTint="33"/>
                <w:sz w:val="16"/>
                <w:szCs w:val="16"/>
              </w:rPr>
            </w:pPr>
            <w:r>
              <w:rPr>
                <w:rFonts w:cs="Arial" w:ascii="Cambria" w:hAnsi="Cambria"/>
                <w:color w:val="DBE5F1" w:themeColor="accent1" w:themeTint="33"/>
                <w:sz w:val="16"/>
                <w:szCs w:val="16"/>
              </w:rPr>
            </w:r>
          </w:p>
        </w:tc>
      </w:tr>
      <w:tr>
        <w:trPr/>
        <w:tc>
          <w:tcPr>
            <w:tcW w:w="3922" w:type="dxa"/>
            <w:tcBorders/>
            <w:shd w:fill="auto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5031" w:type="dxa"/>
            <w:tcBorders/>
            <w:shd w:fill="auto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  <w:tr>
        <w:trPr/>
        <w:tc>
          <w:tcPr>
            <w:tcW w:w="3922" w:type="dxa"/>
            <w:tcBorders/>
            <w:shd w:color="auto" w:fill="DBE5F1" w:themeFill="accent1" w:themeFillTint="33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5031" w:type="dxa"/>
            <w:tcBorders/>
            <w:shd w:color="auto" w:fill="DBE5F1" w:themeFill="accent1" w:themeFillTint="33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  <w:tr>
        <w:trPr/>
        <w:tc>
          <w:tcPr>
            <w:tcW w:w="3922" w:type="dxa"/>
            <w:tcBorders/>
            <w:shd w:fill="auto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5031" w:type="dxa"/>
            <w:tcBorders/>
            <w:shd w:fill="auto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  <w:tr>
        <w:trPr/>
        <w:tc>
          <w:tcPr>
            <w:tcW w:w="3922" w:type="dxa"/>
            <w:tcBorders/>
            <w:shd w:color="auto" w:fill="DBE5F1" w:themeFill="accent1" w:themeFillTint="33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5031" w:type="dxa"/>
            <w:tcBorders/>
            <w:shd w:color="auto" w:fill="DBE5F1" w:themeFill="accent1" w:themeFillTint="33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  <w:tr>
        <w:trPr/>
        <w:tc>
          <w:tcPr>
            <w:tcW w:w="3922" w:type="dxa"/>
            <w:tcBorders/>
            <w:shd w:fill="auto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5031" w:type="dxa"/>
            <w:tcBorders/>
            <w:shd w:fill="auto" w:val="clear"/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</w:tbl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16"/>
          <w:szCs w:val="16"/>
        </w:rPr>
      </w:pPr>
      <w:r>
        <w:rPr>
          <w:rFonts w:cs="Arial" w:ascii="Cambria" w:hAnsi="Cambria"/>
          <w:i/>
          <w:sz w:val="16"/>
          <w:szCs w:val="16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sz w:val="16"/>
          <w:szCs w:val="16"/>
        </w:rPr>
      </w:pPr>
      <w:r>
        <w:rPr>
          <w:rFonts w:cs="Arial" w:ascii="Cambria" w:hAnsi="Cambria"/>
          <w:b/>
          <w:sz w:val="16"/>
          <w:szCs w:val="16"/>
        </w:rPr>
        <w:t>I.3</w:t>
        <w:tab/>
        <w:t>Informácie o počte zamestnancov:</w:t>
      </w:r>
    </w:p>
    <w:tbl>
      <w:tblPr>
        <w:tblStyle w:val="Mriekatabuky"/>
        <w:tblW w:w="901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/>
            </w:pPr>
            <w:r>
              <w:rPr>
                <w:rFonts w:cs="Arial" w:ascii="Cambria" w:hAnsi="Cambria"/>
                <w:b/>
                <w:sz w:val="16"/>
                <w:szCs w:val="16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16"/>
                <w:szCs w:val="16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16"/>
                <w:szCs w:val="16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16"/>
                <w:szCs w:val="16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16"/>
                <w:szCs w:val="16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16"/>
                <w:szCs w:val="16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16"/>
                <w:szCs w:val="16"/>
              </w:rPr>
              <w:t xml:space="preserve">                   </w:t>
            </w:r>
            <w:r>
              <w:rPr>
                <w:rFonts w:cs="Arial" w:ascii="Cambria" w:hAnsi="Cambria"/>
                <w:b/>
                <w:sz w:val="16"/>
                <w:szCs w:val="16"/>
              </w:rPr>
              <w:t>0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16"/>
                <w:szCs w:val="16"/>
              </w:rPr>
              <w:t xml:space="preserve">                  </w:t>
            </w:r>
            <w:r>
              <w:rPr>
                <w:rFonts w:cs="Arial" w:ascii="Cambria" w:hAnsi="Cambria"/>
                <w:b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16"/>
          <w:szCs w:val="16"/>
        </w:rPr>
      </w:pPr>
      <w:r>
        <w:rPr>
          <w:rFonts w:cs="Arial" w:ascii="Cambria" w:hAnsi="Cambria"/>
          <w:b/>
          <w:sz w:val="16"/>
          <w:szCs w:val="16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 w:asciiTheme="majorHAnsi" w:hAnsiTheme="majorHAnsi"/>
          <w:b/>
          <w:sz w:val="16"/>
          <w:szCs w:val="16"/>
        </w:rPr>
        <w:t xml:space="preserve">                                                                                     </w:t>
      </w:r>
      <w:r>
        <w:rPr>
          <w:rFonts w:cs="Arial" w:ascii="Cambria" w:hAnsi="Cambria" w:asciiTheme="majorHAnsi" w:hAnsiTheme="majorHAnsi"/>
          <w:b/>
          <w:sz w:val="16"/>
          <w:szCs w:val="16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16"/>
          <w:szCs w:val="16"/>
        </w:rPr>
      </w:pPr>
      <w:r>
        <w:rPr>
          <w:rFonts w:cs="Arial" w:ascii="Cambria" w:hAnsi="Cambria"/>
          <w:b/>
          <w:sz w:val="16"/>
          <w:szCs w:val="16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  <w:sz w:val="16"/>
          <w:szCs w:val="16"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16"/>
          <w:szCs w:val="16"/>
        </w:rPr>
      </w:pPr>
      <w:r>
        <w:rPr>
          <w:rFonts w:cs="Arial" w:ascii="Cambria" w:hAnsi="Cambria"/>
          <w:b/>
          <w:sz w:val="16"/>
          <w:szCs w:val="16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  <w:sz w:val="16"/>
          <w:szCs w:val="16"/>
        </w:rPr>
        <w:t xml:space="preserve">Účtovná jednotka bude nepretržite pokračovať vo svojej činnosti: </w:t>
      </w:r>
      <w:r>
        <w:rPr/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16"/>
          <w:szCs w:val="16"/>
        </w:rPr>
      </w:pPr>
      <w:r>
        <w:rPr>
          <w:rFonts w:cs="Arial" w:ascii="Cambria" w:hAnsi="Cambria"/>
          <w:sz w:val="16"/>
          <w:szCs w:val="16"/>
        </w:rPr>
      </w:r>
    </w:p>
    <w:p>
      <w:pPr>
        <w:pStyle w:val="Normal"/>
        <w:spacing w:lineRule="auto" w:line="240"/>
        <w:jc w:val="both"/>
        <w:rPr/>
      </w:pPr>
      <w:r>
        <w:rPr>
          <w:rFonts w:cs="Arial" w:ascii="Cambria" w:hAnsi="Cambria" w:asciiTheme="majorHAnsi" w:hAnsiTheme="majorHAnsi"/>
          <w:b/>
          <w:sz w:val="16"/>
          <w:szCs w:val="16"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Mriekatabuky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16"/>
                <w:szCs w:val="16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16"/>
                <w:szCs w:val="16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16"/>
                <w:szCs w:val="16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16"/>
                <w:szCs w:val="16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 w:val="false"/>
                <w:i w:val="false"/>
                <w:iCs w:val="false"/>
                <w:sz w:val="16"/>
                <w:szCs w:val="16"/>
              </w:rPr>
            </w:pPr>
            <w:r>
              <w:rPr>
                <w:rFonts w:cs="Arial" w:ascii="Cambria" w:hAnsi="Cambria"/>
                <w:i w:val="false"/>
                <w:iCs w:val="false"/>
                <w:sz w:val="16"/>
                <w:szCs w:val="16"/>
              </w:rPr>
              <w:t>obstarávacia cena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  <w:t>áno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 w:val="false"/>
                <w:i w:val="false"/>
                <w:iCs w:val="false"/>
                <w:sz w:val="16"/>
                <w:szCs w:val="16"/>
              </w:rPr>
            </w:pPr>
            <w:r>
              <w:rPr>
                <w:rFonts w:cs="Arial" w:ascii="Cambria" w:hAnsi="Cambria"/>
                <w:i w:val="false"/>
                <w:iCs w:val="false"/>
                <w:sz w:val="16"/>
                <w:szCs w:val="16"/>
              </w:rPr>
              <w:t>obstarávacia cena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  <w:t>áno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 w:val="false"/>
                <w:i w:val="false"/>
                <w:iCs w:val="false"/>
                <w:sz w:val="16"/>
                <w:szCs w:val="16"/>
              </w:rPr>
            </w:pPr>
            <w:r>
              <w:rPr>
                <w:rFonts w:cs="Arial" w:ascii="Cambria" w:hAnsi="Cambria"/>
                <w:i w:val="false"/>
                <w:iCs w:val="false"/>
                <w:sz w:val="16"/>
                <w:szCs w:val="16"/>
              </w:rPr>
              <w:t>obstarávacia cena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  <w:t>áno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 w:val="false"/>
                <w:i w:val="false"/>
                <w:iCs w:val="false"/>
                <w:sz w:val="16"/>
                <w:szCs w:val="16"/>
              </w:rPr>
            </w:pPr>
            <w:r>
              <w:rPr>
                <w:rFonts w:cs="Arial" w:ascii="Cambria" w:hAnsi="Cambria"/>
                <w:i w:val="false"/>
                <w:iCs w:val="false"/>
                <w:sz w:val="16"/>
                <w:szCs w:val="16"/>
              </w:rPr>
              <w:t>obstarávacia cena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 w:val="false"/>
                <w:i w:val="false"/>
                <w:iCs w:val="false"/>
                <w:sz w:val="16"/>
                <w:szCs w:val="16"/>
              </w:rPr>
            </w:pPr>
            <w:r>
              <w:rPr>
                <w:rFonts w:cs="Arial" w:ascii="Cambria" w:hAnsi="Cambria"/>
                <w:i w:val="false"/>
                <w:iCs w:val="false"/>
                <w:sz w:val="16"/>
                <w:szCs w:val="16"/>
              </w:rPr>
              <w:t>vlastné náklady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  <w:t>áno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 w:val="false"/>
                <w:i w:val="false"/>
                <w:iCs w:val="false"/>
                <w:sz w:val="16"/>
                <w:szCs w:val="16"/>
              </w:rPr>
            </w:pPr>
            <w:r>
              <w:rPr>
                <w:rFonts w:cs="Arial" w:ascii="Cambria" w:hAnsi="Cambria"/>
                <w:i w:val="false"/>
                <w:iCs w:val="false"/>
                <w:sz w:val="16"/>
                <w:szCs w:val="16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 w:val="false"/>
                <w:i w:val="false"/>
                <w:iCs w:val="false"/>
                <w:sz w:val="16"/>
                <w:szCs w:val="16"/>
              </w:rPr>
            </w:pPr>
            <w:r>
              <w:rPr>
                <w:rFonts w:cs="Arial" w:ascii="Cambria" w:hAnsi="Cambria"/>
                <w:i w:val="false"/>
                <w:iCs w:val="false"/>
                <w:sz w:val="16"/>
                <w:szCs w:val="16"/>
              </w:rPr>
              <w:t>obstarávacia cena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  <w:t>áno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 w:val="false"/>
                <w:i w:val="false"/>
                <w:iCs w:val="false"/>
                <w:sz w:val="16"/>
                <w:szCs w:val="16"/>
              </w:rPr>
            </w:pPr>
            <w:r>
              <w:rPr>
                <w:rFonts w:cs="Arial" w:ascii="Cambria" w:hAnsi="Cambria"/>
                <w:i w:val="false"/>
                <w:iCs w:val="false"/>
                <w:sz w:val="16"/>
                <w:szCs w:val="16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 w:val="false"/>
                <w:i w:val="false"/>
                <w:iCs w:val="false"/>
                <w:sz w:val="16"/>
                <w:szCs w:val="16"/>
              </w:rPr>
            </w:pPr>
            <w:r>
              <w:rPr>
                <w:rFonts w:cs="Arial" w:ascii="Cambria" w:hAnsi="Cambria"/>
                <w:i w:val="false"/>
                <w:iCs w:val="false"/>
                <w:sz w:val="16"/>
                <w:szCs w:val="16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16"/>
          <w:szCs w:val="16"/>
        </w:rPr>
      </w:pPr>
      <w:r>
        <w:rPr>
          <w:rFonts w:cs="Arial" w:ascii="Cambria" w:hAnsi="Cambria"/>
          <w:b/>
          <w:sz w:val="16"/>
          <w:szCs w:val="16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16"/>
          <w:szCs w:val="16"/>
        </w:rPr>
      </w:pPr>
      <w:r>
        <w:rPr>
          <w:rFonts w:cs="Arial" w:ascii="Cambria" w:hAnsi="Cambria"/>
          <w:sz w:val="16"/>
          <w:szCs w:val="16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16"/>
          <w:szCs w:val="16"/>
        </w:rPr>
      </w:pPr>
      <w:r>
        <w:rPr>
          <w:rFonts w:cs="Arial" w:ascii="Cambria" w:hAnsi="Cambria"/>
          <w:sz w:val="16"/>
          <w:szCs w:val="16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16"/>
          <w:szCs w:val="16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3"/>
        <w:gridCol w:w="2260"/>
        <w:gridCol w:w="2263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16"/>
                <w:szCs w:val="16"/>
              </w:rPr>
              <w:t>Druh majetku</w:t>
            </w:r>
          </w:p>
        </w:tc>
        <w:tc>
          <w:tcPr>
            <w:tcW w:w="227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16"/>
                <w:szCs w:val="16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16"/>
                <w:szCs w:val="16"/>
              </w:rPr>
              <w:t>Sadzba odpisov</w:t>
            </w:r>
          </w:p>
        </w:tc>
        <w:tc>
          <w:tcPr>
            <w:tcW w:w="226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16"/>
                <w:szCs w:val="16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  <w:t xml:space="preserve">nehnuteľnosť   </w:t>
            </w:r>
          </w:p>
        </w:tc>
        <w:tc>
          <w:tcPr>
            <w:tcW w:w="227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  <w:t>40 rokov</w:t>
            </w:r>
          </w:p>
        </w:tc>
        <w:tc>
          <w:tcPr>
            <w:tcW w:w="226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226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  <w:t>rovnomerne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227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226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226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227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226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226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227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226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226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227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226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226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16"/>
          <w:szCs w:val="16"/>
        </w:rPr>
      </w:pPr>
      <w:r>
        <w:rPr>
          <w:rFonts w:cs="Arial" w:ascii="Cambria" w:hAnsi="Cambria"/>
          <w:sz w:val="16"/>
          <w:szCs w:val="16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16"/>
          <w:szCs w:val="16"/>
        </w:rPr>
      </w:pPr>
      <w:r>
        <w:rPr>
          <w:rFonts w:cs="Arial" w:ascii="Cambria" w:hAnsi="Cambria"/>
          <w:sz w:val="16"/>
          <w:szCs w:val="16"/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  <w:sz w:val="16"/>
              <w:szCs w:val="16"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  <w:sz w:val="16"/>
          <w:szCs w:val="16"/>
        </w:rPr>
        <w:tab/>
      </w:r>
      <w:r>
        <w:rPr>
          <w:rFonts w:eastAsia="MS Gothic" w:cs="Arial" w:ascii="Cambria" w:hAnsi="Cambria" w:asciiTheme="majorHAnsi" w:hAnsiTheme="majorHAnsi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:</w:t>
      </w:r>
    </w:p>
    <w:p>
      <w:pPr>
        <w:pStyle w:val="Normal"/>
        <w:spacing w:lineRule="auto" w:line="240" w:before="0" w:after="0"/>
        <w:jc w:val="both"/>
        <w:rPr>
          <w:sz w:val="16"/>
          <w:szCs w:val="16"/>
        </w:rPr>
      </w:pPr>
      <w:r>
        <w:rPr>
          <w:rFonts w:eastAsia="MS Gothic" w:cs="Arial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  <w:sz w:val="16"/>
              <w:szCs w:val="16"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  <w:sz w:val="16"/>
          <w:szCs w:val="16"/>
        </w:rPr>
        <w:tab/>
      </w:r>
      <w:r>
        <w:rPr>
          <w:rFonts w:eastAsia="MS Gothic" w:cs="Arial" w:ascii="Cambria" w:hAnsi="Cambria" w:asciiTheme="majorHAnsi" w:hAnsiTheme="majorHAnsi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 w:before="0" w:after="0"/>
        <w:jc w:val="both"/>
        <w:rPr>
          <w:sz w:val="16"/>
          <w:szCs w:val="16"/>
        </w:rPr>
      </w:pPr>
      <w:r>
        <w:rPr>
          <w:rFonts w:eastAsia="MS Gothic" w:cs="Arial" w:ascii="Cambria" w:hAnsi="Cambria" w:asciiTheme="majorHAnsi" w:hAnsiTheme="majorHAnsi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sz w:val="16"/>
          <w:szCs w:val="16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  <w:sz w:val="16"/>
              <w:szCs w:val="16"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  <w:sz w:val="16"/>
          <w:szCs w:val="16"/>
        </w:rPr>
        <w:tab/>
      </w:r>
      <w:r>
        <w:rPr>
          <w:rFonts w:eastAsia="MS Gothic" w:cs="Arial" w:ascii="Cambria" w:hAnsi="Cambria" w:asciiTheme="majorHAnsi" w:hAnsiTheme="majorHAnsi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interným predpisom vychádzal z predpokladaného opotrebenia zaraďovaného majetku zodpovedajúceho miere opotrebenia v bežných podmienkach jeho používania. Odpisové sadzby pre účtovné a daňové odpisy  </w:t>
      </w:r>
      <w:r>
        <w:rPr>
          <w:rFonts w:eastAsia="MS Gothic" w:cs="Arial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Arial" w:ascii="Cambria" w:hAnsi="Cambria" w:asciiTheme="majorHAnsi" w:hAnsiTheme="majorHAnsi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sz w:val="16"/>
          <w:szCs w:val="16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  <w:sz w:val="16"/>
              <w:szCs w:val="16"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  <w:sz w:val="16"/>
          <w:szCs w:val="16"/>
        </w:rPr>
        <w:tab/>
      </w:r>
      <w:r>
        <w:rPr>
          <w:rFonts w:eastAsia="MS Gothic" w:cs="Arial" w:ascii="Cambria" w:hAnsi="Cambria" w:asciiTheme="majorHAnsi" w:hAnsiTheme="majorHAnsi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Arial" w:ascii="Cambria" w:hAnsi="Cambria" w:asciiTheme="majorHAnsi" w:hAnsiTheme="majorHAnsi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16"/>
          <w:szCs w:val="16"/>
        </w:rPr>
      </w:pPr>
      <w:r>
        <w:rPr>
          <w:rFonts w:cs="Arial" w:ascii="Cambria" w:hAnsi="Cambria"/>
          <w:b/>
          <w:sz w:val="16"/>
          <w:szCs w:val="16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16"/>
          <w:szCs w:val="16"/>
        </w:rPr>
      </w:pPr>
      <w:r>
        <w:rPr>
          <w:rFonts w:cs="Arial" w:ascii="Cambria" w:hAnsi="Cambria"/>
          <w:b/>
          <w:sz w:val="16"/>
          <w:szCs w:val="16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  <w:sz w:val="16"/>
          <w:szCs w:val="16"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16"/>
          <w:szCs w:val="16"/>
        </w:rPr>
      </w:pPr>
      <w:r>
        <w:rPr>
          <w:rFonts w:cs="Arial" w:ascii="Cambria" w:hAnsi="Cambria"/>
          <w:sz w:val="16"/>
          <w:szCs w:val="16"/>
        </w:rPr>
      </w:r>
    </w:p>
    <w:p>
      <w:pPr>
        <w:pStyle w:val="Normal"/>
        <w:spacing w:lineRule="auto" w:line="240"/>
        <w:ind w:left="426" w:hanging="426"/>
        <w:jc w:val="both"/>
        <w:rPr/>
      </w:pPr>
      <w:r>
        <w:rPr>
          <w:rFonts w:cs="Arial" w:ascii="Cambria" w:hAnsi="Cambria" w:asciiTheme="majorHAnsi" w:hAnsiTheme="majorHAnsi"/>
          <w:sz w:val="16"/>
          <w:szCs w:val="16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16"/>
                <w:szCs w:val="16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16"/>
                <w:szCs w:val="16"/>
              </w:rPr>
              <w:t>alebo metódy</w:t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16"/>
                <w:szCs w:val="16"/>
              </w:rPr>
              <w:t>Dôvod zmeny</w:t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16"/>
                <w:szCs w:val="16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12"/>
                <w:szCs w:val="12"/>
              </w:rPr>
            </w:pPr>
            <w:r>
              <w:rPr>
                <w:rFonts w:cs="Arial" w:ascii="Cambria" w:hAnsi="Cambria"/>
                <w:b/>
                <w:sz w:val="12"/>
                <w:szCs w:val="12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12"/>
                <w:szCs w:val="12"/>
              </w:rPr>
            </w:pPr>
            <w:r>
              <w:rPr>
                <w:rFonts w:cs="Arial" w:ascii="Cambria" w:hAnsi="Cambria"/>
                <w:b/>
                <w:sz w:val="12"/>
                <w:szCs w:val="12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12"/>
                <w:szCs w:val="12"/>
              </w:rPr>
            </w:pPr>
            <w:r>
              <w:rPr>
                <w:rFonts w:cs="Arial" w:ascii="Cambria" w:hAnsi="Cambria"/>
                <w:b/>
                <w:sz w:val="12"/>
                <w:szCs w:val="12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12"/>
                <w:szCs w:val="12"/>
              </w:rPr>
            </w:pPr>
            <w:r>
              <w:rPr>
                <w:rFonts w:cs="Arial" w:ascii="Cambria" w:hAnsi="Cambria"/>
                <w:sz w:val="12"/>
                <w:szCs w:val="12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12"/>
                <w:szCs w:val="12"/>
              </w:rPr>
            </w:pPr>
            <w:r>
              <w:rPr>
                <w:rFonts w:cs="Arial" w:ascii="Cambria" w:hAnsi="Cambria"/>
                <w:b/>
                <w:sz w:val="12"/>
                <w:szCs w:val="12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12"/>
                <w:szCs w:val="12"/>
              </w:rPr>
            </w:pPr>
            <w:r>
              <w:rPr>
                <w:rFonts w:cs="Arial" w:ascii="Cambria" w:hAnsi="Cambria"/>
                <w:b/>
                <w:sz w:val="12"/>
                <w:szCs w:val="12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12"/>
                <w:szCs w:val="12"/>
              </w:rPr>
            </w:pPr>
            <w:r>
              <w:rPr>
                <w:rFonts w:cs="Arial" w:ascii="Cambria" w:hAnsi="Cambria"/>
                <w:sz w:val="12"/>
                <w:szCs w:val="12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12"/>
                <w:szCs w:val="12"/>
              </w:rPr>
            </w:pPr>
            <w:r>
              <w:rPr>
                <w:rFonts w:cs="Arial" w:ascii="Cambria" w:hAnsi="Cambria"/>
                <w:b/>
                <w:sz w:val="12"/>
                <w:szCs w:val="12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12"/>
                <w:szCs w:val="12"/>
              </w:rPr>
            </w:pPr>
            <w:r>
              <w:rPr>
                <w:rFonts w:cs="Arial" w:ascii="Cambria" w:hAnsi="Cambria"/>
                <w:b/>
                <w:sz w:val="12"/>
                <w:szCs w:val="12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12"/>
                <w:szCs w:val="12"/>
              </w:rPr>
            </w:pPr>
            <w:r>
              <w:rPr>
                <w:rFonts w:cs="Arial" w:ascii="Cambria" w:hAnsi="Cambria"/>
                <w:sz w:val="12"/>
                <w:szCs w:val="12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12"/>
                <w:szCs w:val="12"/>
              </w:rPr>
            </w:pPr>
            <w:r>
              <w:rPr>
                <w:rFonts w:cs="Arial" w:ascii="Cambria" w:hAnsi="Cambria"/>
                <w:b/>
                <w:sz w:val="12"/>
                <w:szCs w:val="12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12"/>
                <w:szCs w:val="12"/>
              </w:rPr>
            </w:pPr>
            <w:r>
              <w:rPr>
                <w:rFonts w:cs="Arial" w:ascii="Cambria" w:hAnsi="Cambria"/>
                <w:b/>
                <w:sz w:val="12"/>
                <w:szCs w:val="12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12"/>
                <w:szCs w:val="12"/>
              </w:rPr>
            </w:pPr>
            <w:r>
              <w:rPr>
                <w:rFonts w:cs="Arial" w:ascii="Cambria" w:hAnsi="Cambria"/>
                <w:sz w:val="12"/>
                <w:szCs w:val="12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12"/>
                <w:szCs w:val="12"/>
              </w:rPr>
            </w:pPr>
            <w:r>
              <w:rPr>
                <w:rFonts w:cs="Arial" w:ascii="Cambria" w:hAnsi="Cambria"/>
                <w:b/>
                <w:sz w:val="12"/>
                <w:szCs w:val="12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12"/>
                <w:szCs w:val="12"/>
              </w:rPr>
            </w:pPr>
            <w:r>
              <w:rPr>
                <w:rFonts w:cs="Arial" w:ascii="Cambria" w:hAnsi="Cambria"/>
                <w:b/>
                <w:sz w:val="12"/>
                <w:szCs w:val="12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12"/>
                <w:szCs w:val="12"/>
              </w:rPr>
            </w:pPr>
            <w:r>
              <w:rPr>
                <w:rFonts w:cs="Arial" w:ascii="Cambria" w:hAnsi="Cambria"/>
                <w:sz w:val="12"/>
                <w:szCs w:val="12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12"/>
                <w:szCs w:val="12"/>
              </w:rPr>
            </w:pPr>
            <w:r>
              <w:rPr>
                <w:rFonts w:cs="Arial" w:ascii="Cambria" w:hAnsi="Cambria"/>
                <w:b/>
                <w:sz w:val="12"/>
                <w:szCs w:val="12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12"/>
                <w:szCs w:val="12"/>
              </w:rPr>
            </w:pPr>
            <w:r>
              <w:rPr>
                <w:rFonts w:cs="Arial" w:ascii="Cambria" w:hAnsi="Cambria"/>
                <w:b/>
                <w:sz w:val="12"/>
                <w:szCs w:val="12"/>
              </w:rPr>
            </w:r>
          </w:p>
        </w:tc>
      </w:tr>
    </w:tbl>
    <w:p>
      <w:pPr>
        <w:pStyle w:val="Normal"/>
        <w:spacing w:lineRule="auto" w:line="240" w:before="240" w:after="200"/>
        <w:ind w:left="426" w:hanging="426"/>
        <w:jc w:val="both"/>
        <w:rPr/>
      </w:pPr>
      <w:r>
        <w:rPr>
          <w:rFonts w:eastAsia="MS Gothic" w:cs="Arial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</w:t>
      </w:r>
      <w:r>
        <w:rPr>
          <w:rFonts w:cs="Arial" w:ascii="Cambria" w:hAnsi="Cambria" w:asciiTheme="majorHAnsi" w:hAnsiTheme="majorHAnsi"/>
          <w:b/>
          <w:sz w:val="16"/>
          <w:szCs w:val="16"/>
        </w:rPr>
        <w:t>II. 5 Dotácie poskytnuté na obstaranie majetku:</w:t>
      </w:r>
    </w:p>
    <w:tbl>
      <w:tblPr>
        <w:tblStyle w:val="Mriekatabuky"/>
        <w:tblW w:w="895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>Majetok obstaraný z dotácie</w:t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301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301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301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ind w:left="426" w:hanging="426"/>
        <w:jc w:val="both"/>
        <w:rPr/>
      </w:pPr>
      <w:r>
        <w:rPr>
          <w:rFonts w:cs="Arial" w:ascii="Cambria" w:hAnsi="Cambria" w:asciiTheme="majorHAnsi" w:hAnsiTheme="majorHAnsi"/>
          <w:b/>
          <w:sz w:val="16"/>
          <w:szCs w:val="16"/>
        </w:rPr>
        <w:t>II. 6 Oprava významných a nevýznamných chýb minulých účtovných období vykonaných v bežnom účtovnom období:</w:t>
      </w:r>
    </w:p>
    <w:tbl>
      <w:tblPr>
        <w:tblStyle w:val="Mriekatabuky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>Druh opravy</w:t>
            </w:r>
          </w:p>
        </w:tc>
        <w:tc>
          <w:tcPr>
            <w:tcW w:w="300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>Suma</w:t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16"/>
                <w:szCs w:val="16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16"/>
                <w:szCs w:val="16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16"/>
                <w:szCs w:val="16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16"/>
                <w:szCs w:val="16"/>
              </w:rPr>
            </w:pPr>
            <w:r>
              <w:rPr>
                <w:rFonts w:cs="Arial" w:ascii="Cambria" w:hAnsi="Cambri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i/>
          <w:i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16"/>
          <w:szCs w:val="16"/>
        </w:rPr>
      </w:pPr>
      <w:r>
        <w:rPr>
          <w:rFonts w:cs="Arial" w:ascii="Cambria" w:hAnsi="Cambria"/>
          <w:b/>
          <w:sz w:val="16"/>
          <w:szCs w:val="16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16"/>
          <w:szCs w:val="16"/>
        </w:rPr>
        <w:t xml:space="preserve">                                                 </w:t>
      </w:r>
      <w:r>
        <w:rPr>
          <w:rFonts w:cs="Arial" w:ascii="Cambria" w:hAnsi="Cambria" w:asciiTheme="majorHAnsi" w:hAnsiTheme="majorHAnsi"/>
          <w:b/>
          <w:sz w:val="16"/>
          <w:szCs w:val="16"/>
        </w:rPr>
        <w:t>Článok III – Informácie, ktoré vysvetľujú a dopĺňajú súvahu a výkaz ziskov a strát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16"/>
          <w:szCs w:val="16"/>
        </w:rPr>
      </w:pPr>
      <w:r>
        <w:rPr>
          <w:rFonts w:cs="Arial" w:ascii="Cambria" w:hAnsi="Cambria"/>
          <w:b/>
          <w:sz w:val="16"/>
          <w:szCs w:val="16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 výnosov, ktoré majú výnimočný rozsah alebo výskyt: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2a) Informácie o záväzkoch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2"/>
        <w:gridCol w:w="2823"/>
      </w:tblGrid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2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2" w:type="dxa"/>
            <w:tcBorders>
              <w:top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</w:t>
            </w:r>
            <w:r>
              <w:rPr>
                <w:rFonts w:eastAsia="MS Gothic" w:cs="Times New Roman" w:ascii="Cambria" w:hAnsi="Cambria"/>
                <w:b w:val="false"/>
                <w:bCs w:val="false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11911</w:t>
            </w:r>
          </w:p>
        </w:tc>
        <w:tc>
          <w:tcPr>
            <w:tcW w:w="28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 Hodnota záväzkov zabezpečená záložným právom: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6"/>
        <w:gridCol w:w="2539"/>
      </w:tblGrid>
      <w:tr>
        <w:trPr/>
        <w:tc>
          <w:tcPr>
            <w:tcW w:w="3387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9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>
              <w:top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9" w:type="dxa"/>
            <w:tcBorders>
              <w:top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9" w:type="dxa"/>
            <w:tcBorders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9" w:type="dxa"/>
            <w:tcBorders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9" w:type="dxa"/>
            <w:tcBorders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left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9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/>
      </w:pPr>
      <w:r>
        <w:rPr>
          <w:rFonts w:eastAsia="MS Gothic" w:cs="Times New Roman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3 </w:t>
      </w:r>
      <w:r>
        <w:rPr>
          <w:rFonts w:eastAsia="MS Gothic" w:cs="Arial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041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2"/>
        <w:gridCol w:w="2113"/>
        <w:gridCol w:w="1980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8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6" w:type="dxa"/>
            <w:vMerge w:val="restart"/>
            <w:tcBorders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8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6" w:type="dxa"/>
            <w:vMerge w:val="continue"/>
            <w:tcBorders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upísanom ZI v %</w:t>
            </w:r>
          </w:p>
        </w:tc>
        <w:tc>
          <w:tcPr>
            <w:tcW w:w="198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upísanom ZI v %</w:t>
            </w:r>
          </w:p>
        </w:tc>
        <w:tc>
          <w:tcPr>
            <w:tcW w:w="1556" w:type="dxa"/>
            <w:vMerge w:val="continue"/>
            <w:tcBorders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8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3" w:type="dxa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80" w:type="dxa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3" w:type="dxa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3" w:type="dxa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3" w:type="dxa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3" w:type="dxa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3" w:type="dxa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3" w:type="dxa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eastAsia="MS Gothic" w:cs="Times New Roman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>
        <w:rPr>
          <w:rFonts w:eastAsia="MS Gothic" w:cs="Times New Roman" w:ascii="Cambria" w:hAnsi="Cambria" w:asciiTheme="majorHAnsi" w:hAnsiTheme="majorHAnsi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5 a), b), d) Informácie o orgánoch účtovnej jednotky:</w:t>
      </w:r>
    </w:p>
    <w:tbl>
      <w:tblPr>
        <w:tblStyle w:val="Mriekatabuky"/>
        <w:tblW w:w="9043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699"/>
        <w:gridCol w:w="1392"/>
        <w:gridCol w:w="1193"/>
        <w:gridCol w:w="1013"/>
        <w:gridCol w:w="1393"/>
        <w:gridCol w:w="1256"/>
        <w:gridCol w:w="1096"/>
      </w:tblGrid>
      <w:tr>
        <w:trPr>
          <w:trHeight w:val="828" w:hRule="atLeast"/>
        </w:trPr>
        <w:tc>
          <w:tcPr>
            <w:tcW w:w="16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9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4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699" w:type="dxa"/>
            <w:vMerge w:val="continue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93" w:type="dxa"/>
            <w:tcBorders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13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56" w:type="dxa"/>
            <w:tcBorders>
              <w:bottom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96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3" w:type="dxa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top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6" w:type="dxa"/>
            <w:tcBorders>
              <w:top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6" w:type="dxa"/>
            <w:tcBorders>
              <w:top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92" w:type="dxa"/>
            <w:tcBorders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3" w:type="dxa"/>
            <w:tcBorders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6" w:type="dxa"/>
            <w:tcBorders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92" w:type="dxa"/>
            <w:tcBorders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3" w:type="dxa"/>
            <w:tcBorders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6" w:type="dxa"/>
            <w:tcBorders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92" w:type="dxa"/>
            <w:tcBorders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3" w:type="dxa"/>
            <w:tcBorders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6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6" w:type="dxa"/>
            <w:tcBorders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súkromné účely na vyúčtovanie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3" w:type="dxa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6" w:type="dxa"/>
            <w:tcBorders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6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5 c) Hlavné podmienky, na základe ktorých boli záruky alebo iné zabezpečenia 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</w:t>
      </w:r>
      <w:r>
        <w:rPr>
          <w:rFonts w:eastAsia="MS Gothic" w:cs="Times New Roman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a) 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5"/>
        <w:gridCol w:w="2684"/>
      </w:tblGrid>
      <w:tr>
        <w:trPr/>
        <w:tc>
          <w:tcPr>
            <w:tcW w:w="38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20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b) Informácie o významných podmienených záväzkoch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Cambria" w:hAnsi="Cambria" w:eastAsia="Times New Roman" w:cs="Times New Roman" w:asciiTheme="majorHAnsi" w:hAnsiTheme="majorHAnsi"/>
          <w:b/>
          <w:b/>
          <w:bCs/>
          <w:color w:val="000000"/>
          <w:sz w:val="16"/>
          <w:szCs w:val="16"/>
          <w:lang w:eastAsia="sk-SK"/>
        </w:rPr>
      </w:pPr>
      <w:r>
        <w:rPr>
          <w:rFonts w:eastAsia="Times New Roman" w:cs="Times New Roman" w:ascii="Cambria" w:hAnsi="Cambria"/>
          <w:b/>
          <w:bCs/>
          <w:color w:val="000000"/>
          <w:sz w:val="16"/>
          <w:szCs w:val="16"/>
          <w:lang w:eastAsia="sk-SK"/>
        </w:rPr>
      </w:r>
    </w:p>
    <w:p>
      <w:pPr>
        <w:pStyle w:val="Normal"/>
        <w:spacing w:lineRule="auto" w:line="240" w:before="120" w:after="0"/>
        <w:jc w:val="both"/>
        <w:rPr>
          <w:rFonts w:ascii="Cambria" w:hAnsi="Cambria" w:eastAsia="Times New Roman" w:cs="Times New Roman" w:asciiTheme="majorHAnsi" w:hAnsiTheme="majorHAnsi"/>
          <w:b/>
          <w:b/>
          <w:bCs/>
          <w:color w:val="000000"/>
          <w:lang w:eastAsia="sk-SK"/>
        </w:rPr>
      </w:pPr>
      <w:r>
        <w:rPr>
          <w:rFonts w:eastAsia="Times New Roman" w:cs="Times New Roman" w:ascii="Cambria" w:hAnsi="Cambria" w:asciiTheme="majorHAnsi" w:hAnsiTheme="majorHAnsi"/>
          <w:b/>
          <w:bCs/>
          <w:color w:val="000000"/>
          <w:sz w:val="16"/>
          <w:szCs w:val="16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>
          <w:sz w:val="16"/>
          <w:szCs w:val="16"/>
        </w:rPr>
      </w:pPr>
      <w:r>
        <w:rPr>
          <w:rFonts w:eastAsia="MS Gothic" w:cs="Arial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</w:rPr>
      </w:pPr>
      <w:r>
        <w:rPr>
          <w:rFonts w:eastAsia="MS Gothic" w:cs="Times New Roman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7  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spacing w:lineRule="auto" w:line="240" w:before="240" w:after="200"/>
        <w:ind w:right="-141" w:hanging="0"/>
        <w:jc w:val="both"/>
        <w:rPr>
          <w:sz w:val="16"/>
          <w:szCs w:val="16"/>
        </w:rPr>
      </w:pPr>
      <w:r>
        <w:rPr>
          <w:rFonts w:eastAsia="MS Gothic" w:cs="Arial" w:ascii="Cambria" w:hAnsi="Cambria" w:asciiTheme="majorHAnsi" w:hAnsiTheme="majorHAnsi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343447249"/>
      <w:alias w:val="materská účtovná jednotka"/>
    </w:sdtPr>
    <w:sdtContent>
      <w:p>
        <w:pPr>
          <w:pStyle w:val="Pta"/>
          <w:jc w:val="right"/>
          <w:rPr/>
        </w:pPr>
        <w:r>
          <w:rPr>
            <w:rFonts w:ascii="Cambria" w:hAnsi="Cambria"/>
          </w:rPr>
          <w:fldChar w:fldCharType="begin"/>
        </w:r>
        <w:r>
          <w:rPr>
            <w:rFonts w:ascii="Cambria" w:hAnsi="Cambria"/>
          </w:rPr>
          <w:instrText> PAGE </w:instrText>
        </w:r>
        <w:r>
          <w:rPr>
            <w:rFonts w:ascii="Cambria" w:hAnsi="Cambria"/>
          </w:rPr>
          <w:fldChar w:fldCharType="separate"/>
        </w:r>
        <w:r>
          <w:rPr>
            <w:rFonts w:ascii="Cambria" w:hAnsi="Cambria"/>
          </w:rPr>
          <w:t>3</w:t>
        </w:r>
        <w:r>
          <w:rPr>
            <w:rFonts w:ascii="Cambria" w:hAnsi="Cambria"/>
          </w:rP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jc w:val="right"/>
      <w:rPr/>
    </w:pPr>
    <w:sdt>
      <w:sdtPr>
        <w:text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alias w:val="Title"/>
      </w:sdtPr>
      <w:sdtContent>
        <w:r>
          <w:rPr>
            <w:rFonts w:ascii="Cambria" w:hAnsi="Cambria" w:asciiTheme="majorHAnsi" w:hAnsiTheme="majorHAnsi"/>
            <w:sz w:val="16"/>
            <w:szCs w:val="16"/>
          </w:rPr>
          <w:t>Poznámky Úč MÚJ</w:t>
        </w:r>
        <w:r>
          <w:rPr>
            <w:rFonts w:ascii="Cambria" w:hAnsi="Cambria" w:asciiTheme="majorHAnsi" w:hAnsiTheme="majorHAnsi"/>
            <w:sz w:val="16"/>
            <w:szCs w:val="16"/>
          </w:rPr>
          <w:t xml:space="preserve"> 3 - 01</w:t>
        </w:r>
      </w:sdtContent>
    </w:sdt>
  </w:p>
  <w:p>
    <w:pPr>
      <w:pStyle w:val="Hlavika"/>
      <w:rPr>
        <w:rFonts w:ascii="Cambria" w:hAnsi="Cambria" w:asciiTheme="majorHAnsi" w:hAnsiTheme="majorHAnsi"/>
        <w:sz w:val="16"/>
        <w:szCs w:val="16"/>
      </w:rPr>
    </w:pPr>
    <w:r>
      <w:rPr>
        <w:rFonts w:asciiTheme="majorHAnsi" w:hAnsiTheme="majorHAnsi" w:ascii="Cambria" w:hAnsi="Cambria"/>
        <w:sz w:val="16"/>
        <w:szCs w:val="16"/>
      </w:rPr>
    </w:r>
  </w:p>
  <w:tbl>
    <w:tblPr>
      <w:tblStyle w:val="Mriekatabuky"/>
      <w:tblW w:w="7212" w:type="dxa"/>
      <w:jc w:val="right"/>
      <w:tblInd w:w="0" w:type="dxa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5"/>
      <w:gridCol w:w="284"/>
      <w:gridCol w:w="285"/>
      <w:gridCol w:w="284"/>
      <w:gridCol w:w="284"/>
      <w:gridCol w:w="285"/>
      <w:gridCol w:w="856"/>
      <w:gridCol w:w="623"/>
      <w:gridCol w:w="287"/>
      <w:gridCol w:w="284"/>
      <w:gridCol w:w="284"/>
      <w:gridCol w:w="286"/>
      <w:gridCol w:w="285"/>
      <w:gridCol w:w="285"/>
      <w:gridCol w:w="282"/>
      <w:gridCol w:w="285"/>
      <w:gridCol w:w="286"/>
      <w:gridCol w:w="268"/>
    </w:tblGrid>
    <w:tr>
      <w:trPr>
        <w:trHeight w:val="340" w:hRule="atLeast"/>
      </w:trPr>
      <w:tc>
        <w:tcPr>
          <w:tcW w:w="623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IČO: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3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4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1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0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4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3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2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1</w:t>
          </w:r>
        </w:p>
      </w:tc>
      <w:tc>
        <w:tcPr>
          <w:tcW w:w="856" w:type="dxa"/>
          <w:tcBorders>
            <w:top w:val="nil"/>
            <w:bottom w:val="nil"/>
          </w:tcBorders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16"/>
              <w:szCs w:val="16"/>
            </w:rPr>
          </w:pPr>
          <w:r>
            <w:rPr>
              <w:rFonts w:asciiTheme="majorHAnsi" w:hAnsiTheme="majorHAnsi" w:ascii="Cambria" w:hAnsi="Cambria"/>
              <w:sz w:val="16"/>
              <w:szCs w:val="16"/>
            </w:rPr>
          </w:r>
        </w:p>
      </w:tc>
      <w:tc>
        <w:tcPr>
          <w:tcW w:w="623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DIČ:</w:t>
          </w:r>
        </w:p>
      </w:tc>
      <w:tc>
        <w:tcPr>
          <w:tcW w:w="287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0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2</w:t>
          </w:r>
        </w:p>
      </w:tc>
      <w:tc>
        <w:tcPr>
          <w:tcW w:w="286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0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4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2</w:t>
          </w:r>
        </w:p>
      </w:tc>
      <w:tc>
        <w:tcPr>
          <w:tcW w:w="282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0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1</w:t>
          </w:r>
        </w:p>
      </w:tc>
      <w:tc>
        <w:tcPr>
          <w:tcW w:w="286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4</w:t>
          </w:r>
        </w:p>
      </w:tc>
      <w:tc>
        <w:tcPr>
          <w:tcW w:w="268" w:type="dxa"/>
          <w:tcBorders/>
          <w:shd w:fill="auto" w:val="clear"/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16"/>
              <w:szCs w:val="16"/>
            </w:rPr>
            <w:t>9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val="bestFit" w:percent="221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Nadpis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f0301d"/>
    <w:rPr/>
  </w:style>
  <w:style w:type="character" w:styleId="PtaChar" w:customStyle="1">
    <w:name w:val="Päta Char"/>
    <w:basedOn w:val="DefaultParagraphFont"/>
    <w:link w:val="Pta"/>
    <w:uiPriority w:val="99"/>
    <w:qFormat/>
    <w:rsid w:val="00f0301d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Nadpis1Char" w:customStyle="1">
    <w:name w:val="Nadpis 1 Char"/>
    <w:basedOn w:val="DefaultParagraphFont"/>
    <w:link w:val="Nadpis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HornokrajformulraChar" w:customStyle="1">
    <w:name w:val="z-Horný okraj formulára Char"/>
    <w:basedOn w:val="DefaultParagraphFont"/>
    <w:link w:val="z-Hornokrajformulra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SpodnokrajformulraChar" w:customStyle="1">
    <w:name w:val="z-Spodný okraj formulára Char"/>
    <w:basedOn w:val="DefaultParagraphFont"/>
    <w:link w:val="z-Spodnokrajformulra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TextkomentraChar" w:customStyle="1">
    <w:name w:val="Text komentára Char"/>
    <w:basedOn w:val="DefaultParagraphFont"/>
    <w:link w:val="Textkomentra"/>
    <w:uiPriority w:val="99"/>
    <w:semiHidden/>
    <w:qFormat/>
    <w:rsid w:val="00c93dc7"/>
    <w:rPr>
      <w:sz w:val="20"/>
      <w:szCs w:val="20"/>
    </w:rPr>
  </w:style>
  <w:style w:type="character" w:styleId="PredmetkomentraChar" w:customStyle="1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styleId="CitciaChar" w:customStyle="1">
    <w:name w:val="Citácia Char"/>
    <w:basedOn w:val="DefaultParagraphFont"/>
    <w:link w:val="Citcia"/>
    <w:uiPriority w:val="29"/>
    <w:qFormat/>
    <w:rsid w:val="00567bed"/>
    <w:rPr>
      <w:i/>
      <w:iCs/>
      <w:color w:val="000000" w:themeColor="text1"/>
    </w:rPr>
  </w:style>
  <w:style w:type="character" w:styleId="Nadpis2Char" w:customStyle="1">
    <w:name w:val="Nadpis 2 Char"/>
    <w:basedOn w:val="DefaultParagraphFont"/>
    <w:link w:val="Nadpis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HornokrajformulraChar"/>
    <w:uiPriority w:val="99"/>
    <w:semiHidden/>
    <w:unhideWhenUsed/>
    <w:qFormat/>
    <w:rsid w:val="00361862"/>
    <w:pPr>
      <w:pBdr>
        <w:bottom w:val="single" w:sz="6" w:space="1" w:color="000000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SpodnokrajformulraChar"/>
    <w:uiPriority w:val="99"/>
    <w:semiHidden/>
    <w:unhideWhenUsed/>
    <w:qFormat/>
    <w:rsid w:val="00361862"/>
    <w:pPr>
      <w:pBdr>
        <w:top w:val="single" w:sz="6" w:space="1" w:color="000000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Textkomentra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Predmetkomentra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Citcia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A51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Application>LibreOffice/6.3.6.2$Windows_X86_64 LibreOffice_project/2196df99b074d8a661f4036fca8fa0cbfa33a497</Application>
  <Pages>5</Pages>
  <Words>985</Words>
  <Characters>6066</Characters>
  <CharactersWithSpaces>7299</CharactersWithSpaces>
  <Paragraphs>191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2023-01-16T09:07:00Z</dcterms:created>
  <dc:creator>R</dc:creator>
  <dc:description/>
  <dc:language>sk-SK</dc:language>
  <cp:lastModifiedBy/>
  <cp:lastPrinted>2018-01-31T17:17:00Z</cp:lastPrinted>
  <dcterms:modified xsi:type="dcterms:W3CDTF">2023-06-19T08:58:36Z</dcterms:modified>
  <cp:revision>12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4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