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glossary/_rels/document.xml.rels" ContentType="application/vnd.openxmlformats-package.relationships+xml"/>
  <Override PartName="/word/glossary/document.xml" ContentType="application/vnd.openxmlformats-officedocument.wordprocessingml.document.glossary+xml"/>
  <Override PartName="/word/glossary/webSettings.xml" ContentType="application/vnd.openxmlformats-officedocument.wordprocessingml.webSettings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fontTable.xml" ContentType="application/vnd.openxmlformats-officedocument.wordprocessingml.fontTable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_rels/document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ListParagraph"/>
        <w:ind w:left="426" w:hanging="426"/>
        <w:jc w:val="center"/>
        <w:rPr>
          <w:rFonts w:ascii="Cambria" w:hAnsi="Cambria" w:cs="Arial" w:asciiTheme="majorHAnsi" w:hAnsiTheme="majorHAnsi"/>
          <w:b/>
          <w:b/>
          <w:sz w:val="24"/>
          <w:szCs w:val="24"/>
        </w:rPr>
      </w:pPr>
      <w:r>
        <w:rPr>
          <w:rFonts w:cs="Arial" w:ascii="Cambria" w:hAnsi="Cambria"/>
          <w:b/>
          <w:sz w:val="24"/>
          <w:szCs w:val="24"/>
        </w:rPr>
      </w:r>
    </w:p>
    <w:p>
      <w:pPr>
        <w:pStyle w:val="ListParagraph"/>
        <w:ind w:left="426" w:hanging="426"/>
        <w:jc w:val="both"/>
        <w:rPr/>
      </w:pPr>
      <w:r>
        <w:rPr>
          <w:rFonts w:cs="Arial" w:ascii="Cambria" w:hAnsi="Cambria" w:asciiTheme="majorHAnsi" w:hAnsiTheme="majorHAnsi"/>
          <w:b/>
          <w:sz w:val="16"/>
          <w:szCs w:val="16"/>
        </w:rPr>
        <w:t xml:space="preserve">                                                                                                          </w:t>
      </w:r>
      <w:r>
        <w:rPr>
          <w:rFonts w:cs="Arial" w:ascii="Cambria" w:hAnsi="Cambria" w:asciiTheme="majorHAnsi" w:hAnsiTheme="majorHAnsi"/>
          <w:b/>
          <w:sz w:val="16"/>
          <w:szCs w:val="16"/>
        </w:rPr>
        <w:t>Článok I - Všeobecné údaje</w:t>
      </w:r>
    </w:p>
    <w:p>
      <w:pPr>
        <w:pStyle w:val="Normal"/>
        <w:spacing w:lineRule="auto" w:line="240" w:before="0" w:after="0"/>
        <w:ind w:left="426" w:hanging="426"/>
        <w:jc w:val="both"/>
        <w:rPr/>
      </w:pPr>
      <w:r>
        <w:rPr>
          <w:rFonts w:cs="Arial" w:ascii="Cambria" w:hAnsi="Cambria"/>
          <w:b/>
          <w:sz w:val="16"/>
          <w:szCs w:val="16"/>
        </w:rPr>
        <w:t>I.1</w:t>
        <w:tab/>
        <w:t>Názov právnickej osoby: NOVOSTAV Topoľčany s.r.o.</w:t>
      </w:r>
    </w:p>
    <w:p>
      <w:pPr>
        <w:pStyle w:val="Normal"/>
        <w:spacing w:lineRule="auto" w:line="240" w:before="0" w:after="0"/>
        <w:ind w:left="426" w:hanging="426"/>
        <w:jc w:val="both"/>
        <w:rPr/>
      </w:pPr>
      <w:r>
        <w:fldChar w:fldCharType="begin">
          <w:ffData>
            <w:name w:val="Text19"/>
            <w:enabled/>
            <w:calcOnExit w:val="0"/>
            <w:textInput/>
          </w:ffData>
        </w:fldChar>
      </w:r>
      <w:r>
        <w:rPr/>
        <w:instrText> FORMTEXT </w:instrText>
      </w:r>
      <w:r>
        <w:rPr/>
        <w:fldChar w:fldCharType="separate"/>
      </w:r>
      <w:bookmarkStart w:id="0" w:name="Text19"/>
      <w:r>
        <w:rPr/>
      </w:r>
      <w:r>
        <w:rPr/>
      </w:r>
      <w:r>
        <w:rPr/>
        <w:fldChar w:fldCharType="end"/>
      </w:r>
      <w:bookmarkEnd w:id="0"/>
    </w:p>
    <w:p>
      <w:pPr>
        <w:pStyle w:val="Normal"/>
        <w:spacing w:lineRule="auto" w:line="240" w:before="0" w:after="0"/>
        <w:ind w:left="426" w:hanging="426"/>
        <w:jc w:val="both"/>
        <w:rPr/>
      </w:pPr>
      <w:r>
        <w:rPr>
          <w:rFonts w:cs="Arial" w:ascii="Cambria" w:hAnsi="Cambria"/>
          <w:b/>
          <w:sz w:val="16"/>
          <w:szCs w:val="16"/>
        </w:rPr>
        <w:t xml:space="preserve">       </w:t>
      </w:r>
      <w:r>
        <w:rPr>
          <w:rFonts w:cs="Arial" w:ascii="Cambria" w:hAnsi="Cambria"/>
          <w:b/>
          <w:sz w:val="16"/>
          <w:szCs w:val="16"/>
        </w:rPr>
        <w:tab/>
        <w:t>Sídlo účtovnej jednotky</w:t>
      </w:r>
      <w:r>
        <w:rPr>
          <w:rFonts w:cs="Arial" w:ascii="Cambria" w:hAnsi="Cambria"/>
          <w:sz w:val="16"/>
          <w:szCs w:val="16"/>
        </w:rPr>
        <w:t xml:space="preserve">: </w:t>
      </w:r>
      <w:r>
        <w:fldChar w:fldCharType="begin">
          <w:ffData>
            <w:name w:val="Text20"/>
            <w:enabled/>
            <w:calcOnExit w:val="0"/>
            <w:textInput/>
          </w:ffData>
        </w:fldChar>
      </w:r>
      <w:r>
        <w:rPr>
          <w:sz w:val="16"/>
          <w:szCs w:val="16"/>
          <w:rFonts w:cs="Arial" w:ascii="Cambria" w:hAnsi="Cambria"/>
        </w:rPr>
        <w:instrText> FORMTEXT </w:instrText>
      </w:r>
      <w:r>
        <w:rPr>
          <w:sz w:val="16"/>
          <w:szCs w:val="16"/>
          <w:rFonts w:cs="Arial" w:ascii="Cambria" w:hAnsi="Cambria"/>
        </w:rPr>
        <w:fldChar w:fldCharType="separate"/>
      </w:r>
      <w:bookmarkStart w:id="1" w:name="Text20"/>
      <w:r>
        <w:rPr>
          <w:rFonts w:cs="Arial" w:ascii="Cambria" w:hAnsi="Cambria"/>
          <w:sz w:val="16"/>
          <w:szCs w:val="16"/>
        </w:rPr>
        <w:t>Streďanská 4056</w:t>
      </w:r>
      <w:r>
        <w:rPr>
          <w:rFonts w:cs="Arial" w:ascii="Cambria" w:hAnsi="Cambria"/>
          <w:sz w:val="16"/>
          <w:szCs w:val="16"/>
        </w:rPr>
      </w:r>
      <w:r>
        <w:rPr>
          <w:sz w:val="16"/>
          <w:szCs w:val="16"/>
          <w:rFonts w:cs="Arial" w:ascii="Cambria" w:hAnsi="Cambria"/>
        </w:rPr>
        <w:fldChar w:fldCharType="end"/>
      </w:r>
      <w:bookmarkEnd w:id="1"/>
    </w:p>
    <w:p>
      <w:pPr>
        <w:pStyle w:val="Normal"/>
        <w:spacing w:lineRule="auto" w:line="240" w:before="0" w:after="0"/>
        <w:ind w:left="426" w:hanging="426"/>
        <w:jc w:val="both"/>
        <w:rPr>
          <w:sz w:val="16"/>
          <w:szCs w:val="16"/>
        </w:rPr>
      </w:pPr>
      <w:r>
        <w:rPr>
          <w:rFonts w:cs="Arial" w:ascii="Cambria" w:hAnsi="Cambria"/>
          <w:i/>
          <w:sz w:val="16"/>
          <w:szCs w:val="16"/>
        </w:rPr>
        <w:t xml:space="preserve">                                                             </w:t>
      </w:r>
      <w:r>
        <w:rPr>
          <w:rFonts w:cs="Arial" w:ascii="Cambria" w:hAnsi="Cambria"/>
          <w:i/>
          <w:sz w:val="16"/>
          <w:szCs w:val="16"/>
        </w:rPr>
        <w:t>955 01 Topoľčany</w:t>
      </w:r>
    </w:p>
    <w:p>
      <w:pPr>
        <w:pStyle w:val="Normal"/>
        <w:spacing w:lineRule="auto" w:line="240" w:before="0" w:after="0"/>
        <w:ind w:left="426" w:hanging="426"/>
        <w:jc w:val="both"/>
        <w:rPr/>
      </w:pPr>
      <w:r>
        <w:rPr>
          <w:rFonts w:cs="Arial" w:ascii="Cambria" w:hAnsi="Cambria"/>
          <w:b/>
          <w:sz w:val="16"/>
          <w:szCs w:val="16"/>
        </w:rPr>
        <w:tab/>
      </w:r>
    </w:p>
    <w:p>
      <w:pPr>
        <w:pStyle w:val="Normal"/>
        <w:spacing w:lineRule="auto" w:line="240" w:before="0" w:after="0"/>
        <w:ind w:left="426" w:hanging="426"/>
        <w:jc w:val="both"/>
        <w:rPr>
          <w:rFonts w:ascii="Cambria" w:hAnsi="Cambria" w:cs="Arial"/>
          <w:b/>
          <w:b/>
        </w:rPr>
      </w:pPr>
      <w:r>
        <w:rPr>
          <w:rFonts w:cs="Arial" w:ascii="Cambria" w:hAnsi="Cambria"/>
          <w:b/>
          <w:sz w:val="16"/>
          <w:szCs w:val="16"/>
        </w:rPr>
        <w:t>I.2</w:t>
        <w:tab/>
        <w:t>Údaje o konsolidovanom celku, ak je účtovná jednotka jeho súčasťou:</w:t>
      </w:r>
    </w:p>
    <w:p>
      <w:pPr>
        <w:pStyle w:val="ListParagraph"/>
        <w:numPr>
          <w:ilvl w:val="0"/>
          <w:numId w:val="1"/>
        </w:numPr>
        <w:spacing w:lineRule="auto" w:line="240" w:before="0" w:after="0"/>
        <w:ind w:left="426" w:hanging="426"/>
        <w:contextualSpacing/>
        <w:jc w:val="both"/>
        <w:rPr/>
      </w:pPr>
      <w:r>
        <w:rPr>
          <w:rFonts w:cs="Arial" w:ascii="Cambria" w:hAnsi="Cambria"/>
          <w:sz w:val="16"/>
          <w:szCs w:val="16"/>
        </w:rPr>
        <w:t>Obchodné meno a sídlo konsolidujúcej účtovnej jednotky, ktorá zostavuje konsolidovanú účtovnú závierku za tú skupinu účtovných jednotiek konsolidovaného celku, ktorého súčasťou je aj účtovná jednotka; uvádza sa aj obchodné meno a sídlo účtovnej jednotky, ktorá je bezprostredne konsolidujúcou účtovnou jednotkou:</w:t>
      </w:r>
    </w:p>
    <w:p>
      <w:pPr>
        <w:pStyle w:val="Normal"/>
        <w:spacing w:before="0" w:after="0"/>
        <w:ind w:left="852" w:hanging="426"/>
        <w:jc w:val="both"/>
        <w:rPr>
          <w:rFonts w:ascii="Cambria" w:hAnsi="Cambria" w:cs="Arial"/>
          <w:b/>
          <w:b/>
          <w:sz w:val="16"/>
          <w:szCs w:val="16"/>
        </w:rPr>
      </w:pPr>
      <w:r>
        <w:rPr>
          <w:rFonts w:cs="Arial" w:ascii="Cambria" w:hAnsi="Cambria"/>
          <w:b/>
          <w:sz w:val="16"/>
          <w:szCs w:val="16"/>
        </w:rPr>
      </w:r>
    </w:p>
    <w:p>
      <w:pPr>
        <w:pStyle w:val="Normal"/>
        <w:spacing w:before="0" w:after="0"/>
        <w:jc w:val="both"/>
        <w:rPr>
          <w:rFonts w:ascii="Cambria" w:hAnsi="Cambria" w:cs="Arial"/>
          <w:b/>
          <w:b/>
          <w:sz w:val="20"/>
          <w:szCs w:val="20"/>
        </w:rPr>
      </w:pPr>
      <w:r>
        <w:rPr>
          <w:rFonts w:cs="Arial" w:ascii="Cambria" w:hAnsi="Cambria"/>
          <w:b/>
          <w:sz w:val="16"/>
          <w:szCs w:val="16"/>
        </w:rPr>
        <w:t xml:space="preserve">b)    </w:t>
      </w:r>
      <w:r>
        <w:rPr>
          <w:rFonts w:cs="Arial" w:ascii="Cambria" w:hAnsi="Cambria"/>
          <w:sz w:val="16"/>
          <w:szCs w:val="16"/>
        </w:rPr>
        <w:t>A.</w:t>
      </w:r>
      <w:r>
        <w:rPr>
          <w:rFonts w:cs="Arial" w:ascii="Cambria" w:hAnsi="Cambria"/>
          <w:b/>
          <w:sz w:val="16"/>
          <w:szCs w:val="16"/>
        </w:rPr>
        <w:t xml:space="preserve">    </w:t>
      </w:r>
      <w:r>
        <w:rPr>
          <w:rFonts w:cs="Arial" w:ascii="Cambria" w:hAnsi="Cambria"/>
          <w:sz w:val="16"/>
          <w:szCs w:val="16"/>
        </w:rPr>
        <w:t xml:space="preserve">je </w:t>
      </w:r>
      <w:r>
        <w:rPr>
          <w:rFonts w:cs="Arial" w:ascii="Cambria" w:hAnsi="Cambria"/>
          <w:b/>
          <w:sz w:val="16"/>
          <w:szCs w:val="16"/>
        </w:rPr>
        <w:t xml:space="preserve"> </w:t>
      </w:r>
      <w:r>
        <w:rPr>
          <w:rFonts w:cs="Arial" w:ascii="Cambria" w:hAnsi="Cambria"/>
          <w:sz w:val="16"/>
          <w:szCs w:val="16"/>
        </w:rPr>
        <w:t>účtovná jednotka  materskou účtovnou jednotkou</w:t>
      </w:r>
      <w:r>
        <w:rPr>
          <w:rFonts w:cs="Arial" w:ascii="Cambria" w:hAnsi="Cambria"/>
          <w:b/>
          <w:sz w:val="16"/>
          <w:szCs w:val="16"/>
        </w:rPr>
        <w:t xml:space="preserve">: </w:t>
      </w:r>
      <w:r>
        <w:rPr/>
      </w:r>
      <w:sdt>
        <w:sdtPr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>
            <w:t>nie</w:t>
          </w:r>
        </w:sdtContent>
      </w:sdt>
    </w:p>
    <w:p>
      <w:pPr>
        <w:pStyle w:val="ListParagraph"/>
        <w:numPr>
          <w:ilvl w:val="0"/>
          <w:numId w:val="2"/>
        </w:numPr>
        <w:spacing w:lineRule="auto" w:line="240" w:before="0" w:after="0"/>
        <w:contextualSpacing/>
        <w:jc w:val="both"/>
        <w:rPr>
          <w:rFonts w:ascii="Cambria" w:hAnsi="Cambria" w:cs="Arial" w:asciiTheme="majorHAnsi" w:hAnsiTheme="majorHAnsi"/>
          <w:sz w:val="20"/>
          <w:szCs w:val="20"/>
        </w:rPr>
      </w:pPr>
      <w:r>
        <w:rPr>
          <w:rFonts w:cs="Arial" w:ascii="Cambria" w:hAnsi="Cambria"/>
          <w:sz w:val="16"/>
          <w:szCs w:val="16"/>
        </w:rPr>
        <w:t xml:space="preserve">je materská účtovná jednotka oslobodená od povinnosti zostaviť konsolidovanú účtovnú závierku a </w:t>
      </w:r>
      <w:r>
        <w:rPr>
          <w:rFonts w:cs="Arial" w:ascii="Cambria" w:hAnsi="Cambria" w:asciiTheme="majorHAnsi" w:hAnsiTheme="majorHAnsi"/>
          <w:sz w:val="16"/>
          <w:szCs w:val="16"/>
        </w:rPr>
        <w:t>konsolidovanú výročnú správu podľa § 22 zákona o účtovníctve a to:</w:t>
      </w:r>
    </w:p>
    <w:p>
      <w:pPr>
        <w:pStyle w:val="ListParagraph"/>
        <w:spacing w:lineRule="auto" w:line="240" w:before="0" w:after="0"/>
        <w:ind w:left="851" w:hanging="0"/>
        <w:contextualSpacing/>
        <w:jc w:val="both"/>
        <w:rPr>
          <w:rFonts w:ascii="Cambria" w:hAnsi="Cambria" w:cs="Arial" w:asciiTheme="majorHAnsi" w:hAnsiTheme="majorHAnsi"/>
          <w:sz w:val="16"/>
          <w:szCs w:val="16"/>
        </w:rPr>
      </w:pPr>
      <w:r>
        <w:rPr>
          <w:rFonts w:cs="Arial" w:ascii="Cambria" w:hAnsi="Cambria"/>
          <w:sz w:val="16"/>
          <w:szCs w:val="16"/>
        </w:rPr>
      </w:r>
    </w:p>
    <w:p>
      <w:pPr>
        <w:pStyle w:val="NoSpacing"/>
        <w:ind w:left="426" w:hanging="0"/>
        <w:jc w:val="both"/>
        <w:rPr>
          <w:rFonts w:ascii="Cambria" w:hAnsi="Cambria" w:cs="Arial" w:asciiTheme="majorHAnsi" w:hAnsiTheme="majorHAnsi"/>
          <w:sz w:val="20"/>
          <w:szCs w:val="20"/>
        </w:rPr>
      </w:pP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Mincho" w:cs="MS Mincho" w:ascii="MS Mincho" w:hAnsi="MS Mincho"/>
              <w:b/>
              <w:sz w:val="16"/>
              <w:szCs w:val="16"/>
            </w:rPr>
            <w:t>☐</w:t>
          </w:r>
        </w:sdtContent>
      </w:sdt>
      <w:r>
        <w:rPr>
          <w:rFonts w:cs="Arial" w:ascii="Cambria" w:hAnsi="Cambria" w:asciiTheme="majorHAnsi" w:hAnsiTheme="majorHAnsi"/>
          <w:b/>
          <w:sz w:val="16"/>
          <w:szCs w:val="16"/>
        </w:rPr>
        <w:tab/>
      </w:r>
      <w:r>
        <w:rPr>
          <w:rFonts w:cs="Arial" w:ascii="Cambria" w:hAnsi="Cambria" w:asciiTheme="majorHAnsi" w:hAnsiTheme="majorHAnsi"/>
          <w:sz w:val="16"/>
          <w:szCs w:val="16"/>
        </w:rPr>
        <w:t>v zmysle § 22 ods. 8 ZoÚ (oslobodenie od konsolidácie na medzistupni):</w:t>
      </w:r>
    </w:p>
    <w:p>
      <w:pPr>
        <w:pStyle w:val="Normal"/>
        <w:spacing w:lineRule="auto" w:line="240" w:before="0" w:after="0"/>
        <w:ind w:left="426" w:hanging="426"/>
        <w:jc w:val="both"/>
        <w:rPr>
          <w:rFonts w:ascii="Cambria" w:hAnsi="Cambria" w:cs="Arial"/>
          <w:sz w:val="16"/>
          <w:szCs w:val="16"/>
        </w:rPr>
      </w:pPr>
      <w:r>
        <w:rPr>
          <w:rFonts w:cs="Arial" w:ascii="Cambria" w:hAnsi="Cambria"/>
          <w:sz w:val="16"/>
          <w:szCs w:val="16"/>
        </w:rPr>
      </w:r>
    </w:p>
    <w:p>
      <w:pPr>
        <w:pStyle w:val="Normal"/>
        <w:spacing w:lineRule="auto" w:line="240" w:before="0" w:after="0"/>
        <w:ind w:left="426" w:hanging="0"/>
        <w:jc w:val="both"/>
        <w:rPr>
          <w:rFonts w:ascii="Cambria" w:hAnsi="Cambria" w:cs="Arial"/>
          <w:sz w:val="20"/>
          <w:szCs w:val="20"/>
        </w:rPr>
      </w:pPr>
      <w:r>
        <w:rPr>
          <w:rFonts w:cs="Arial" w:ascii="Cambria" w:hAnsi="Cambria"/>
          <w:sz w:val="16"/>
          <w:szCs w:val="16"/>
        </w:rPr>
        <w:t>Údaje o materskej účtovnej jednotke zostavujúcej konsolidovanú účtovnú závierku podľa IFRS EÚ, do ktorej je zahrňovaná účtovná jednotka a všetky jej dcérske účtovné jednotky:</w:t>
      </w:r>
    </w:p>
    <w:p>
      <w:pPr>
        <w:pStyle w:val="Normal"/>
        <w:spacing w:lineRule="auto" w:line="240" w:before="0" w:after="0"/>
        <w:ind w:left="426" w:hanging="426"/>
        <w:jc w:val="both"/>
        <w:rPr>
          <w:rFonts w:ascii="Cambria" w:hAnsi="Cambria" w:cs="Arial"/>
          <w:b/>
          <w:b/>
          <w:sz w:val="16"/>
          <w:szCs w:val="16"/>
        </w:rPr>
      </w:pPr>
      <w:r>
        <w:rPr>
          <w:rFonts w:cs="Arial" w:ascii="Cambria" w:hAnsi="Cambria"/>
          <w:b/>
          <w:sz w:val="16"/>
          <w:szCs w:val="16"/>
        </w:rPr>
      </w:r>
    </w:p>
    <w:p>
      <w:pPr>
        <w:pStyle w:val="NoSpacing"/>
        <w:ind w:left="852" w:hanging="426"/>
        <w:jc w:val="both"/>
        <w:rPr>
          <w:sz w:val="16"/>
          <w:szCs w:val="16"/>
        </w:rPr>
      </w:pP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Mincho" w:cs="MS Mincho" w:ascii="MS Mincho" w:hAnsi="MS Mincho"/>
              <w:b/>
              <w:sz w:val="16"/>
              <w:szCs w:val="16"/>
            </w:rPr>
            <w:t>☐</w:t>
          </w:r>
        </w:sdtContent>
      </w:sdt>
      <w:r>
        <w:rPr>
          <w:rFonts w:cs="Arial" w:ascii="Cambria" w:hAnsi="Cambria"/>
          <w:b/>
          <w:sz w:val="16"/>
          <w:szCs w:val="16"/>
        </w:rPr>
        <w:tab/>
      </w:r>
      <w:r>
        <w:rPr>
          <w:rFonts w:cs="Arial" w:ascii="Cambria" w:hAnsi="Cambria"/>
          <w:sz w:val="16"/>
          <w:szCs w:val="16"/>
        </w:rPr>
        <w:t xml:space="preserve">v zmysle § 22 ods. 10 a 12 ZoÚ (oslobodenie pri nevýznamnosti dcérskych spoločností, uvedených v prehľade): </w:t>
      </w:r>
    </w:p>
    <w:p>
      <w:pPr>
        <w:pStyle w:val="NoSpacing"/>
        <w:ind w:left="426" w:hanging="426"/>
        <w:jc w:val="both"/>
        <w:rPr>
          <w:rFonts w:ascii="Cambria" w:hAnsi="Cambria" w:cs="Arial"/>
          <w:sz w:val="16"/>
          <w:szCs w:val="16"/>
        </w:rPr>
      </w:pPr>
      <w:r>
        <w:rPr>
          <w:rFonts w:cs="Arial" w:ascii="Cambria" w:hAnsi="Cambria"/>
          <w:sz w:val="16"/>
          <w:szCs w:val="16"/>
        </w:rPr>
      </w:r>
    </w:p>
    <w:tbl>
      <w:tblPr>
        <w:tblStyle w:val="Mriekatabuky"/>
        <w:tblW w:w="8954" w:type="dxa"/>
        <w:jc w:val="left"/>
        <w:tblInd w:w="108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922"/>
        <w:gridCol w:w="5031"/>
      </w:tblGrid>
      <w:tr>
        <w:trPr/>
        <w:tc>
          <w:tcPr>
            <w:tcW w:w="8953" w:type="dxa"/>
            <w:gridSpan w:val="2"/>
            <w:tcBorders/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>
                <w:rFonts w:ascii="Cambria" w:hAnsi="Cambria" w:cs="Arial"/>
                <w:b/>
                <w:b/>
                <w:sz w:val="20"/>
                <w:szCs w:val="20"/>
              </w:rPr>
            </w:pPr>
            <w:r>
              <w:rPr>
                <w:rFonts w:cs="Arial" w:ascii="Cambria" w:hAnsi="Cambria"/>
                <w:b/>
                <w:sz w:val="16"/>
                <w:szCs w:val="16"/>
              </w:rPr>
              <w:t>Dcérska spoločnosť</w:t>
            </w:r>
          </w:p>
        </w:tc>
      </w:tr>
      <w:tr>
        <w:trPr/>
        <w:tc>
          <w:tcPr>
            <w:tcW w:w="3922" w:type="dxa"/>
            <w:tcBorders/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>
                <w:rFonts w:ascii="Cambria" w:hAnsi="Cambria" w:cs="Arial"/>
                <w:b/>
                <w:b/>
                <w:sz w:val="20"/>
                <w:szCs w:val="20"/>
              </w:rPr>
            </w:pPr>
            <w:r>
              <w:rPr>
                <w:rFonts w:cs="Arial" w:ascii="Cambria" w:hAnsi="Cambria"/>
                <w:b/>
                <w:sz w:val="16"/>
                <w:szCs w:val="16"/>
              </w:rPr>
              <w:t>Obchodné meno</w:t>
            </w:r>
          </w:p>
        </w:tc>
        <w:tc>
          <w:tcPr>
            <w:tcW w:w="5031" w:type="dxa"/>
            <w:tcBorders/>
            <w:shd w:fill="auto" w:val="clear"/>
            <w:vAlign w:val="center"/>
          </w:tcPr>
          <w:p>
            <w:pPr>
              <w:pStyle w:val="NoSpacing"/>
              <w:spacing w:lineRule="auto" w:line="240" w:before="0" w:after="0"/>
              <w:jc w:val="center"/>
              <w:rPr>
                <w:rFonts w:ascii="Cambria" w:hAnsi="Cambria" w:cs="Arial"/>
                <w:b/>
                <w:b/>
                <w:sz w:val="20"/>
                <w:szCs w:val="20"/>
              </w:rPr>
            </w:pPr>
            <w:r>
              <w:rPr>
                <w:rFonts w:cs="Arial" w:ascii="Cambria" w:hAnsi="Cambria"/>
                <w:b/>
                <w:sz w:val="16"/>
                <w:szCs w:val="16"/>
              </w:rPr>
              <w:t>Sídlo</w:t>
            </w:r>
          </w:p>
        </w:tc>
      </w:tr>
      <w:tr>
        <w:trPr/>
        <w:tc>
          <w:tcPr>
            <w:tcW w:w="3922" w:type="dxa"/>
            <w:tcBorders/>
            <w:shd w:color="auto" w:fill="DBE5F1" w:themeFill="accent1" w:themeFillTint="33" w:val="clear"/>
          </w:tcPr>
          <w:p>
            <w:pPr>
              <w:pStyle w:val="NoSpacing"/>
              <w:spacing w:lineRule="auto" w:line="240" w:before="0" w:after="0"/>
              <w:jc w:val="both"/>
              <w:rPr>
                <w:rFonts w:ascii="Cambria" w:hAnsi="Cambria" w:cs="Arial"/>
                <w:color w:val="DBE5F1" w:themeColor="accent1" w:themeTint="33"/>
                <w:sz w:val="16"/>
                <w:szCs w:val="16"/>
              </w:rPr>
            </w:pPr>
            <w:r>
              <w:rPr>
                <w:rFonts w:cs="Arial" w:ascii="Cambria" w:hAnsi="Cambria"/>
                <w:color w:val="DBE5F1" w:themeColor="accent1" w:themeTint="33"/>
                <w:sz w:val="16"/>
                <w:szCs w:val="16"/>
              </w:rPr>
            </w:r>
          </w:p>
        </w:tc>
        <w:tc>
          <w:tcPr>
            <w:tcW w:w="5031" w:type="dxa"/>
            <w:tcBorders/>
            <w:shd w:color="auto" w:fill="DBE5F1" w:themeFill="accent1" w:themeFillTint="33" w:val="clear"/>
          </w:tcPr>
          <w:p>
            <w:pPr>
              <w:pStyle w:val="NoSpacing"/>
              <w:spacing w:lineRule="auto" w:line="240" w:before="0" w:after="0"/>
              <w:jc w:val="both"/>
              <w:rPr>
                <w:rFonts w:ascii="Cambria" w:hAnsi="Cambria" w:cs="Arial"/>
                <w:color w:val="DBE5F1" w:themeColor="accent1" w:themeTint="33"/>
                <w:sz w:val="16"/>
                <w:szCs w:val="16"/>
              </w:rPr>
            </w:pPr>
            <w:r>
              <w:rPr>
                <w:rFonts w:cs="Arial" w:ascii="Cambria" w:hAnsi="Cambria"/>
                <w:color w:val="DBE5F1" w:themeColor="accent1" w:themeTint="33"/>
                <w:sz w:val="16"/>
                <w:szCs w:val="16"/>
              </w:rPr>
            </w:r>
          </w:p>
        </w:tc>
      </w:tr>
      <w:tr>
        <w:trPr/>
        <w:tc>
          <w:tcPr>
            <w:tcW w:w="3922" w:type="dxa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both"/>
              <w:rPr>
                <w:rFonts w:ascii="Cambria" w:hAnsi="Cambria" w:cs="Arial"/>
                <w:sz w:val="16"/>
                <w:szCs w:val="16"/>
              </w:rPr>
            </w:pPr>
            <w:r>
              <w:rPr>
                <w:rFonts w:cs="Arial" w:ascii="Cambria" w:hAnsi="Cambria"/>
                <w:sz w:val="16"/>
                <w:szCs w:val="16"/>
              </w:rPr>
            </w:r>
          </w:p>
        </w:tc>
        <w:tc>
          <w:tcPr>
            <w:tcW w:w="5031" w:type="dxa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both"/>
              <w:rPr>
                <w:rFonts w:ascii="Cambria" w:hAnsi="Cambria" w:cs="Arial"/>
                <w:sz w:val="16"/>
                <w:szCs w:val="16"/>
              </w:rPr>
            </w:pPr>
            <w:r>
              <w:rPr>
                <w:rFonts w:cs="Arial" w:ascii="Cambria" w:hAnsi="Cambria"/>
                <w:sz w:val="16"/>
                <w:szCs w:val="16"/>
              </w:rPr>
            </w:r>
          </w:p>
        </w:tc>
      </w:tr>
      <w:tr>
        <w:trPr/>
        <w:tc>
          <w:tcPr>
            <w:tcW w:w="3922" w:type="dxa"/>
            <w:tcBorders/>
            <w:shd w:color="auto" w:fill="DBE5F1" w:themeFill="accent1" w:themeFillTint="33" w:val="clear"/>
          </w:tcPr>
          <w:p>
            <w:pPr>
              <w:pStyle w:val="NoSpacing"/>
              <w:spacing w:lineRule="auto" w:line="240" w:before="0" w:after="0"/>
              <w:jc w:val="both"/>
              <w:rPr>
                <w:rFonts w:ascii="Cambria" w:hAnsi="Cambria" w:cs="Arial"/>
                <w:sz w:val="16"/>
                <w:szCs w:val="16"/>
              </w:rPr>
            </w:pPr>
            <w:r>
              <w:rPr>
                <w:rFonts w:cs="Arial" w:ascii="Cambria" w:hAnsi="Cambria"/>
                <w:sz w:val="16"/>
                <w:szCs w:val="16"/>
              </w:rPr>
            </w:r>
          </w:p>
        </w:tc>
        <w:tc>
          <w:tcPr>
            <w:tcW w:w="5031" w:type="dxa"/>
            <w:tcBorders/>
            <w:shd w:color="auto" w:fill="DBE5F1" w:themeFill="accent1" w:themeFillTint="33" w:val="clear"/>
          </w:tcPr>
          <w:p>
            <w:pPr>
              <w:pStyle w:val="NoSpacing"/>
              <w:spacing w:lineRule="auto" w:line="240" w:before="0" w:after="0"/>
              <w:jc w:val="both"/>
              <w:rPr>
                <w:rFonts w:ascii="Cambria" w:hAnsi="Cambria" w:cs="Arial"/>
                <w:sz w:val="16"/>
                <w:szCs w:val="16"/>
              </w:rPr>
            </w:pPr>
            <w:r>
              <w:rPr>
                <w:rFonts w:cs="Arial" w:ascii="Cambria" w:hAnsi="Cambria"/>
                <w:sz w:val="16"/>
                <w:szCs w:val="16"/>
              </w:rPr>
            </w:r>
          </w:p>
        </w:tc>
      </w:tr>
      <w:tr>
        <w:trPr/>
        <w:tc>
          <w:tcPr>
            <w:tcW w:w="3922" w:type="dxa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both"/>
              <w:rPr>
                <w:rFonts w:ascii="Cambria" w:hAnsi="Cambria" w:cs="Arial"/>
                <w:sz w:val="16"/>
                <w:szCs w:val="16"/>
              </w:rPr>
            </w:pPr>
            <w:r>
              <w:rPr>
                <w:rFonts w:cs="Arial" w:ascii="Cambria" w:hAnsi="Cambria"/>
                <w:sz w:val="16"/>
                <w:szCs w:val="16"/>
              </w:rPr>
            </w:r>
          </w:p>
        </w:tc>
        <w:tc>
          <w:tcPr>
            <w:tcW w:w="5031" w:type="dxa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both"/>
              <w:rPr>
                <w:rFonts w:ascii="Cambria" w:hAnsi="Cambria" w:cs="Arial"/>
                <w:sz w:val="16"/>
                <w:szCs w:val="16"/>
              </w:rPr>
            </w:pPr>
            <w:r>
              <w:rPr>
                <w:rFonts w:cs="Arial" w:ascii="Cambria" w:hAnsi="Cambria"/>
                <w:sz w:val="16"/>
                <w:szCs w:val="16"/>
              </w:rPr>
            </w:r>
          </w:p>
        </w:tc>
      </w:tr>
      <w:tr>
        <w:trPr/>
        <w:tc>
          <w:tcPr>
            <w:tcW w:w="3922" w:type="dxa"/>
            <w:tcBorders/>
            <w:shd w:color="auto" w:fill="DBE5F1" w:themeFill="accent1" w:themeFillTint="33" w:val="clear"/>
          </w:tcPr>
          <w:p>
            <w:pPr>
              <w:pStyle w:val="NoSpacing"/>
              <w:spacing w:lineRule="auto" w:line="240" w:before="0" w:after="0"/>
              <w:jc w:val="both"/>
              <w:rPr>
                <w:rFonts w:ascii="Cambria" w:hAnsi="Cambria" w:cs="Arial"/>
                <w:sz w:val="16"/>
                <w:szCs w:val="16"/>
              </w:rPr>
            </w:pPr>
            <w:r>
              <w:rPr>
                <w:rFonts w:cs="Arial" w:ascii="Cambria" w:hAnsi="Cambria"/>
                <w:sz w:val="16"/>
                <w:szCs w:val="16"/>
              </w:rPr>
            </w:r>
          </w:p>
        </w:tc>
        <w:tc>
          <w:tcPr>
            <w:tcW w:w="5031" w:type="dxa"/>
            <w:tcBorders/>
            <w:shd w:color="auto" w:fill="DBE5F1" w:themeFill="accent1" w:themeFillTint="33" w:val="clear"/>
          </w:tcPr>
          <w:p>
            <w:pPr>
              <w:pStyle w:val="NoSpacing"/>
              <w:spacing w:lineRule="auto" w:line="240" w:before="0" w:after="0"/>
              <w:jc w:val="both"/>
              <w:rPr>
                <w:rFonts w:ascii="Cambria" w:hAnsi="Cambria" w:cs="Arial"/>
                <w:sz w:val="16"/>
                <w:szCs w:val="16"/>
              </w:rPr>
            </w:pPr>
            <w:r>
              <w:rPr>
                <w:rFonts w:cs="Arial" w:ascii="Cambria" w:hAnsi="Cambria"/>
                <w:sz w:val="16"/>
                <w:szCs w:val="16"/>
              </w:rPr>
            </w:r>
          </w:p>
        </w:tc>
      </w:tr>
      <w:tr>
        <w:trPr/>
        <w:tc>
          <w:tcPr>
            <w:tcW w:w="3922" w:type="dxa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both"/>
              <w:rPr>
                <w:rFonts w:ascii="Cambria" w:hAnsi="Cambria" w:cs="Arial"/>
                <w:sz w:val="16"/>
                <w:szCs w:val="16"/>
              </w:rPr>
            </w:pPr>
            <w:r>
              <w:rPr>
                <w:rFonts w:cs="Arial" w:ascii="Cambria" w:hAnsi="Cambria"/>
                <w:sz w:val="16"/>
                <w:szCs w:val="16"/>
              </w:rPr>
            </w:r>
          </w:p>
        </w:tc>
        <w:tc>
          <w:tcPr>
            <w:tcW w:w="5031" w:type="dxa"/>
            <w:tcBorders/>
            <w:shd w:fill="auto" w:val="clear"/>
          </w:tcPr>
          <w:p>
            <w:pPr>
              <w:pStyle w:val="NoSpacing"/>
              <w:spacing w:lineRule="auto" w:line="240" w:before="0" w:after="0"/>
              <w:jc w:val="both"/>
              <w:rPr>
                <w:rFonts w:ascii="Cambria" w:hAnsi="Cambria" w:cs="Arial"/>
                <w:sz w:val="16"/>
                <w:szCs w:val="16"/>
              </w:rPr>
            </w:pPr>
            <w:r>
              <w:rPr>
                <w:rFonts w:cs="Arial" w:ascii="Cambria" w:hAnsi="Cambria"/>
                <w:sz w:val="16"/>
                <w:szCs w:val="16"/>
              </w:rPr>
            </w:r>
          </w:p>
        </w:tc>
      </w:tr>
    </w:tbl>
    <w:p>
      <w:pPr>
        <w:pStyle w:val="Normal"/>
        <w:spacing w:before="0" w:after="0"/>
        <w:jc w:val="both"/>
        <w:rPr>
          <w:rFonts w:ascii="Cambria" w:hAnsi="Cambria" w:cs="Arial"/>
          <w:i/>
          <w:i/>
          <w:sz w:val="16"/>
          <w:szCs w:val="16"/>
        </w:rPr>
      </w:pPr>
      <w:r>
        <w:rPr>
          <w:rFonts w:cs="Arial" w:ascii="Cambria" w:hAnsi="Cambria"/>
          <w:i/>
          <w:sz w:val="16"/>
          <w:szCs w:val="16"/>
        </w:rPr>
      </w:r>
    </w:p>
    <w:p>
      <w:pPr>
        <w:pStyle w:val="Normal"/>
        <w:spacing w:lineRule="auto" w:line="240" w:before="0" w:after="0"/>
        <w:ind w:left="426" w:hanging="426"/>
        <w:jc w:val="both"/>
        <w:rPr>
          <w:sz w:val="16"/>
          <w:szCs w:val="16"/>
        </w:rPr>
      </w:pPr>
      <w:r>
        <w:rPr>
          <w:rFonts w:cs="Arial" w:ascii="Cambria" w:hAnsi="Cambria"/>
          <w:b/>
          <w:sz w:val="16"/>
          <w:szCs w:val="16"/>
        </w:rPr>
        <w:t>I.3</w:t>
        <w:tab/>
        <w:t>Informácie o počte zamestnancov:</w:t>
      </w:r>
    </w:p>
    <w:tbl>
      <w:tblPr>
        <w:tblStyle w:val="Mriekatabuky"/>
        <w:tblW w:w="9015" w:type="dxa"/>
        <w:jc w:val="left"/>
        <w:tblInd w:w="108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253"/>
        <w:gridCol w:w="2381"/>
        <w:gridCol w:w="2381"/>
      </w:tblGrid>
      <w:tr>
        <w:trPr/>
        <w:tc>
          <w:tcPr>
            <w:tcW w:w="425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426" w:hanging="426"/>
              <w:jc w:val="center"/>
              <w:rPr/>
            </w:pPr>
            <w:r>
              <w:rPr>
                <w:rFonts w:cs="Arial" w:ascii="Cambria" w:hAnsi="Cambria"/>
                <w:b/>
                <w:sz w:val="16"/>
                <w:szCs w:val="16"/>
              </w:rPr>
              <w:t>Názov položky</w:t>
            </w:r>
          </w:p>
        </w:tc>
        <w:tc>
          <w:tcPr>
            <w:tcW w:w="2381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426" w:hanging="426"/>
              <w:jc w:val="center"/>
              <w:rPr>
                <w:rFonts w:ascii="Cambria" w:hAnsi="Cambria" w:cs="Arial"/>
                <w:b/>
                <w:b/>
                <w:sz w:val="20"/>
                <w:szCs w:val="20"/>
              </w:rPr>
            </w:pPr>
            <w:r>
              <w:rPr>
                <w:rFonts w:cs="Arial" w:ascii="Cambria" w:hAnsi="Cambria"/>
                <w:b/>
                <w:sz w:val="16"/>
                <w:szCs w:val="16"/>
              </w:rPr>
              <w:t>Bežné</w:t>
            </w:r>
          </w:p>
          <w:p>
            <w:pPr>
              <w:pStyle w:val="Normal"/>
              <w:spacing w:lineRule="auto" w:line="240" w:before="0" w:after="0"/>
              <w:ind w:left="426" w:hanging="426"/>
              <w:jc w:val="center"/>
              <w:rPr>
                <w:rFonts w:ascii="Cambria" w:hAnsi="Cambria" w:cs="Arial"/>
                <w:b/>
                <w:b/>
                <w:sz w:val="20"/>
                <w:szCs w:val="20"/>
              </w:rPr>
            </w:pPr>
            <w:r>
              <w:rPr>
                <w:rFonts w:cs="Arial" w:ascii="Cambria" w:hAnsi="Cambria"/>
                <w:b/>
                <w:sz w:val="16"/>
                <w:szCs w:val="16"/>
              </w:rPr>
              <w:t>účtovné obdobie</w:t>
            </w:r>
          </w:p>
        </w:tc>
        <w:tc>
          <w:tcPr>
            <w:tcW w:w="2381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426" w:hanging="426"/>
              <w:jc w:val="center"/>
              <w:rPr>
                <w:rFonts w:ascii="Cambria" w:hAnsi="Cambria" w:cs="Arial"/>
                <w:b/>
                <w:b/>
                <w:sz w:val="20"/>
                <w:szCs w:val="20"/>
              </w:rPr>
            </w:pPr>
            <w:r>
              <w:rPr>
                <w:rFonts w:cs="Arial" w:ascii="Cambria" w:hAnsi="Cambria"/>
                <w:b/>
                <w:sz w:val="16"/>
                <w:szCs w:val="16"/>
              </w:rPr>
              <w:t>Bezprostredne</w:t>
            </w:r>
          </w:p>
          <w:p>
            <w:pPr>
              <w:pStyle w:val="Normal"/>
              <w:spacing w:lineRule="auto" w:line="240" w:before="0" w:after="0"/>
              <w:ind w:left="426" w:hanging="426"/>
              <w:jc w:val="center"/>
              <w:rPr>
                <w:rFonts w:ascii="Cambria" w:hAnsi="Cambria" w:cs="Arial"/>
                <w:b/>
                <w:b/>
                <w:sz w:val="20"/>
                <w:szCs w:val="20"/>
              </w:rPr>
            </w:pPr>
            <w:r>
              <w:rPr>
                <w:rFonts w:cs="Arial" w:ascii="Cambria" w:hAnsi="Cambria"/>
                <w:b/>
                <w:sz w:val="16"/>
                <w:szCs w:val="16"/>
              </w:rPr>
              <w:t>predchádzajúce</w:t>
            </w:r>
          </w:p>
          <w:p>
            <w:pPr>
              <w:pStyle w:val="Normal"/>
              <w:spacing w:lineRule="auto" w:line="240" w:before="0" w:after="0"/>
              <w:ind w:left="426" w:hanging="426"/>
              <w:jc w:val="center"/>
              <w:rPr>
                <w:rFonts w:ascii="Cambria" w:hAnsi="Cambria" w:cs="Arial"/>
                <w:b/>
                <w:b/>
                <w:sz w:val="20"/>
                <w:szCs w:val="20"/>
              </w:rPr>
            </w:pPr>
            <w:r>
              <w:rPr>
                <w:rFonts w:cs="Arial" w:ascii="Cambria" w:hAnsi="Cambria"/>
                <w:b/>
                <w:sz w:val="16"/>
                <w:szCs w:val="16"/>
              </w:rPr>
              <w:t>účtovné obdobie</w:t>
            </w:r>
          </w:p>
        </w:tc>
      </w:tr>
      <w:tr>
        <w:trPr>
          <w:trHeight w:val="378" w:hRule="atLeast"/>
        </w:trPr>
        <w:tc>
          <w:tcPr>
            <w:tcW w:w="425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34" w:hanging="1"/>
              <w:rPr>
                <w:rFonts w:ascii="Cambria" w:hAnsi="Cambria" w:cs="Arial"/>
                <w:sz w:val="20"/>
                <w:szCs w:val="20"/>
              </w:rPr>
            </w:pPr>
            <w:r>
              <w:rPr>
                <w:rFonts w:cs="Arial" w:ascii="Cambria" w:hAnsi="Cambria"/>
                <w:sz w:val="16"/>
                <w:szCs w:val="16"/>
              </w:rPr>
              <w:t>Priemerný prepočítaný počet zamestnancov</w:t>
            </w:r>
          </w:p>
        </w:tc>
        <w:tc>
          <w:tcPr>
            <w:tcW w:w="2381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426" w:hanging="426"/>
              <w:jc w:val="both"/>
              <w:rPr>
                <w:rFonts w:ascii="Cambria" w:hAnsi="Cambria" w:cs="Arial"/>
                <w:b/>
                <w:b/>
                <w:sz w:val="24"/>
                <w:szCs w:val="24"/>
              </w:rPr>
            </w:pPr>
            <w:r>
              <w:rPr>
                <w:rFonts w:cs="Arial" w:ascii="Cambria" w:hAnsi="Cambria"/>
                <w:b/>
                <w:sz w:val="16"/>
                <w:szCs w:val="16"/>
              </w:rPr>
              <w:t xml:space="preserve">                   </w:t>
            </w:r>
            <w:r>
              <w:rPr>
                <w:rFonts w:cs="Arial" w:ascii="Cambria" w:hAnsi="Cambria"/>
                <w:b/>
                <w:sz w:val="16"/>
                <w:szCs w:val="16"/>
              </w:rPr>
              <w:t>0</w:t>
            </w:r>
          </w:p>
        </w:tc>
        <w:tc>
          <w:tcPr>
            <w:tcW w:w="2381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426" w:hanging="426"/>
              <w:jc w:val="both"/>
              <w:rPr>
                <w:rFonts w:ascii="Cambria" w:hAnsi="Cambria" w:cs="Arial"/>
                <w:b/>
                <w:b/>
                <w:sz w:val="24"/>
                <w:szCs w:val="24"/>
              </w:rPr>
            </w:pPr>
            <w:r>
              <w:rPr>
                <w:rFonts w:cs="Arial" w:ascii="Cambria" w:hAnsi="Cambria"/>
                <w:b/>
                <w:sz w:val="16"/>
                <w:szCs w:val="16"/>
              </w:rPr>
              <w:t xml:space="preserve">                  </w:t>
            </w:r>
            <w:r>
              <w:rPr>
                <w:rFonts w:cs="Arial" w:ascii="Cambria" w:hAnsi="Cambria"/>
                <w:b/>
                <w:sz w:val="16"/>
                <w:szCs w:val="16"/>
              </w:rPr>
              <w:t>0</w:t>
            </w:r>
          </w:p>
        </w:tc>
      </w:tr>
    </w:tbl>
    <w:p>
      <w:pPr>
        <w:pStyle w:val="Normal"/>
        <w:spacing w:lineRule="auto" w:line="240" w:before="0" w:after="0"/>
        <w:ind w:left="426" w:hanging="426"/>
        <w:jc w:val="both"/>
        <w:rPr>
          <w:rFonts w:ascii="Cambria" w:hAnsi="Cambria" w:cs="Arial" w:asciiTheme="majorHAnsi" w:hAnsiTheme="majorHAnsi"/>
          <w:b/>
          <w:b/>
          <w:sz w:val="16"/>
          <w:szCs w:val="16"/>
        </w:rPr>
      </w:pPr>
      <w:r>
        <w:rPr>
          <w:rFonts w:cs="Arial" w:ascii="Cambria" w:hAnsi="Cambria"/>
          <w:b/>
          <w:sz w:val="16"/>
          <w:szCs w:val="16"/>
        </w:rPr>
      </w:r>
    </w:p>
    <w:p>
      <w:pPr>
        <w:pStyle w:val="Normal"/>
        <w:spacing w:lineRule="auto" w:line="240" w:before="0" w:after="0"/>
        <w:ind w:left="426" w:hanging="426"/>
        <w:jc w:val="both"/>
        <w:rPr/>
      </w:pPr>
      <w:r>
        <w:rPr>
          <w:rFonts w:cs="Arial" w:ascii="Cambria" w:hAnsi="Cambria" w:asciiTheme="majorHAnsi" w:hAnsiTheme="majorHAnsi"/>
          <w:b/>
          <w:sz w:val="16"/>
          <w:szCs w:val="16"/>
        </w:rPr>
        <w:t xml:space="preserve">                                                                                     </w:t>
      </w:r>
      <w:r>
        <w:rPr>
          <w:rFonts w:cs="Arial" w:ascii="Cambria" w:hAnsi="Cambria" w:asciiTheme="majorHAnsi" w:hAnsiTheme="majorHAnsi"/>
          <w:b/>
          <w:sz w:val="16"/>
          <w:szCs w:val="16"/>
        </w:rPr>
        <w:t>Článok II – Informácie o prijatých postupoch</w:t>
      </w:r>
    </w:p>
    <w:p>
      <w:pPr>
        <w:pStyle w:val="Normal"/>
        <w:spacing w:lineRule="auto" w:line="240" w:before="0" w:after="0"/>
        <w:ind w:left="426" w:hanging="426"/>
        <w:jc w:val="both"/>
        <w:rPr>
          <w:rFonts w:ascii="Cambria" w:hAnsi="Cambria" w:cs="Arial" w:asciiTheme="majorHAnsi" w:hAnsiTheme="majorHAnsi"/>
          <w:b/>
          <w:b/>
          <w:sz w:val="16"/>
          <w:szCs w:val="16"/>
        </w:rPr>
      </w:pPr>
      <w:r>
        <w:rPr>
          <w:rFonts w:cs="Arial" w:ascii="Cambria" w:hAnsi="Cambria"/>
          <w:b/>
          <w:sz w:val="16"/>
          <w:szCs w:val="16"/>
        </w:rPr>
      </w:r>
    </w:p>
    <w:p>
      <w:pPr>
        <w:pStyle w:val="Normal"/>
        <w:spacing w:lineRule="auto" w:line="240" w:before="0" w:after="0"/>
        <w:ind w:left="426" w:hanging="426"/>
        <w:jc w:val="both"/>
        <w:rPr>
          <w:rFonts w:ascii="Cambria" w:hAnsi="Cambria" w:cs="Arial" w:asciiTheme="majorHAnsi" w:hAnsiTheme="majorHAnsi"/>
          <w:b/>
          <w:b/>
        </w:rPr>
      </w:pPr>
      <w:r>
        <w:rPr>
          <w:rFonts w:cs="Arial" w:ascii="Cambria" w:hAnsi="Cambria" w:asciiTheme="majorHAnsi" w:hAnsiTheme="majorHAnsi"/>
          <w:b/>
          <w:sz w:val="16"/>
          <w:szCs w:val="16"/>
        </w:rPr>
        <w:t xml:space="preserve">II. 1 Informácia o splnení predpokladu nepretržitého pokračovania činnosti účtovnej jednotky: </w:t>
      </w:r>
    </w:p>
    <w:p>
      <w:pPr>
        <w:pStyle w:val="Normal"/>
        <w:spacing w:lineRule="auto" w:line="240" w:before="0" w:after="0"/>
        <w:ind w:left="426" w:hanging="426"/>
        <w:jc w:val="both"/>
        <w:rPr>
          <w:rFonts w:ascii="Cambria" w:hAnsi="Cambria" w:cs="Arial" w:asciiTheme="majorHAnsi" w:hAnsiTheme="majorHAnsi"/>
          <w:b/>
          <w:b/>
          <w:sz w:val="16"/>
          <w:szCs w:val="16"/>
        </w:rPr>
      </w:pPr>
      <w:r>
        <w:rPr>
          <w:rFonts w:cs="Arial" w:ascii="Cambria" w:hAnsi="Cambria"/>
          <w:b/>
          <w:sz w:val="16"/>
          <w:szCs w:val="16"/>
        </w:rPr>
      </w:r>
    </w:p>
    <w:p>
      <w:pPr>
        <w:pStyle w:val="Normal"/>
        <w:spacing w:lineRule="auto" w:line="240" w:before="0" w:after="0"/>
        <w:ind w:left="426" w:hanging="426"/>
        <w:jc w:val="both"/>
        <w:rPr>
          <w:rFonts w:ascii="Cambria" w:hAnsi="Cambria" w:cs="Arial" w:asciiTheme="majorHAnsi" w:hAnsiTheme="majorHAnsi"/>
        </w:rPr>
      </w:pPr>
      <w:r>
        <w:rPr>
          <w:rFonts w:cs="Arial" w:ascii="Cambria" w:hAnsi="Cambria" w:asciiTheme="majorHAnsi" w:hAnsiTheme="majorHAnsi"/>
          <w:sz w:val="16"/>
          <w:szCs w:val="16"/>
        </w:rPr>
        <w:t xml:space="preserve">Účtovná jednotka bude nepretržite pokračovať vo svojej činnosti: </w:t>
      </w:r>
      <w:r>
        <w:rPr/>
      </w:r>
      <w:sdt>
        <w:sdtPr>
          <w:dropDownList>
            <w:listItem w:displayText="vyberte" w:value="vyberte"/>
            <w:listItem w:displayText="áno" w:value="áno"/>
            <w:listItem w:displayText="nie" w:value="nie"/>
          </w:dropDownList>
        </w:sdtPr>
        <w:sdtContent>
          <w:r>
            <w:t>áno</w:t>
          </w:r>
        </w:sdtContent>
      </w:sdt>
    </w:p>
    <w:p>
      <w:pPr>
        <w:pStyle w:val="Normal"/>
        <w:spacing w:lineRule="auto" w:line="240" w:before="0" w:after="0"/>
        <w:ind w:left="426" w:hanging="426"/>
        <w:jc w:val="both"/>
        <w:rPr>
          <w:rFonts w:ascii="Cambria" w:hAnsi="Cambria" w:cs="Arial"/>
          <w:sz w:val="16"/>
          <w:szCs w:val="16"/>
        </w:rPr>
      </w:pPr>
      <w:r>
        <w:rPr>
          <w:rFonts w:cs="Arial" w:ascii="Cambria" w:hAnsi="Cambria"/>
          <w:sz w:val="16"/>
          <w:szCs w:val="16"/>
        </w:rPr>
      </w:r>
    </w:p>
    <w:p>
      <w:pPr>
        <w:pStyle w:val="Normal"/>
        <w:spacing w:lineRule="auto" w:line="240"/>
        <w:jc w:val="both"/>
        <w:rPr/>
      </w:pPr>
      <w:r>
        <w:rPr>
          <w:rFonts w:cs="Arial" w:ascii="Cambria" w:hAnsi="Cambria" w:asciiTheme="majorHAnsi" w:hAnsiTheme="majorHAnsi"/>
          <w:b/>
          <w:sz w:val="16"/>
          <w:szCs w:val="16"/>
        </w:rPr>
        <w:t xml:space="preserve">II. 2 </w:t>
      </w:r>
      <w:r>
        <w:rPr>
          <w:rFonts w:eastAsia="MS Gothic" w:cs="Arial" w:ascii="Cambria" w:hAnsi="Cambria" w:asciiTheme="majorHAnsi" w:hAnsiTheme="majorHAnsi"/>
          <w:b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Spôsob oceňovania jednotlivých zložiek majetku a záväzkov: </w:t>
      </w:r>
    </w:p>
    <w:tbl>
      <w:tblPr>
        <w:tblStyle w:val="Mriekatabuky"/>
        <w:tblW w:w="8954" w:type="dxa"/>
        <w:jc w:val="left"/>
        <w:tblInd w:w="108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4621"/>
        <w:gridCol w:w="2064"/>
        <w:gridCol w:w="2269"/>
      </w:tblGrid>
      <w:tr>
        <w:trPr/>
        <w:tc>
          <w:tcPr>
            <w:tcW w:w="4621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b/>
                <w:b/>
                <w:sz w:val="20"/>
                <w:szCs w:val="20"/>
              </w:rPr>
            </w:pPr>
            <w:r>
              <w:rPr>
                <w:rFonts w:cs="Arial" w:ascii="Cambria" w:hAnsi="Cambria" w:asciiTheme="majorHAnsi" w:hAnsiTheme="majorHAnsi"/>
                <w:b/>
                <w:sz w:val="16"/>
                <w:szCs w:val="16"/>
              </w:rPr>
              <w:t>Druh majetku/záväzkov</w:t>
            </w:r>
          </w:p>
        </w:tc>
        <w:tc>
          <w:tcPr>
            <w:tcW w:w="206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b/>
                <w:b/>
                <w:sz w:val="20"/>
                <w:szCs w:val="20"/>
              </w:rPr>
            </w:pPr>
            <w:r>
              <w:rPr>
                <w:rFonts w:cs="Arial" w:ascii="Cambria" w:hAnsi="Cambria" w:asciiTheme="majorHAnsi" w:hAnsiTheme="majorHAnsi"/>
                <w:b/>
                <w:sz w:val="16"/>
                <w:szCs w:val="16"/>
              </w:rPr>
              <w:t>Spôsob ocenenia</w:t>
            </w:r>
          </w:p>
        </w:tc>
        <w:tc>
          <w:tcPr>
            <w:tcW w:w="226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b/>
                <w:b/>
                <w:sz w:val="20"/>
                <w:szCs w:val="20"/>
              </w:rPr>
            </w:pPr>
            <w:r>
              <w:rPr>
                <w:rFonts w:cs="Arial" w:ascii="Cambria" w:hAnsi="Cambria" w:asciiTheme="majorHAnsi" w:hAnsiTheme="majorHAnsi"/>
                <w:b/>
                <w:sz w:val="16"/>
                <w:szCs w:val="16"/>
              </w:rPr>
              <w:t>Náklady spojené</w:t>
            </w:r>
          </w:p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b/>
                <w:b/>
                <w:sz w:val="20"/>
                <w:szCs w:val="20"/>
              </w:rPr>
            </w:pPr>
            <w:r>
              <w:rPr>
                <w:rFonts w:cs="Arial" w:ascii="Cambria" w:hAnsi="Cambria" w:asciiTheme="majorHAnsi" w:hAnsiTheme="majorHAnsi"/>
                <w:b/>
                <w:sz w:val="16"/>
                <w:szCs w:val="16"/>
              </w:rPr>
              <w:t>s obstaraním</w:t>
            </w:r>
          </w:p>
        </w:tc>
      </w:tr>
      <w:tr>
        <w:trPr>
          <w:trHeight w:val="340" w:hRule="atLeast"/>
        </w:trPr>
        <w:tc>
          <w:tcPr>
            <w:tcW w:w="4621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 w:asciiTheme="majorHAnsi" w:hAnsiTheme="majorHAnsi"/>
                <w:sz w:val="16"/>
                <w:szCs w:val="16"/>
              </w:rPr>
              <w:t>Dlhodobý nehmotný majetok</w:t>
            </w:r>
          </w:p>
        </w:tc>
        <w:tc>
          <w:tcPr>
            <w:tcW w:w="206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i w:val="false"/>
                <w:i w:val="false"/>
                <w:iCs w:val="false"/>
                <w:sz w:val="16"/>
                <w:szCs w:val="16"/>
              </w:rPr>
            </w:pPr>
            <w:r>
              <w:rPr>
                <w:rFonts w:cs="Arial" w:ascii="Cambria" w:hAnsi="Cambria"/>
                <w:i w:val="false"/>
                <w:iCs w:val="false"/>
                <w:sz w:val="16"/>
                <w:szCs w:val="16"/>
              </w:rPr>
              <w:t>obstarávacia cena</w:t>
            </w:r>
          </w:p>
        </w:tc>
        <w:tc>
          <w:tcPr>
            <w:tcW w:w="226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sz w:val="16"/>
                <w:szCs w:val="16"/>
              </w:rPr>
            </w:pPr>
            <w:r>
              <w:rPr>
                <w:rFonts w:cs="Arial" w:ascii="Cambria" w:hAnsi="Cambria"/>
                <w:sz w:val="16"/>
                <w:szCs w:val="16"/>
              </w:rPr>
              <w:t>áno</w:t>
            </w:r>
          </w:p>
        </w:tc>
      </w:tr>
      <w:tr>
        <w:trPr>
          <w:trHeight w:val="340" w:hRule="atLeast"/>
        </w:trPr>
        <w:tc>
          <w:tcPr>
            <w:tcW w:w="4621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 w:asciiTheme="majorHAnsi" w:hAnsiTheme="majorHAnsi"/>
                <w:sz w:val="16"/>
                <w:szCs w:val="16"/>
              </w:rPr>
              <w:t>Dlhodobý hmotný majetok</w:t>
            </w:r>
          </w:p>
        </w:tc>
        <w:tc>
          <w:tcPr>
            <w:tcW w:w="206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i w:val="false"/>
                <w:i w:val="false"/>
                <w:iCs w:val="false"/>
                <w:sz w:val="16"/>
                <w:szCs w:val="16"/>
              </w:rPr>
            </w:pPr>
            <w:r>
              <w:rPr>
                <w:rFonts w:cs="Arial" w:ascii="Cambria" w:hAnsi="Cambria"/>
                <w:i w:val="false"/>
                <w:iCs w:val="false"/>
                <w:sz w:val="16"/>
                <w:szCs w:val="16"/>
              </w:rPr>
              <w:t>obstarávacia cena</w:t>
            </w:r>
          </w:p>
        </w:tc>
        <w:tc>
          <w:tcPr>
            <w:tcW w:w="226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sz w:val="16"/>
                <w:szCs w:val="16"/>
              </w:rPr>
            </w:pPr>
            <w:r>
              <w:rPr>
                <w:rFonts w:cs="Arial" w:ascii="Cambria" w:hAnsi="Cambria"/>
                <w:sz w:val="16"/>
                <w:szCs w:val="16"/>
              </w:rPr>
              <w:t>áno</w:t>
            </w:r>
          </w:p>
        </w:tc>
      </w:tr>
      <w:tr>
        <w:trPr>
          <w:trHeight w:val="340" w:hRule="atLeast"/>
        </w:trPr>
        <w:tc>
          <w:tcPr>
            <w:tcW w:w="4621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 w:asciiTheme="majorHAnsi" w:hAnsiTheme="majorHAnsi"/>
                <w:sz w:val="16"/>
                <w:szCs w:val="16"/>
              </w:rPr>
              <w:t>Dlhodobý  finančný majetok</w:t>
            </w:r>
          </w:p>
        </w:tc>
        <w:tc>
          <w:tcPr>
            <w:tcW w:w="206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i w:val="false"/>
                <w:i w:val="false"/>
                <w:iCs w:val="false"/>
                <w:sz w:val="16"/>
                <w:szCs w:val="16"/>
              </w:rPr>
            </w:pPr>
            <w:r>
              <w:rPr>
                <w:rFonts w:cs="Arial" w:ascii="Cambria" w:hAnsi="Cambria"/>
                <w:i w:val="false"/>
                <w:iCs w:val="false"/>
                <w:sz w:val="16"/>
                <w:szCs w:val="16"/>
              </w:rPr>
              <w:t>obstarávacia cena</w:t>
            </w:r>
          </w:p>
        </w:tc>
        <w:tc>
          <w:tcPr>
            <w:tcW w:w="226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sz w:val="16"/>
                <w:szCs w:val="16"/>
              </w:rPr>
            </w:pPr>
            <w:r>
              <w:rPr>
                <w:rFonts w:cs="Arial" w:ascii="Cambria" w:hAnsi="Cambria"/>
                <w:sz w:val="16"/>
                <w:szCs w:val="16"/>
              </w:rPr>
              <w:t>áno</w:t>
            </w:r>
          </w:p>
        </w:tc>
      </w:tr>
      <w:tr>
        <w:trPr>
          <w:trHeight w:val="340" w:hRule="atLeast"/>
        </w:trPr>
        <w:tc>
          <w:tcPr>
            <w:tcW w:w="4621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 w:asciiTheme="majorHAnsi" w:hAnsiTheme="majorHAnsi"/>
                <w:sz w:val="16"/>
                <w:szCs w:val="16"/>
              </w:rPr>
              <w:t>Zásoby obstarané kúpou</w:t>
            </w:r>
          </w:p>
        </w:tc>
        <w:tc>
          <w:tcPr>
            <w:tcW w:w="206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i w:val="false"/>
                <w:i w:val="false"/>
                <w:iCs w:val="false"/>
                <w:sz w:val="16"/>
                <w:szCs w:val="16"/>
              </w:rPr>
            </w:pPr>
            <w:r>
              <w:rPr>
                <w:rFonts w:cs="Arial" w:ascii="Cambria" w:hAnsi="Cambria"/>
                <w:i w:val="false"/>
                <w:iCs w:val="false"/>
                <w:sz w:val="16"/>
                <w:szCs w:val="16"/>
              </w:rPr>
              <w:t>obstarávacia cena</w:t>
            </w:r>
          </w:p>
        </w:tc>
        <w:tc>
          <w:tcPr>
            <w:tcW w:w="226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sz w:val="16"/>
                <w:szCs w:val="16"/>
              </w:rPr>
            </w:pPr>
            <w:r>
              <w:rPr>
                <w:rFonts w:cs="Arial" w:ascii="Cambria" w:hAnsi="Cambria"/>
                <w:sz w:val="16"/>
                <w:szCs w:val="16"/>
              </w:rPr>
            </w:r>
          </w:p>
        </w:tc>
      </w:tr>
      <w:tr>
        <w:trPr>
          <w:trHeight w:val="340" w:hRule="atLeast"/>
        </w:trPr>
        <w:tc>
          <w:tcPr>
            <w:tcW w:w="4621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 w:asciiTheme="majorHAnsi" w:hAnsiTheme="majorHAnsi"/>
                <w:sz w:val="16"/>
                <w:szCs w:val="16"/>
              </w:rPr>
              <w:t>Zásoby vytvorené vlastnou činnosťou</w:t>
            </w:r>
          </w:p>
        </w:tc>
        <w:tc>
          <w:tcPr>
            <w:tcW w:w="206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i w:val="false"/>
                <w:i w:val="false"/>
                <w:iCs w:val="false"/>
                <w:sz w:val="16"/>
                <w:szCs w:val="16"/>
              </w:rPr>
            </w:pPr>
            <w:r>
              <w:rPr>
                <w:rFonts w:cs="Arial" w:ascii="Cambria" w:hAnsi="Cambria"/>
                <w:i w:val="false"/>
                <w:iCs w:val="false"/>
                <w:sz w:val="16"/>
                <w:szCs w:val="16"/>
              </w:rPr>
              <w:t>vlastné náklady</w:t>
            </w:r>
          </w:p>
        </w:tc>
        <w:tc>
          <w:tcPr>
            <w:tcW w:w="226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sz w:val="16"/>
                <w:szCs w:val="16"/>
              </w:rPr>
            </w:pPr>
            <w:r>
              <w:rPr>
                <w:rFonts w:cs="Arial" w:ascii="Cambria" w:hAnsi="Cambria"/>
                <w:sz w:val="16"/>
                <w:szCs w:val="16"/>
              </w:rPr>
              <w:t>áno</w:t>
            </w:r>
          </w:p>
        </w:tc>
      </w:tr>
      <w:tr>
        <w:trPr>
          <w:trHeight w:val="340" w:hRule="atLeast"/>
        </w:trPr>
        <w:tc>
          <w:tcPr>
            <w:tcW w:w="4621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 w:asciiTheme="majorHAnsi" w:hAnsiTheme="majorHAnsi"/>
                <w:sz w:val="16"/>
                <w:szCs w:val="16"/>
              </w:rPr>
              <w:t>Pohľadávky</w:t>
            </w:r>
          </w:p>
        </w:tc>
        <w:tc>
          <w:tcPr>
            <w:tcW w:w="206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i w:val="false"/>
                <w:i w:val="false"/>
                <w:iCs w:val="false"/>
                <w:sz w:val="16"/>
                <w:szCs w:val="16"/>
              </w:rPr>
            </w:pPr>
            <w:r>
              <w:rPr>
                <w:rFonts w:cs="Arial" w:ascii="Cambria" w:hAnsi="Cambria"/>
                <w:i w:val="false"/>
                <w:iCs w:val="false"/>
                <w:sz w:val="16"/>
                <w:szCs w:val="16"/>
              </w:rPr>
              <w:t>menovitá hodnota</w:t>
            </w:r>
          </w:p>
        </w:tc>
        <w:tc>
          <w:tcPr>
            <w:tcW w:w="226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sz w:val="16"/>
                <w:szCs w:val="16"/>
              </w:rPr>
            </w:pPr>
            <w:r>
              <w:rPr>
                <w:rFonts w:cs="Arial" w:ascii="Cambria" w:hAnsi="Cambria"/>
                <w:sz w:val="16"/>
                <w:szCs w:val="16"/>
              </w:rPr>
            </w:r>
          </w:p>
        </w:tc>
      </w:tr>
      <w:tr>
        <w:trPr>
          <w:trHeight w:val="340" w:hRule="atLeast"/>
        </w:trPr>
        <w:tc>
          <w:tcPr>
            <w:tcW w:w="4621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 w:asciiTheme="majorHAnsi" w:hAnsiTheme="majorHAnsi"/>
                <w:sz w:val="16"/>
                <w:szCs w:val="16"/>
              </w:rPr>
              <w:t>Krátkodobý finančný majetok</w:t>
            </w:r>
          </w:p>
        </w:tc>
        <w:tc>
          <w:tcPr>
            <w:tcW w:w="206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i w:val="false"/>
                <w:i w:val="false"/>
                <w:iCs w:val="false"/>
                <w:sz w:val="16"/>
                <w:szCs w:val="16"/>
              </w:rPr>
            </w:pPr>
            <w:r>
              <w:rPr>
                <w:rFonts w:cs="Arial" w:ascii="Cambria" w:hAnsi="Cambria"/>
                <w:i w:val="false"/>
                <w:iCs w:val="false"/>
                <w:sz w:val="16"/>
                <w:szCs w:val="16"/>
              </w:rPr>
              <w:t>obstarávacia cena</w:t>
            </w:r>
          </w:p>
        </w:tc>
        <w:tc>
          <w:tcPr>
            <w:tcW w:w="226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sz w:val="16"/>
                <w:szCs w:val="16"/>
              </w:rPr>
            </w:pPr>
            <w:r>
              <w:rPr>
                <w:rFonts w:cs="Arial" w:ascii="Cambria" w:hAnsi="Cambria"/>
                <w:sz w:val="16"/>
                <w:szCs w:val="16"/>
              </w:rPr>
              <w:t>áno</w:t>
            </w:r>
          </w:p>
        </w:tc>
      </w:tr>
      <w:tr>
        <w:trPr>
          <w:trHeight w:val="340" w:hRule="atLeast"/>
        </w:trPr>
        <w:tc>
          <w:tcPr>
            <w:tcW w:w="4621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 w:asciiTheme="majorHAnsi" w:hAnsiTheme="majorHAnsi"/>
                <w:sz w:val="16"/>
                <w:szCs w:val="16"/>
              </w:rPr>
              <w:t>Záväzky vrátane rezerv, dlhopisov, pôžičiek a úverov</w:t>
            </w:r>
          </w:p>
        </w:tc>
        <w:tc>
          <w:tcPr>
            <w:tcW w:w="206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i w:val="false"/>
                <w:i w:val="false"/>
                <w:iCs w:val="false"/>
                <w:sz w:val="16"/>
                <w:szCs w:val="16"/>
              </w:rPr>
            </w:pPr>
            <w:r>
              <w:rPr>
                <w:rFonts w:cs="Arial" w:ascii="Cambria" w:hAnsi="Cambria"/>
                <w:i w:val="false"/>
                <w:iCs w:val="false"/>
                <w:sz w:val="16"/>
                <w:szCs w:val="16"/>
              </w:rPr>
              <w:t>menovitá hodnota</w:t>
            </w:r>
          </w:p>
        </w:tc>
        <w:tc>
          <w:tcPr>
            <w:tcW w:w="226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sz w:val="16"/>
                <w:szCs w:val="16"/>
              </w:rPr>
            </w:pPr>
            <w:r>
              <w:rPr>
                <w:rFonts w:cs="Arial" w:ascii="Cambria" w:hAnsi="Cambria"/>
                <w:sz w:val="16"/>
                <w:szCs w:val="16"/>
              </w:rPr>
            </w:r>
          </w:p>
        </w:tc>
      </w:tr>
      <w:tr>
        <w:trPr>
          <w:trHeight w:val="340" w:hRule="atLeast"/>
        </w:trPr>
        <w:tc>
          <w:tcPr>
            <w:tcW w:w="4621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 w:asciiTheme="majorHAnsi" w:hAnsiTheme="majorHAnsi"/>
                <w:sz w:val="16"/>
                <w:szCs w:val="16"/>
              </w:rPr>
              <w:t>Derivátové operácie</w:t>
            </w:r>
          </w:p>
        </w:tc>
        <w:tc>
          <w:tcPr>
            <w:tcW w:w="206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i w:val="false"/>
                <w:i w:val="false"/>
                <w:iCs w:val="false"/>
                <w:sz w:val="16"/>
                <w:szCs w:val="16"/>
              </w:rPr>
            </w:pPr>
            <w:r>
              <w:rPr>
                <w:rFonts w:cs="Arial" w:ascii="Cambria" w:hAnsi="Cambria"/>
                <w:i w:val="false"/>
                <w:iCs w:val="false"/>
                <w:sz w:val="16"/>
                <w:szCs w:val="16"/>
              </w:rPr>
              <w:t>menovitá hodnota</w:t>
            </w:r>
          </w:p>
        </w:tc>
        <w:tc>
          <w:tcPr>
            <w:tcW w:w="2269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sz w:val="16"/>
                <w:szCs w:val="16"/>
              </w:rPr>
            </w:pPr>
            <w:r>
              <w:rPr>
                <w:rFonts w:cs="Arial" w:ascii="Cambria" w:hAnsi="Cambria"/>
                <w:sz w:val="16"/>
                <w:szCs w:val="16"/>
              </w:rPr>
            </w:r>
          </w:p>
        </w:tc>
      </w:tr>
    </w:tbl>
    <w:p>
      <w:pPr>
        <w:pStyle w:val="Normal"/>
        <w:spacing w:lineRule="auto" w:line="240" w:before="0" w:after="0"/>
        <w:ind w:left="426" w:hanging="426"/>
        <w:jc w:val="both"/>
        <w:rPr>
          <w:rFonts w:ascii="Cambria" w:hAnsi="Cambria" w:cs="Arial" w:asciiTheme="majorHAnsi" w:hAnsiTheme="majorHAnsi"/>
          <w:b/>
          <w:b/>
          <w:sz w:val="16"/>
          <w:szCs w:val="16"/>
        </w:rPr>
      </w:pPr>
      <w:r>
        <w:rPr>
          <w:rFonts w:cs="Arial" w:ascii="Cambria" w:hAnsi="Cambria"/>
          <w:b/>
          <w:sz w:val="16"/>
          <w:szCs w:val="16"/>
        </w:rPr>
      </w:r>
    </w:p>
    <w:p>
      <w:pPr>
        <w:pStyle w:val="Normal"/>
        <w:spacing w:lineRule="auto" w:line="240" w:before="0" w:after="0"/>
        <w:jc w:val="both"/>
        <w:rPr>
          <w:rFonts w:ascii="Cambria" w:hAnsi="Cambria" w:cs="Arial" w:asciiTheme="majorHAnsi" w:hAnsiTheme="majorHAnsi"/>
          <w:sz w:val="16"/>
          <w:szCs w:val="16"/>
        </w:rPr>
      </w:pPr>
      <w:r>
        <w:rPr>
          <w:rFonts w:cs="Arial" w:ascii="Cambria" w:hAnsi="Cambria"/>
          <w:sz w:val="16"/>
          <w:szCs w:val="16"/>
        </w:rPr>
      </w:r>
    </w:p>
    <w:p>
      <w:pPr>
        <w:pStyle w:val="ListParagraph"/>
        <w:spacing w:lineRule="auto" w:line="240" w:before="0" w:after="0"/>
        <w:ind w:left="0" w:hanging="0"/>
        <w:contextualSpacing/>
        <w:jc w:val="both"/>
        <w:rPr>
          <w:rFonts w:ascii="Cambria" w:hAnsi="Cambria" w:cs="Arial" w:asciiTheme="majorHAnsi" w:hAnsiTheme="majorHAnsi"/>
        </w:rPr>
      </w:pPr>
      <w:r>
        <w:rPr>
          <w:rFonts w:eastAsia="MS Gothic" w:cs="Arial" w:ascii="Cambria" w:hAnsi="Cambria" w:asciiTheme="majorHAnsi" w:hAnsiTheme="majorHAnsi"/>
          <w:b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II. 3 Spôsob zostavenia odpisového plánu dlhodobého majetku</w:t>
      </w:r>
    </w:p>
    <w:p>
      <w:pPr>
        <w:pStyle w:val="Normal"/>
        <w:spacing w:lineRule="auto" w:line="240" w:before="0" w:after="0"/>
        <w:jc w:val="both"/>
        <w:rPr>
          <w:rFonts w:ascii="Cambria" w:hAnsi="Cambria" w:cs="Arial" w:asciiTheme="majorHAnsi" w:hAnsiTheme="majorHAnsi"/>
          <w:sz w:val="16"/>
          <w:szCs w:val="16"/>
        </w:rPr>
      </w:pPr>
      <w:r>
        <w:rPr>
          <w:rFonts w:cs="Arial" w:ascii="Cambria" w:hAnsi="Cambria"/>
          <w:sz w:val="16"/>
          <w:szCs w:val="16"/>
        </w:rPr>
      </w:r>
    </w:p>
    <w:p>
      <w:pPr>
        <w:pStyle w:val="Normal"/>
        <w:spacing w:lineRule="auto" w:line="240"/>
        <w:jc w:val="both"/>
        <w:rPr>
          <w:rFonts w:ascii="Cambria" w:hAnsi="Cambria" w:cs="Arial" w:asciiTheme="majorHAnsi" w:hAnsiTheme="majorHAnsi"/>
          <w:sz w:val="20"/>
          <w:szCs w:val="20"/>
        </w:rPr>
      </w:pPr>
      <w:r>
        <w:rPr>
          <w:rFonts w:cs="Arial" w:ascii="Cambria" w:hAnsi="Cambria" w:asciiTheme="majorHAnsi" w:hAnsiTheme="majorHAnsi"/>
          <w:sz w:val="16"/>
          <w:szCs w:val="16"/>
        </w:rPr>
        <w:t>Spôsob zostavenia účtovného odpisového plánu pre dlhodobý hmotný majetok a dlhodobý nehmotný majetok, doba odpisovania a použité sadzby a odpisové metódy pri stanovení účtovných odpisov:</w:t>
      </w:r>
    </w:p>
    <w:tbl>
      <w:tblPr>
        <w:tblStyle w:val="Mriekatabuky"/>
        <w:tblW w:w="8954" w:type="dxa"/>
        <w:jc w:val="left"/>
        <w:tblInd w:w="108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157"/>
        <w:gridCol w:w="2273"/>
        <w:gridCol w:w="2260"/>
        <w:gridCol w:w="2263"/>
      </w:tblGrid>
      <w:tr>
        <w:trPr>
          <w:trHeight w:val="397" w:hRule="atLeast"/>
        </w:trPr>
        <w:tc>
          <w:tcPr>
            <w:tcW w:w="2157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b/>
                <w:b/>
                <w:sz w:val="20"/>
                <w:szCs w:val="20"/>
              </w:rPr>
            </w:pPr>
            <w:r>
              <w:rPr>
                <w:rFonts w:cs="Arial" w:ascii="Cambria" w:hAnsi="Cambria" w:asciiTheme="majorHAnsi" w:hAnsiTheme="majorHAnsi"/>
                <w:b/>
                <w:sz w:val="16"/>
                <w:szCs w:val="16"/>
              </w:rPr>
              <w:t>Druh majetku</w:t>
            </w:r>
          </w:p>
        </w:tc>
        <w:tc>
          <w:tcPr>
            <w:tcW w:w="227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b/>
                <w:b/>
                <w:sz w:val="20"/>
                <w:szCs w:val="20"/>
              </w:rPr>
            </w:pPr>
            <w:r>
              <w:rPr>
                <w:rFonts w:cs="Arial" w:ascii="Cambria" w:hAnsi="Cambria" w:asciiTheme="majorHAnsi" w:hAnsiTheme="majorHAnsi"/>
                <w:b/>
                <w:sz w:val="16"/>
                <w:szCs w:val="16"/>
              </w:rPr>
              <w:t>Doba odpisovania</w:t>
            </w:r>
          </w:p>
        </w:tc>
        <w:tc>
          <w:tcPr>
            <w:tcW w:w="226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b/>
                <w:b/>
                <w:sz w:val="20"/>
                <w:szCs w:val="20"/>
              </w:rPr>
            </w:pPr>
            <w:r>
              <w:rPr>
                <w:rFonts w:cs="Arial" w:ascii="Cambria" w:hAnsi="Cambria" w:asciiTheme="majorHAnsi" w:hAnsiTheme="majorHAnsi"/>
                <w:b/>
                <w:sz w:val="16"/>
                <w:szCs w:val="16"/>
              </w:rPr>
              <w:t>Sadzba odpisov</w:t>
            </w:r>
          </w:p>
        </w:tc>
        <w:tc>
          <w:tcPr>
            <w:tcW w:w="226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b/>
                <w:b/>
                <w:sz w:val="20"/>
                <w:szCs w:val="20"/>
              </w:rPr>
            </w:pPr>
            <w:r>
              <w:rPr>
                <w:rFonts w:cs="Arial" w:ascii="Cambria" w:hAnsi="Cambria" w:asciiTheme="majorHAnsi" w:hAnsiTheme="majorHAnsi"/>
                <w:b/>
                <w:sz w:val="16"/>
                <w:szCs w:val="16"/>
              </w:rPr>
              <w:t>Odpisová metóda</w:t>
            </w:r>
          </w:p>
        </w:tc>
      </w:tr>
      <w:tr>
        <w:trPr>
          <w:trHeight w:val="397" w:hRule="atLeast"/>
        </w:trPr>
        <w:tc>
          <w:tcPr>
            <w:tcW w:w="215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16"/>
                <w:szCs w:val="16"/>
              </w:rPr>
            </w:pPr>
            <w:r>
              <w:rPr>
                <w:rFonts w:cs="Arial" w:ascii="Cambria" w:hAnsi="Cambria"/>
                <w:sz w:val="16"/>
                <w:szCs w:val="16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16"/>
                <w:szCs w:val="16"/>
              </w:rPr>
            </w:pPr>
            <w:r>
              <w:rPr>
                <w:rFonts w:cs="Arial" w:ascii="Cambria" w:hAnsi="Cambria"/>
                <w:sz w:val="16"/>
                <w:szCs w:val="16"/>
              </w:rPr>
              <w:t xml:space="preserve">nehnuteľnosť   </w:t>
            </w:r>
          </w:p>
        </w:tc>
        <w:tc>
          <w:tcPr>
            <w:tcW w:w="227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16"/>
                <w:szCs w:val="16"/>
              </w:rPr>
            </w:pPr>
            <w:r>
              <w:rPr>
                <w:rFonts w:cs="Arial" w:ascii="Cambria" w:hAnsi="Cambria"/>
                <w:sz w:val="16"/>
                <w:szCs w:val="16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16"/>
                <w:szCs w:val="16"/>
              </w:rPr>
            </w:pPr>
            <w:r>
              <w:rPr>
                <w:rFonts w:cs="Arial" w:ascii="Cambria" w:hAnsi="Cambria"/>
                <w:sz w:val="16"/>
                <w:szCs w:val="16"/>
              </w:rPr>
              <w:t>40 rokov</w:t>
            </w:r>
          </w:p>
        </w:tc>
        <w:tc>
          <w:tcPr>
            <w:tcW w:w="226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16"/>
                <w:szCs w:val="16"/>
              </w:rPr>
            </w:pPr>
            <w:r>
              <w:rPr>
                <w:rFonts w:cs="Arial" w:ascii="Cambria" w:hAnsi="Cambria"/>
                <w:sz w:val="16"/>
                <w:szCs w:val="16"/>
              </w:rPr>
            </w:r>
          </w:p>
        </w:tc>
        <w:tc>
          <w:tcPr>
            <w:tcW w:w="226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16"/>
                <w:szCs w:val="16"/>
              </w:rPr>
            </w:pPr>
            <w:r>
              <w:rPr>
                <w:rFonts w:cs="Arial" w:ascii="Cambria" w:hAnsi="Cambria"/>
                <w:sz w:val="16"/>
                <w:szCs w:val="16"/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16"/>
                <w:szCs w:val="16"/>
              </w:rPr>
            </w:pPr>
            <w:r>
              <w:rPr>
                <w:rFonts w:cs="Arial" w:ascii="Cambria" w:hAnsi="Cambria"/>
                <w:sz w:val="16"/>
                <w:szCs w:val="16"/>
              </w:rPr>
              <w:t>rovnomerne</w:t>
            </w:r>
          </w:p>
        </w:tc>
      </w:tr>
      <w:tr>
        <w:trPr>
          <w:trHeight w:val="397" w:hRule="atLeast"/>
        </w:trPr>
        <w:tc>
          <w:tcPr>
            <w:tcW w:w="215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16"/>
                <w:szCs w:val="16"/>
              </w:rPr>
            </w:pPr>
            <w:r>
              <w:rPr>
                <w:rFonts w:cs="Arial" w:ascii="Cambria" w:hAnsi="Cambria"/>
                <w:sz w:val="16"/>
                <w:szCs w:val="16"/>
              </w:rPr>
            </w:r>
          </w:p>
        </w:tc>
        <w:tc>
          <w:tcPr>
            <w:tcW w:w="227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16"/>
                <w:szCs w:val="16"/>
              </w:rPr>
            </w:pPr>
            <w:r>
              <w:rPr>
                <w:rFonts w:cs="Arial" w:ascii="Cambria" w:hAnsi="Cambria"/>
                <w:sz w:val="16"/>
                <w:szCs w:val="16"/>
              </w:rPr>
            </w:r>
          </w:p>
        </w:tc>
        <w:tc>
          <w:tcPr>
            <w:tcW w:w="226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16"/>
                <w:szCs w:val="16"/>
              </w:rPr>
            </w:pPr>
            <w:r>
              <w:rPr>
                <w:rFonts w:cs="Arial" w:ascii="Cambria" w:hAnsi="Cambria"/>
                <w:sz w:val="16"/>
                <w:szCs w:val="16"/>
              </w:rPr>
            </w:r>
          </w:p>
        </w:tc>
        <w:tc>
          <w:tcPr>
            <w:tcW w:w="226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16"/>
                <w:szCs w:val="16"/>
              </w:rPr>
            </w:pPr>
            <w:r>
              <w:rPr>
                <w:rFonts w:cs="Arial" w:ascii="Cambria" w:hAnsi="Cambria"/>
                <w:sz w:val="16"/>
                <w:szCs w:val="16"/>
              </w:rPr>
            </w:r>
          </w:p>
        </w:tc>
      </w:tr>
      <w:tr>
        <w:trPr>
          <w:trHeight w:val="397" w:hRule="atLeast"/>
        </w:trPr>
        <w:tc>
          <w:tcPr>
            <w:tcW w:w="215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16"/>
                <w:szCs w:val="16"/>
              </w:rPr>
            </w:pPr>
            <w:r>
              <w:rPr>
                <w:rFonts w:cs="Arial" w:ascii="Cambria" w:hAnsi="Cambria"/>
                <w:sz w:val="16"/>
                <w:szCs w:val="16"/>
              </w:rPr>
            </w:r>
          </w:p>
        </w:tc>
        <w:tc>
          <w:tcPr>
            <w:tcW w:w="227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16"/>
                <w:szCs w:val="16"/>
              </w:rPr>
            </w:pPr>
            <w:r>
              <w:rPr>
                <w:rFonts w:cs="Arial" w:ascii="Cambria" w:hAnsi="Cambria"/>
                <w:sz w:val="16"/>
                <w:szCs w:val="16"/>
              </w:rPr>
            </w:r>
          </w:p>
        </w:tc>
        <w:tc>
          <w:tcPr>
            <w:tcW w:w="226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16"/>
                <w:szCs w:val="16"/>
              </w:rPr>
            </w:pPr>
            <w:r>
              <w:rPr>
                <w:rFonts w:cs="Arial" w:ascii="Cambria" w:hAnsi="Cambria"/>
                <w:sz w:val="16"/>
                <w:szCs w:val="16"/>
              </w:rPr>
            </w:r>
          </w:p>
        </w:tc>
        <w:tc>
          <w:tcPr>
            <w:tcW w:w="226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16"/>
                <w:szCs w:val="16"/>
              </w:rPr>
            </w:pPr>
            <w:r>
              <w:rPr>
                <w:rFonts w:cs="Arial" w:ascii="Cambria" w:hAnsi="Cambria"/>
                <w:sz w:val="16"/>
                <w:szCs w:val="16"/>
              </w:rPr>
            </w:r>
          </w:p>
        </w:tc>
      </w:tr>
      <w:tr>
        <w:trPr>
          <w:trHeight w:val="397" w:hRule="atLeast"/>
        </w:trPr>
        <w:tc>
          <w:tcPr>
            <w:tcW w:w="215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16"/>
                <w:szCs w:val="16"/>
              </w:rPr>
            </w:pPr>
            <w:r>
              <w:rPr>
                <w:rFonts w:cs="Arial" w:ascii="Cambria" w:hAnsi="Cambria"/>
                <w:sz w:val="16"/>
                <w:szCs w:val="16"/>
              </w:rPr>
            </w:r>
          </w:p>
        </w:tc>
        <w:tc>
          <w:tcPr>
            <w:tcW w:w="227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16"/>
                <w:szCs w:val="16"/>
              </w:rPr>
            </w:pPr>
            <w:r>
              <w:rPr>
                <w:rFonts w:cs="Arial" w:ascii="Cambria" w:hAnsi="Cambria"/>
                <w:sz w:val="16"/>
                <w:szCs w:val="16"/>
              </w:rPr>
            </w:r>
          </w:p>
        </w:tc>
        <w:tc>
          <w:tcPr>
            <w:tcW w:w="226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16"/>
                <w:szCs w:val="16"/>
              </w:rPr>
            </w:pPr>
            <w:r>
              <w:rPr>
                <w:rFonts w:cs="Arial" w:ascii="Cambria" w:hAnsi="Cambria"/>
                <w:sz w:val="16"/>
                <w:szCs w:val="16"/>
              </w:rPr>
            </w:r>
          </w:p>
        </w:tc>
        <w:tc>
          <w:tcPr>
            <w:tcW w:w="226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16"/>
                <w:szCs w:val="16"/>
              </w:rPr>
            </w:pPr>
            <w:r>
              <w:rPr>
                <w:rFonts w:cs="Arial" w:ascii="Cambria" w:hAnsi="Cambria"/>
                <w:sz w:val="16"/>
                <w:szCs w:val="16"/>
              </w:rPr>
            </w:r>
          </w:p>
        </w:tc>
      </w:tr>
      <w:tr>
        <w:trPr>
          <w:trHeight w:val="397" w:hRule="atLeast"/>
        </w:trPr>
        <w:tc>
          <w:tcPr>
            <w:tcW w:w="2157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16"/>
                <w:szCs w:val="16"/>
              </w:rPr>
            </w:pPr>
            <w:r>
              <w:rPr>
                <w:rFonts w:cs="Arial" w:ascii="Cambria" w:hAnsi="Cambria"/>
                <w:sz w:val="16"/>
                <w:szCs w:val="16"/>
              </w:rPr>
            </w:r>
          </w:p>
        </w:tc>
        <w:tc>
          <w:tcPr>
            <w:tcW w:w="227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16"/>
                <w:szCs w:val="16"/>
              </w:rPr>
            </w:pPr>
            <w:r>
              <w:rPr>
                <w:rFonts w:cs="Arial" w:ascii="Cambria" w:hAnsi="Cambria"/>
                <w:sz w:val="16"/>
                <w:szCs w:val="16"/>
              </w:rPr>
            </w:r>
          </w:p>
        </w:tc>
        <w:tc>
          <w:tcPr>
            <w:tcW w:w="2260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16"/>
                <w:szCs w:val="16"/>
              </w:rPr>
            </w:pPr>
            <w:r>
              <w:rPr>
                <w:rFonts w:cs="Arial" w:ascii="Cambria" w:hAnsi="Cambria"/>
                <w:sz w:val="16"/>
                <w:szCs w:val="16"/>
              </w:rPr>
            </w:r>
          </w:p>
        </w:tc>
        <w:tc>
          <w:tcPr>
            <w:tcW w:w="2263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16"/>
                <w:szCs w:val="16"/>
              </w:rPr>
            </w:pPr>
            <w:r>
              <w:rPr>
                <w:rFonts w:cs="Arial" w:ascii="Cambria" w:hAnsi="Cambria"/>
                <w:sz w:val="16"/>
                <w:szCs w:val="16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Cambria" w:hAnsi="Cambria" w:cs="Arial" w:asciiTheme="majorHAnsi" w:hAnsiTheme="majorHAnsi"/>
          <w:sz w:val="16"/>
          <w:szCs w:val="16"/>
        </w:rPr>
      </w:pPr>
      <w:r>
        <w:rPr>
          <w:rFonts w:cs="Arial" w:ascii="Cambria" w:hAnsi="Cambria"/>
          <w:sz w:val="16"/>
          <w:szCs w:val="16"/>
        </w:rPr>
      </w:r>
    </w:p>
    <w:p>
      <w:pPr>
        <w:pStyle w:val="Normal"/>
        <w:spacing w:lineRule="auto" w:line="240" w:before="0" w:after="0"/>
        <w:jc w:val="both"/>
        <w:rPr>
          <w:rFonts w:ascii="Cambria" w:hAnsi="Cambria" w:cs="Arial" w:asciiTheme="majorHAnsi" w:hAnsiTheme="majorHAnsi"/>
          <w:sz w:val="16"/>
          <w:szCs w:val="16"/>
        </w:rPr>
      </w:pPr>
      <w:r>
        <w:rPr>
          <w:rFonts w:cs="Arial" w:ascii="Cambria" w:hAnsi="Cambria"/>
          <w:sz w:val="16"/>
          <w:szCs w:val="16"/>
        </w:rPr>
      </w:r>
    </w:p>
    <w:p>
      <w:pPr>
        <w:pStyle w:val="Normal"/>
        <w:spacing w:lineRule="auto" w:line="240" w:before="0" w:after="0"/>
        <w:jc w:val="both"/>
        <w:rPr/>
      </w:pP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Mincho" w:cs="MS Mincho" w:ascii="MS Mincho" w:hAnsi="MS Mincho"/>
              <w:b/>
              <w:sz w:val="16"/>
              <w:szCs w:val="16"/>
            </w:rPr>
            <w:t>☐</w:t>
          </w:r>
        </w:sdtContent>
      </w:sdt>
      <w:r>
        <w:rPr>
          <w:rFonts w:eastAsia="MS Gothic" w:cs="Arial" w:ascii="Cambria" w:hAnsi="Cambria" w:asciiTheme="majorHAnsi" w:hAnsiTheme="majorHAnsi"/>
          <w:b/>
          <w:sz w:val="16"/>
          <w:szCs w:val="16"/>
        </w:rPr>
        <w:tab/>
      </w:r>
      <w:r>
        <w:rPr>
          <w:rFonts w:eastAsia="MS Gothic" w:cs="Arial" w:ascii="Cambria" w:hAnsi="Cambria" w:asciiTheme="majorHAnsi" w:hAnsiTheme="majorHAnsi"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>
        <w:rPr>
          <w:rFonts w:eastAsia="MS Gothic" w:cs="Arial" w:ascii="Cambria" w:hAnsi="Cambria" w:asciiTheme="majorHAnsi" w:hAnsiTheme="majorHAnsi"/>
          <w:b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nehmotného majetku</w:t>
      </w:r>
      <w:r>
        <w:rPr>
          <w:rFonts w:eastAsia="MS Gothic" w:cs="Arial" w:ascii="Cambria" w:hAnsi="Cambria" w:asciiTheme="majorHAnsi" w:hAnsiTheme="majorHAnsi"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zostavený účtovnou jednotkou vychádza z predpokladanej doby použiteľnosti dlhodobého nehmotného majetku a/alebo iných objektívnych predpokladov :</w:t>
      </w:r>
    </w:p>
    <w:p>
      <w:pPr>
        <w:pStyle w:val="Normal"/>
        <w:spacing w:lineRule="auto" w:line="240" w:before="0" w:after="0"/>
        <w:jc w:val="both"/>
        <w:rPr>
          <w:sz w:val="16"/>
          <w:szCs w:val="16"/>
        </w:rPr>
      </w:pPr>
      <w:r>
        <w:rPr>
          <w:rFonts w:eastAsia="MS Gothic" w:cs="Arial" w:ascii="Cambria" w:hAnsi="Cambria" w:asciiTheme="majorHAnsi" w:hAnsiTheme="majorHAnsi"/>
          <w:b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     </w:t>
      </w:r>
    </w:p>
    <w:p>
      <w:pPr>
        <w:pStyle w:val="Normal"/>
        <w:spacing w:lineRule="auto" w:line="240" w:before="0" w:after="0"/>
        <w:jc w:val="both"/>
        <w:rPr>
          <w:rFonts w:ascii="Cambria" w:hAnsi="Cambria"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Mincho" w:cs="MS Mincho" w:ascii="MS Mincho" w:hAnsi="MS Mincho"/>
              <w:b/>
              <w:sz w:val="16"/>
              <w:szCs w:val="16"/>
            </w:rPr>
            <w:t>☐</w:t>
          </w:r>
        </w:sdtContent>
      </w:sdt>
      <w:r>
        <w:rPr>
          <w:rFonts w:eastAsia="MS Gothic" w:cs="Arial" w:ascii="Cambria" w:hAnsi="Cambria" w:asciiTheme="majorHAnsi" w:hAnsiTheme="majorHAnsi"/>
          <w:b/>
          <w:sz w:val="16"/>
          <w:szCs w:val="16"/>
        </w:rPr>
        <w:tab/>
      </w:r>
      <w:r>
        <w:rPr>
          <w:rFonts w:eastAsia="MS Gothic" w:cs="Arial" w:ascii="Cambria" w:hAnsi="Cambria" w:asciiTheme="majorHAnsi" w:hAnsiTheme="majorHAnsi"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Odpisový plán bol ovplyvnený týmito rozhodnutiami:</w:t>
      </w:r>
    </w:p>
    <w:p>
      <w:pPr>
        <w:pStyle w:val="Normal"/>
        <w:spacing w:lineRule="auto" w:line="240" w:before="0" w:after="0"/>
        <w:jc w:val="both"/>
        <w:rPr>
          <w:sz w:val="16"/>
          <w:szCs w:val="16"/>
        </w:rPr>
      </w:pPr>
      <w:r>
        <w:rPr>
          <w:rFonts w:eastAsia="MS Gothic" w:cs="Arial" w:ascii="Cambria" w:hAnsi="Cambria" w:asciiTheme="majorHAnsi" w:hAnsiTheme="majorHAnsi"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     </w:t>
      </w:r>
    </w:p>
    <w:p>
      <w:pPr>
        <w:pStyle w:val="Normal"/>
        <w:spacing w:lineRule="auto" w:line="240" w:before="0" w:after="0"/>
        <w:jc w:val="both"/>
        <w:rPr>
          <w:sz w:val="16"/>
          <w:szCs w:val="16"/>
        </w:rPr>
      </w:pP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Mincho" w:cs="MS Mincho" w:ascii="MS Mincho" w:hAnsi="MS Mincho"/>
              <w:b/>
              <w:sz w:val="16"/>
              <w:szCs w:val="16"/>
            </w:rPr>
            <w:t>☐</w:t>
          </w:r>
        </w:sdtContent>
      </w:sdt>
      <w:r>
        <w:rPr>
          <w:rFonts w:eastAsia="MS Gothic" w:cs="Arial" w:ascii="Cambria" w:hAnsi="Cambria" w:asciiTheme="majorHAnsi" w:hAnsiTheme="majorHAnsi"/>
          <w:b/>
          <w:sz w:val="16"/>
          <w:szCs w:val="16"/>
        </w:rPr>
        <w:tab/>
      </w:r>
      <w:r>
        <w:rPr>
          <w:rFonts w:eastAsia="MS Gothic" w:cs="Arial" w:ascii="Cambria" w:hAnsi="Cambria" w:asciiTheme="majorHAnsi" w:hAnsiTheme="majorHAnsi"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>
        <w:rPr>
          <w:rFonts w:eastAsia="MS Gothic" w:cs="Arial" w:ascii="Cambria" w:hAnsi="Cambria" w:asciiTheme="majorHAnsi" w:hAnsiTheme="majorHAnsi"/>
          <w:b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>
        <w:rPr>
          <w:rFonts w:eastAsia="MS Gothic" w:cs="Arial" w:ascii="Cambria" w:hAnsi="Cambria" w:asciiTheme="majorHAnsi" w:hAnsiTheme="majorHAnsi"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zostavený účtovnou jednotkou interným predpisom vychádzal z predpokladaného opotrebenia zaraďovaného majetku zodpovedajúceho miere opotrebenia v bežných podmienkach jeho používania. Odpisové sadzby pre účtovné a daňové odpisy  </w:t>
      </w:r>
      <w:r>
        <w:rPr>
          <w:rFonts w:eastAsia="MS Gothic" w:cs="Arial" w:ascii="Cambria" w:hAnsi="Cambria" w:asciiTheme="majorHAnsi" w:hAnsiTheme="majorHAnsi"/>
          <w:b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nerovnajú</w:t>
      </w:r>
      <w:r>
        <w:rPr>
          <w:rFonts w:eastAsia="MS Gothic" w:cs="Arial" w:ascii="Cambria" w:hAnsi="Cambria" w:asciiTheme="majorHAnsi" w:hAnsiTheme="majorHAnsi"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.</w:t>
      </w:r>
    </w:p>
    <w:p>
      <w:pPr>
        <w:pStyle w:val="Normal"/>
        <w:spacing w:lineRule="auto" w:line="240" w:before="0" w:after="0"/>
        <w:jc w:val="both"/>
        <w:rPr>
          <w:rFonts w:ascii="Cambria" w:hAnsi="Cambria" w:eastAsia="MS Gothic" w:cs="Arial" w:asciiTheme="majorHAnsi" w:hAnsiTheme="majorHAnsi"/>
          <w:b/>
          <w:b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="Cambria" w:hAnsi="Cambria"/>
          <w:b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 w:before="0" w:after="0"/>
        <w:jc w:val="both"/>
        <w:rPr>
          <w:sz w:val="16"/>
          <w:szCs w:val="16"/>
        </w:rPr>
      </w:pPr>
      <w:sdt>
        <w:sdtPr>
          <w14:checkbox>
            <w14:checked w:val=""/>
            <w14:checkedState w:val=""/>
            <w14:uncheckedState w:val=""/>
          </w14:checkbox>
        </w:sdtPr>
        <w:sdtContent>
          <w:r>
            <w:rPr>
              <w:rFonts w:eastAsia="MS Mincho" w:cs="MS Mincho" w:ascii="MS Mincho" w:hAnsi="MS Mincho"/>
              <w:b/>
              <w:sz w:val="16"/>
              <w:szCs w:val="16"/>
            </w:rPr>
            <w:t>X</w:t>
          </w:r>
        </w:sdtContent>
      </w:sdt>
      <w:r>
        <w:rPr>
          <w:rFonts w:eastAsia="MS Gothic" w:cs="Arial" w:ascii="Cambria" w:hAnsi="Cambria" w:asciiTheme="majorHAnsi" w:hAnsiTheme="majorHAnsi"/>
          <w:b/>
          <w:sz w:val="16"/>
          <w:szCs w:val="16"/>
        </w:rPr>
        <w:tab/>
      </w:r>
      <w:r>
        <w:rPr>
          <w:rFonts w:eastAsia="MS Gothic" w:cs="Arial" w:ascii="Cambria" w:hAnsi="Cambria" w:asciiTheme="majorHAnsi" w:hAnsiTheme="majorHAnsi"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Odpisový plán účtovných odpisov </w:t>
      </w:r>
      <w:r>
        <w:rPr>
          <w:rFonts w:eastAsia="MS Gothic" w:cs="Arial" w:ascii="Cambria" w:hAnsi="Cambria" w:asciiTheme="majorHAnsi" w:hAnsiTheme="majorHAnsi"/>
          <w:b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dlhodobého hmotného majetku</w:t>
      </w:r>
      <w:r>
        <w:rPr>
          <w:rFonts w:eastAsia="MS Gothic" w:cs="Arial" w:ascii="Cambria" w:hAnsi="Cambria" w:asciiTheme="majorHAnsi" w:hAnsiTheme="majorHAnsi"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bol zostavený účtovnou jednotkou interným predpisom tak, že za základ odhadu miery opotrebenia dlhodobého hmotného majetku vzal metódy používané pri vyčísľovaní daňových odpisov. Odpisové sadzby pre účtovné a daňové odpisy </w:t>
      </w:r>
      <w:r>
        <w:rPr>
          <w:rFonts w:eastAsia="MS Gothic" w:cs="Arial" w:ascii="Cambria" w:hAnsi="Cambria" w:asciiTheme="majorHAnsi" w:hAnsiTheme="majorHAnsi"/>
          <w:b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sa rovnajú</w:t>
      </w:r>
      <w:r>
        <w:rPr>
          <w:rFonts w:eastAsia="MS Gothic" w:cs="Arial" w:ascii="Cambria" w:hAnsi="Cambria" w:asciiTheme="majorHAnsi" w:hAnsiTheme="majorHAnsi"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. </w:t>
      </w:r>
    </w:p>
    <w:p>
      <w:pPr>
        <w:pStyle w:val="Normal"/>
        <w:spacing w:lineRule="auto" w:line="240" w:before="0" w:after="0"/>
        <w:ind w:left="426" w:hanging="426"/>
        <w:jc w:val="both"/>
        <w:rPr>
          <w:rFonts w:ascii="Cambria" w:hAnsi="Cambria" w:cs="Arial" w:asciiTheme="majorHAnsi" w:hAnsiTheme="majorHAnsi"/>
          <w:b/>
          <w:b/>
          <w:sz w:val="16"/>
          <w:szCs w:val="16"/>
        </w:rPr>
      </w:pPr>
      <w:r>
        <w:rPr>
          <w:rFonts w:cs="Arial" w:ascii="Cambria" w:hAnsi="Cambria"/>
          <w:b/>
          <w:sz w:val="16"/>
          <w:szCs w:val="16"/>
        </w:rPr>
      </w:r>
    </w:p>
    <w:p>
      <w:pPr>
        <w:pStyle w:val="Normal"/>
        <w:spacing w:lineRule="auto" w:line="240" w:before="0" w:after="0"/>
        <w:ind w:left="426" w:hanging="426"/>
        <w:jc w:val="both"/>
        <w:rPr>
          <w:rFonts w:ascii="Cambria" w:hAnsi="Cambria" w:cs="Arial" w:asciiTheme="majorHAnsi" w:hAnsiTheme="majorHAnsi"/>
          <w:b/>
          <w:b/>
          <w:sz w:val="16"/>
          <w:szCs w:val="16"/>
        </w:rPr>
      </w:pPr>
      <w:r>
        <w:rPr>
          <w:rFonts w:cs="Arial" w:ascii="Cambria" w:hAnsi="Cambria"/>
          <w:b/>
          <w:sz w:val="16"/>
          <w:szCs w:val="16"/>
        </w:rPr>
      </w:r>
    </w:p>
    <w:p>
      <w:pPr>
        <w:pStyle w:val="Normal"/>
        <w:spacing w:lineRule="auto" w:line="240" w:before="0" w:after="0"/>
        <w:ind w:left="426" w:hanging="426"/>
        <w:jc w:val="both"/>
        <w:rPr>
          <w:rFonts w:ascii="Cambria" w:hAnsi="Cambria" w:cs="Arial" w:asciiTheme="majorHAnsi" w:hAnsiTheme="majorHAnsi"/>
          <w:b/>
          <w:b/>
        </w:rPr>
      </w:pPr>
      <w:r>
        <w:rPr>
          <w:rFonts w:cs="Arial" w:ascii="Cambria" w:hAnsi="Cambria" w:asciiTheme="majorHAnsi" w:hAnsiTheme="majorHAnsi"/>
          <w:b/>
          <w:sz w:val="16"/>
          <w:szCs w:val="16"/>
        </w:rPr>
        <w:t>II. 4  Zmeny účtovných zásad a metód:</w:t>
      </w:r>
    </w:p>
    <w:p>
      <w:pPr>
        <w:pStyle w:val="Normal"/>
        <w:spacing w:lineRule="auto" w:line="240"/>
        <w:ind w:left="426" w:hanging="426"/>
        <w:jc w:val="both"/>
        <w:rPr>
          <w:rFonts w:ascii="Cambria" w:hAnsi="Cambria" w:cs="Arial" w:asciiTheme="majorHAnsi" w:hAnsiTheme="majorHAnsi"/>
          <w:sz w:val="16"/>
          <w:szCs w:val="16"/>
        </w:rPr>
      </w:pPr>
      <w:r>
        <w:rPr>
          <w:rFonts w:cs="Arial" w:ascii="Cambria" w:hAnsi="Cambria"/>
          <w:sz w:val="16"/>
          <w:szCs w:val="16"/>
        </w:rPr>
      </w:r>
    </w:p>
    <w:p>
      <w:pPr>
        <w:pStyle w:val="Normal"/>
        <w:spacing w:lineRule="auto" w:line="240"/>
        <w:ind w:left="426" w:hanging="426"/>
        <w:jc w:val="both"/>
        <w:rPr/>
      </w:pPr>
      <w:r>
        <w:rPr>
          <w:rFonts w:cs="Arial" w:ascii="Cambria" w:hAnsi="Cambria" w:asciiTheme="majorHAnsi" w:hAnsiTheme="majorHAnsi"/>
          <w:sz w:val="16"/>
          <w:szCs w:val="16"/>
        </w:rPr>
        <w:t xml:space="preserve">Účtovné metódy a zásady boli aplikované v rámci platného ZoÚ,  s nasledovnými osobitosťami: </w:t>
      </w:r>
    </w:p>
    <w:tbl>
      <w:tblPr>
        <w:tblStyle w:val="Mriekatabuky"/>
        <w:tblW w:w="9015" w:type="dxa"/>
        <w:jc w:val="left"/>
        <w:tblInd w:w="108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835"/>
        <w:gridCol w:w="2976"/>
        <w:gridCol w:w="3204"/>
      </w:tblGrid>
      <w:tr>
        <w:trPr/>
        <w:tc>
          <w:tcPr>
            <w:tcW w:w="283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34" w:hanging="34"/>
              <w:jc w:val="center"/>
              <w:rPr>
                <w:rFonts w:ascii="Cambria" w:hAnsi="Cambria" w:cs="Arial" w:asciiTheme="majorHAnsi" w:hAnsiTheme="majorHAnsi"/>
                <w:b/>
                <w:b/>
                <w:sz w:val="20"/>
                <w:szCs w:val="20"/>
              </w:rPr>
            </w:pPr>
            <w:r>
              <w:rPr>
                <w:rFonts w:cs="Arial" w:ascii="Cambria" w:hAnsi="Cambria" w:asciiTheme="majorHAnsi" w:hAnsiTheme="majorHAnsi"/>
                <w:b/>
                <w:sz w:val="16"/>
                <w:szCs w:val="16"/>
              </w:rPr>
              <w:t>Druh zmeny zásady</w:t>
            </w:r>
          </w:p>
          <w:p>
            <w:pPr>
              <w:pStyle w:val="Normal"/>
              <w:spacing w:lineRule="auto" w:line="240" w:before="0" w:after="0"/>
              <w:ind w:left="34" w:hanging="34"/>
              <w:jc w:val="center"/>
              <w:rPr>
                <w:rFonts w:ascii="Cambria" w:hAnsi="Cambria" w:cs="Arial" w:asciiTheme="majorHAnsi" w:hAnsiTheme="majorHAnsi"/>
                <w:b/>
                <w:b/>
                <w:sz w:val="20"/>
                <w:szCs w:val="20"/>
              </w:rPr>
            </w:pPr>
            <w:r>
              <w:rPr>
                <w:rFonts w:cs="Arial" w:ascii="Cambria" w:hAnsi="Cambria" w:asciiTheme="majorHAnsi" w:hAnsiTheme="majorHAnsi"/>
                <w:b/>
                <w:sz w:val="16"/>
                <w:szCs w:val="16"/>
              </w:rPr>
              <w:t>alebo metódy</w:t>
            </w:r>
          </w:p>
        </w:tc>
        <w:tc>
          <w:tcPr>
            <w:tcW w:w="2976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34" w:hanging="34"/>
              <w:jc w:val="center"/>
              <w:rPr>
                <w:rFonts w:ascii="Cambria" w:hAnsi="Cambria" w:cs="Arial" w:asciiTheme="majorHAnsi" w:hAnsiTheme="majorHAnsi"/>
                <w:b/>
                <w:b/>
                <w:sz w:val="20"/>
                <w:szCs w:val="20"/>
              </w:rPr>
            </w:pPr>
            <w:r>
              <w:rPr>
                <w:rFonts w:cs="Arial" w:ascii="Cambria" w:hAnsi="Cambria" w:asciiTheme="majorHAnsi" w:hAnsiTheme="majorHAnsi"/>
                <w:b/>
                <w:sz w:val="16"/>
                <w:szCs w:val="16"/>
              </w:rPr>
              <w:t>Dôvod zmeny</w:t>
            </w:r>
          </w:p>
        </w:tc>
        <w:tc>
          <w:tcPr>
            <w:tcW w:w="32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34" w:hanging="34"/>
              <w:jc w:val="center"/>
              <w:rPr>
                <w:rFonts w:ascii="Cambria" w:hAnsi="Cambria" w:cs="Arial" w:asciiTheme="majorHAnsi" w:hAnsiTheme="majorHAnsi"/>
                <w:b/>
                <w:b/>
                <w:sz w:val="20"/>
                <w:szCs w:val="20"/>
              </w:rPr>
            </w:pPr>
            <w:r>
              <w:rPr>
                <w:rFonts w:cs="Arial" w:ascii="Cambria" w:hAnsi="Cambria" w:asciiTheme="majorHAnsi" w:hAnsiTheme="majorHAnsi"/>
                <w:b/>
                <w:sz w:val="16"/>
                <w:szCs w:val="16"/>
              </w:rPr>
              <w:t>Hodnota vplyvu na príslušnú zložku majetku, záväzkov, vlastného imania a výsledku hospodárenia účtovnej jednotky</w:t>
            </w:r>
          </w:p>
        </w:tc>
      </w:tr>
      <w:tr>
        <w:trPr>
          <w:trHeight w:val="397" w:hRule="atLeast"/>
        </w:trPr>
        <w:tc>
          <w:tcPr>
            <w:tcW w:w="283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426" w:hanging="426"/>
              <w:jc w:val="both"/>
              <w:rPr>
                <w:rFonts w:ascii="Cambria" w:hAnsi="Cambria" w:cs="Arial" w:asciiTheme="majorHAnsi" w:hAnsiTheme="majorHAnsi"/>
                <w:b/>
                <w:b/>
                <w:sz w:val="12"/>
                <w:szCs w:val="12"/>
              </w:rPr>
            </w:pPr>
            <w:r>
              <w:rPr>
                <w:rFonts w:cs="Arial" w:ascii="Cambria" w:hAnsi="Cambria"/>
                <w:b/>
                <w:sz w:val="12"/>
                <w:szCs w:val="12"/>
              </w:rPr>
            </w:r>
          </w:p>
        </w:tc>
        <w:tc>
          <w:tcPr>
            <w:tcW w:w="2976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426" w:hanging="426"/>
              <w:jc w:val="both"/>
              <w:rPr>
                <w:rFonts w:ascii="Cambria" w:hAnsi="Cambria" w:cs="Arial" w:asciiTheme="majorHAnsi" w:hAnsiTheme="majorHAnsi"/>
                <w:b/>
                <w:b/>
                <w:sz w:val="12"/>
                <w:szCs w:val="12"/>
              </w:rPr>
            </w:pPr>
            <w:r>
              <w:rPr>
                <w:rFonts w:cs="Arial" w:ascii="Cambria" w:hAnsi="Cambria"/>
                <w:b/>
                <w:sz w:val="12"/>
                <w:szCs w:val="12"/>
              </w:rPr>
            </w:r>
          </w:p>
        </w:tc>
        <w:tc>
          <w:tcPr>
            <w:tcW w:w="32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426" w:hanging="426"/>
              <w:jc w:val="both"/>
              <w:rPr>
                <w:rFonts w:ascii="Cambria" w:hAnsi="Cambria" w:cs="Arial" w:asciiTheme="majorHAnsi" w:hAnsiTheme="majorHAnsi"/>
                <w:b/>
                <w:b/>
                <w:sz w:val="12"/>
                <w:szCs w:val="12"/>
              </w:rPr>
            </w:pPr>
            <w:r>
              <w:rPr>
                <w:rFonts w:cs="Arial" w:ascii="Cambria" w:hAnsi="Cambria"/>
                <w:b/>
                <w:sz w:val="12"/>
                <w:szCs w:val="12"/>
              </w:rPr>
            </w:r>
          </w:p>
        </w:tc>
      </w:tr>
      <w:tr>
        <w:trPr>
          <w:trHeight w:val="397" w:hRule="atLeast"/>
        </w:trPr>
        <w:tc>
          <w:tcPr>
            <w:tcW w:w="28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ind w:left="426" w:hanging="426"/>
              <w:jc w:val="both"/>
              <w:rPr>
                <w:rFonts w:ascii="Cambria" w:hAnsi="Cambria" w:cs="Arial" w:asciiTheme="majorHAnsi" w:hAnsiTheme="majorHAnsi"/>
                <w:sz w:val="12"/>
                <w:szCs w:val="12"/>
              </w:rPr>
            </w:pPr>
            <w:r>
              <w:rPr>
                <w:rFonts w:cs="Arial" w:ascii="Cambria" w:hAnsi="Cambria"/>
                <w:sz w:val="12"/>
                <w:szCs w:val="12"/>
              </w:rPr>
            </w:r>
          </w:p>
        </w:tc>
        <w:tc>
          <w:tcPr>
            <w:tcW w:w="2976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426" w:hanging="426"/>
              <w:jc w:val="both"/>
              <w:rPr>
                <w:rFonts w:ascii="Cambria" w:hAnsi="Cambria" w:cs="Arial" w:asciiTheme="majorHAnsi" w:hAnsiTheme="majorHAnsi"/>
                <w:b/>
                <w:b/>
                <w:sz w:val="12"/>
                <w:szCs w:val="12"/>
              </w:rPr>
            </w:pPr>
            <w:r>
              <w:rPr>
                <w:rFonts w:cs="Arial" w:ascii="Cambria" w:hAnsi="Cambria"/>
                <w:b/>
                <w:sz w:val="12"/>
                <w:szCs w:val="12"/>
              </w:rPr>
            </w:r>
          </w:p>
        </w:tc>
        <w:tc>
          <w:tcPr>
            <w:tcW w:w="32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426" w:hanging="426"/>
              <w:jc w:val="both"/>
              <w:rPr>
                <w:rFonts w:ascii="Cambria" w:hAnsi="Cambria" w:cs="Arial" w:asciiTheme="majorHAnsi" w:hAnsiTheme="majorHAnsi"/>
                <w:b/>
                <w:b/>
                <w:sz w:val="12"/>
                <w:szCs w:val="12"/>
              </w:rPr>
            </w:pPr>
            <w:r>
              <w:rPr>
                <w:rFonts w:cs="Arial" w:ascii="Cambria" w:hAnsi="Cambria"/>
                <w:b/>
                <w:sz w:val="12"/>
                <w:szCs w:val="12"/>
              </w:rPr>
            </w:r>
          </w:p>
        </w:tc>
      </w:tr>
      <w:tr>
        <w:trPr>
          <w:trHeight w:val="397" w:hRule="atLeast"/>
        </w:trPr>
        <w:tc>
          <w:tcPr>
            <w:tcW w:w="28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ind w:left="426" w:hanging="426"/>
              <w:jc w:val="both"/>
              <w:rPr>
                <w:rFonts w:ascii="Cambria" w:hAnsi="Cambria" w:cs="Arial" w:asciiTheme="majorHAnsi" w:hAnsiTheme="majorHAnsi"/>
                <w:sz w:val="12"/>
                <w:szCs w:val="12"/>
              </w:rPr>
            </w:pPr>
            <w:r>
              <w:rPr>
                <w:rFonts w:cs="Arial" w:ascii="Cambria" w:hAnsi="Cambria"/>
                <w:sz w:val="12"/>
                <w:szCs w:val="12"/>
              </w:rPr>
            </w:r>
          </w:p>
        </w:tc>
        <w:tc>
          <w:tcPr>
            <w:tcW w:w="2976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426" w:hanging="426"/>
              <w:jc w:val="both"/>
              <w:rPr>
                <w:rFonts w:ascii="Cambria" w:hAnsi="Cambria" w:cs="Arial" w:asciiTheme="majorHAnsi" w:hAnsiTheme="majorHAnsi"/>
                <w:b/>
                <w:b/>
                <w:sz w:val="12"/>
                <w:szCs w:val="12"/>
              </w:rPr>
            </w:pPr>
            <w:r>
              <w:rPr>
                <w:rFonts w:cs="Arial" w:ascii="Cambria" w:hAnsi="Cambria"/>
                <w:b/>
                <w:sz w:val="12"/>
                <w:szCs w:val="12"/>
              </w:rPr>
            </w:r>
          </w:p>
        </w:tc>
        <w:tc>
          <w:tcPr>
            <w:tcW w:w="32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426" w:hanging="426"/>
              <w:jc w:val="both"/>
              <w:rPr>
                <w:rFonts w:ascii="Cambria" w:hAnsi="Cambria" w:cs="Arial" w:asciiTheme="majorHAnsi" w:hAnsiTheme="majorHAnsi"/>
                <w:b/>
                <w:b/>
                <w:sz w:val="12"/>
                <w:szCs w:val="12"/>
              </w:rPr>
            </w:pPr>
            <w:r>
              <w:rPr>
                <w:rFonts w:cs="Arial" w:ascii="Cambria" w:hAnsi="Cambria"/>
                <w:b/>
                <w:sz w:val="12"/>
                <w:szCs w:val="12"/>
              </w:rPr>
            </w:r>
          </w:p>
        </w:tc>
      </w:tr>
      <w:tr>
        <w:trPr>
          <w:trHeight w:val="397" w:hRule="atLeast"/>
        </w:trPr>
        <w:tc>
          <w:tcPr>
            <w:tcW w:w="28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ind w:left="426" w:hanging="426"/>
              <w:jc w:val="both"/>
              <w:rPr>
                <w:rFonts w:ascii="Cambria" w:hAnsi="Cambria" w:cs="Arial" w:asciiTheme="majorHAnsi" w:hAnsiTheme="majorHAnsi"/>
                <w:sz w:val="12"/>
                <w:szCs w:val="12"/>
              </w:rPr>
            </w:pPr>
            <w:r>
              <w:rPr>
                <w:rFonts w:cs="Arial" w:ascii="Cambria" w:hAnsi="Cambria"/>
                <w:sz w:val="12"/>
                <w:szCs w:val="12"/>
              </w:rPr>
            </w:r>
          </w:p>
        </w:tc>
        <w:tc>
          <w:tcPr>
            <w:tcW w:w="2976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426" w:hanging="426"/>
              <w:jc w:val="both"/>
              <w:rPr>
                <w:rFonts w:ascii="Cambria" w:hAnsi="Cambria" w:cs="Arial" w:asciiTheme="majorHAnsi" w:hAnsiTheme="majorHAnsi"/>
                <w:b/>
                <w:b/>
                <w:sz w:val="12"/>
                <w:szCs w:val="12"/>
              </w:rPr>
            </w:pPr>
            <w:r>
              <w:rPr>
                <w:rFonts w:cs="Arial" w:ascii="Cambria" w:hAnsi="Cambria"/>
                <w:b/>
                <w:sz w:val="12"/>
                <w:szCs w:val="12"/>
              </w:rPr>
            </w:r>
          </w:p>
        </w:tc>
        <w:tc>
          <w:tcPr>
            <w:tcW w:w="32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426" w:hanging="426"/>
              <w:jc w:val="both"/>
              <w:rPr>
                <w:rFonts w:ascii="Cambria" w:hAnsi="Cambria" w:cs="Arial" w:asciiTheme="majorHAnsi" w:hAnsiTheme="majorHAnsi"/>
                <w:b/>
                <w:b/>
                <w:sz w:val="12"/>
                <w:szCs w:val="12"/>
              </w:rPr>
            </w:pPr>
            <w:r>
              <w:rPr>
                <w:rFonts w:cs="Arial" w:ascii="Cambria" w:hAnsi="Cambria"/>
                <w:b/>
                <w:sz w:val="12"/>
                <w:szCs w:val="12"/>
              </w:rPr>
            </w:r>
          </w:p>
        </w:tc>
      </w:tr>
      <w:tr>
        <w:trPr>
          <w:trHeight w:val="397" w:hRule="atLeast"/>
        </w:trPr>
        <w:tc>
          <w:tcPr>
            <w:tcW w:w="28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ind w:left="426" w:hanging="426"/>
              <w:jc w:val="both"/>
              <w:rPr>
                <w:rFonts w:ascii="Cambria" w:hAnsi="Cambria" w:cs="Arial" w:asciiTheme="majorHAnsi" w:hAnsiTheme="majorHAnsi"/>
                <w:sz w:val="12"/>
                <w:szCs w:val="12"/>
              </w:rPr>
            </w:pPr>
            <w:r>
              <w:rPr>
                <w:rFonts w:cs="Arial" w:ascii="Cambria" w:hAnsi="Cambria"/>
                <w:sz w:val="12"/>
                <w:szCs w:val="12"/>
              </w:rPr>
            </w:r>
          </w:p>
        </w:tc>
        <w:tc>
          <w:tcPr>
            <w:tcW w:w="2976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426" w:hanging="426"/>
              <w:jc w:val="both"/>
              <w:rPr>
                <w:rFonts w:ascii="Cambria" w:hAnsi="Cambria" w:cs="Arial" w:asciiTheme="majorHAnsi" w:hAnsiTheme="majorHAnsi"/>
                <w:b/>
                <w:b/>
                <w:sz w:val="12"/>
                <w:szCs w:val="12"/>
              </w:rPr>
            </w:pPr>
            <w:r>
              <w:rPr>
                <w:rFonts w:cs="Arial" w:ascii="Cambria" w:hAnsi="Cambria"/>
                <w:b/>
                <w:sz w:val="12"/>
                <w:szCs w:val="12"/>
              </w:rPr>
            </w:r>
          </w:p>
        </w:tc>
        <w:tc>
          <w:tcPr>
            <w:tcW w:w="32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426" w:hanging="426"/>
              <w:jc w:val="both"/>
              <w:rPr>
                <w:rFonts w:ascii="Cambria" w:hAnsi="Cambria" w:cs="Arial" w:asciiTheme="majorHAnsi" w:hAnsiTheme="majorHAnsi"/>
                <w:b/>
                <w:b/>
                <w:sz w:val="12"/>
                <w:szCs w:val="12"/>
              </w:rPr>
            </w:pPr>
            <w:r>
              <w:rPr>
                <w:rFonts w:cs="Arial" w:ascii="Cambria" w:hAnsi="Cambria"/>
                <w:b/>
                <w:sz w:val="12"/>
                <w:szCs w:val="12"/>
              </w:rPr>
            </w:r>
          </w:p>
        </w:tc>
      </w:tr>
      <w:tr>
        <w:trPr>
          <w:trHeight w:val="397" w:hRule="atLeast"/>
        </w:trPr>
        <w:tc>
          <w:tcPr>
            <w:tcW w:w="2835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ind w:left="426" w:hanging="426"/>
              <w:jc w:val="both"/>
              <w:rPr>
                <w:rFonts w:ascii="Cambria" w:hAnsi="Cambria" w:cs="Arial" w:asciiTheme="majorHAnsi" w:hAnsiTheme="majorHAnsi"/>
                <w:sz w:val="12"/>
                <w:szCs w:val="12"/>
              </w:rPr>
            </w:pPr>
            <w:r>
              <w:rPr>
                <w:rFonts w:cs="Arial" w:ascii="Cambria" w:hAnsi="Cambria"/>
                <w:sz w:val="12"/>
                <w:szCs w:val="12"/>
              </w:rPr>
            </w:r>
          </w:p>
        </w:tc>
        <w:tc>
          <w:tcPr>
            <w:tcW w:w="2976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426" w:hanging="426"/>
              <w:jc w:val="both"/>
              <w:rPr>
                <w:rFonts w:ascii="Cambria" w:hAnsi="Cambria" w:cs="Arial" w:asciiTheme="majorHAnsi" w:hAnsiTheme="majorHAnsi"/>
                <w:b/>
                <w:b/>
                <w:sz w:val="12"/>
                <w:szCs w:val="12"/>
              </w:rPr>
            </w:pPr>
            <w:r>
              <w:rPr>
                <w:rFonts w:cs="Arial" w:ascii="Cambria" w:hAnsi="Cambria"/>
                <w:b/>
                <w:sz w:val="12"/>
                <w:szCs w:val="12"/>
              </w:rPr>
            </w:r>
          </w:p>
        </w:tc>
        <w:tc>
          <w:tcPr>
            <w:tcW w:w="3204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ind w:left="426" w:hanging="426"/>
              <w:jc w:val="both"/>
              <w:rPr>
                <w:rFonts w:ascii="Cambria" w:hAnsi="Cambria" w:cs="Arial" w:asciiTheme="majorHAnsi" w:hAnsiTheme="majorHAnsi"/>
                <w:b/>
                <w:b/>
                <w:sz w:val="12"/>
                <w:szCs w:val="12"/>
              </w:rPr>
            </w:pPr>
            <w:r>
              <w:rPr>
                <w:rFonts w:cs="Arial" w:ascii="Cambria" w:hAnsi="Cambria"/>
                <w:b/>
                <w:sz w:val="12"/>
                <w:szCs w:val="12"/>
              </w:rPr>
            </w:r>
          </w:p>
        </w:tc>
      </w:tr>
    </w:tbl>
    <w:p>
      <w:pPr>
        <w:pStyle w:val="Normal"/>
        <w:spacing w:lineRule="auto" w:line="240" w:before="240" w:after="200"/>
        <w:ind w:left="426" w:hanging="426"/>
        <w:jc w:val="both"/>
        <w:rPr/>
      </w:pPr>
      <w:r>
        <w:rPr>
          <w:rFonts w:eastAsia="MS Gothic" w:cs="Arial" w:ascii="Cambria" w:hAnsi="Cambria" w:asciiTheme="majorHAnsi" w:hAnsiTheme="majorHAnsi"/>
          <w:b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  </w:t>
      </w:r>
      <w:r>
        <w:rPr>
          <w:rFonts w:cs="Arial" w:ascii="Cambria" w:hAnsi="Cambria" w:asciiTheme="majorHAnsi" w:hAnsiTheme="majorHAnsi"/>
          <w:b/>
          <w:sz w:val="16"/>
          <w:szCs w:val="16"/>
        </w:rPr>
        <w:t>II. 5 Dotácie poskytnuté na obstaranie majetku:</w:t>
      </w:r>
    </w:p>
    <w:tbl>
      <w:tblPr>
        <w:tblStyle w:val="Mriekatabuky"/>
        <w:tblW w:w="8955" w:type="dxa"/>
        <w:jc w:val="left"/>
        <w:tblInd w:w="108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16"/>
        <w:gridCol w:w="3022"/>
        <w:gridCol w:w="3017"/>
      </w:tblGrid>
      <w:tr>
        <w:trPr>
          <w:trHeight w:val="394" w:hRule="atLeast"/>
        </w:trPr>
        <w:tc>
          <w:tcPr>
            <w:tcW w:w="2916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Arial" w:ascii="Cambria" w:hAnsi="Cambria" w:asciiTheme="majorHAnsi" w:hAnsiTheme="majorHAnsi"/>
                <w:sz w:val="16"/>
                <w:szCs w:val="16"/>
              </w:rPr>
              <w:t>Majetok obstaraný z dotácie</w:t>
            </w:r>
          </w:p>
        </w:tc>
        <w:tc>
          <w:tcPr>
            <w:tcW w:w="30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 w:asciiTheme="majorHAnsi" w:hAnsiTheme="majorHAnsi"/>
                <w:sz w:val="16"/>
                <w:szCs w:val="16"/>
              </w:rPr>
              <w:t xml:space="preserve">Ocenenie majetku </w:t>
            </w:r>
          </w:p>
        </w:tc>
        <w:tc>
          <w:tcPr>
            <w:tcW w:w="3017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 w:asciiTheme="majorHAnsi" w:hAnsiTheme="majorHAnsi"/>
                <w:sz w:val="16"/>
                <w:szCs w:val="16"/>
              </w:rPr>
              <w:t>Výška dotácie</w:t>
            </w:r>
          </w:p>
        </w:tc>
      </w:tr>
      <w:tr>
        <w:trPr>
          <w:trHeight w:val="397" w:hRule="atLeast"/>
        </w:trPr>
        <w:tc>
          <w:tcPr>
            <w:tcW w:w="2916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sz w:val="16"/>
                <w:szCs w:val="16"/>
              </w:rPr>
            </w:pPr>
            <w:r>
              <w:rPr>
                <w:rFonts w:cs="Arial" w:ascii="Cambria" w:hAnsi="Cambria"/>
                <w:sz w:val="16"/>
                <w:szCs w:val="16"/>
              </w:rPr>
            </w:r>
          </w:p>
        </w:tc>
        <w:tc>
          <w:tcPr>
            <w:tcW w:w="30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sz w:val="16"/>
                <w:szCs w:val="16"/>
              </w:rPr>
            </w:pPr>
            <w:r>
              <w:rPr>
                <w:rFonts w:cs="Arial" w:ascii="Cambria" w:hAnsi="Cambria"/>
                <w:sz w:val="16"/>
                <w:szCs w:val="16"/>
              </w:rPr>
            </w:r>
          </w:p>
        </w:tc>
        <w:tc>
          <w:tcPr>
            <w:tcW w:w="3017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sz w:val="16"/>
                <w:szCs w:val="16"/>
              </w:rPr>
            </w:pPr>
            <w:r>
              <w:rPr>
                <w:rFonts w:cs="Arial" w:ascii="Cambria" w:hAnsi="Cambria"/>
                <w:sz w:val="16"/>
                <w:szCs w:val="16"/>
              </w:rPr>
            </w:r>
          </w:p>
        </w:tc>
      </w:tr>
      <w:tr>
        <w:trPr>
          <w:trHeight w:val="397" w:hRule="atLeast"/>
        </w:trPr>
        <w:tc>
          <w:tcPr>
            <w:tcW w:w="2916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sz w:val="16"/>
                <w:szCs w:val="16"/>
              </w:rPr>
            </w:pPr>
            <w:r>
              <w:rPr>
                <w:rFonts w:cs="Arial" w:ascii="Cambria" w:hAnsi="Cambria"/>
                <w:sz w:val="16"/>
                <w:szCs w:val="16"/>
              </w:rPr>
            </w:r>
          </w:p>
        </w:tc>
        <w:tc>
          <w:tcPr>
            <w:tcW w:w="30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sz w:val="16"/>
                <w:szCs w:val="16"/>
              </w:rPr>
            </w:pPr>
            <w:r>
              <w:rPr>
                <w:rFonts w:cs="Arial" w:ascii="Cambria" w:hAnsi="Cambria"/>
                <w:sz w:val="16"/>
                <w:szCs w:val="16"/>
              </w:rPr>
            </w:r>
          </w:p>
        </w:tc>
        <w:tc>
          <w:tcPr>
            <w:tcW w:w="3017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sz w:val="16"/>
                <w:szCs w:val="16"/>
              </w:rPr>
            </w:pPr>
            <w:r>
              <w:rPr>
                <w:rFonts w:cs="Arial" w:ascii="Cambria" w:hAnsi="Cambria"/>
                <w:sz w:val="16"/>
                <w:szCs w:val="16"/>
              </w:rPr>
            </w:r>
          </w:p>
        </w:tc>
      </w:tr>
      <w:tr>
        <w:trPr>
          <w:trHeight w:val="397" w:hRule="atLeast"/>
        </w:trPr>
        <w:tc>
          <w:tcPr>
            <w:tcW w:w="2916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sz w:val="16"/>
                <w:szCs w:val="16"/>
              </w:rPr>
            </w:pPr>
            <w:r>
              <w:rPr>
                <w:rFonts w:cs="Arial" w:ascii="Cambria" w:hAnsi="Cambria"/>
                <w:sz w:val="16"/>
                <w:szCs w:val="16"/>
              </w:rPr>
            </w:r>
          </w:p>
        </w:tc>
        <w:tc>
          <w:tcPr>
            <w:tcW w:w="30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sz w:val="16"/>
                <w:szCs w:val="16"/>
              </w:rPr>
            </w:pPr>
            <w:r>
              <w:rPr>
                <w:rFonts w:cs="Arial" w:ascii="Cambria" w:hAnsi="Cambria"/>
                <w:sz w:val="16"/>
                <w:szCs w:val="16"/>
              </w:rPr>
            </w:r>
          </w:p>
        </w:tc>
        <w:tc>
          <w:tcPr>
            <w:tcW w:w="3017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sz w:val="16"/>
                <w:szCs w:val="16"/>
              </w:rPr>
            </w:pPr>
            <w:r>
              <w:rPr>
                <w:rFonts w:cs="Arial" w:ascii="Cambria" w:hAnsi="Cambria"/>
                <w:sz w:val="16"/>
                <w:szCs w:val="16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Cambria" w:hAnsi="Cambria" w:eastAsia="MS Gothic" w:cs="Arial" w:asciiTheme="majorHAnsi" w:hAnsiTheme="majorHAnsi"/>
          <w:b/>
          <w:b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="Cambria" w:hAnsi="Cambria"/>
          <w:b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 w:before="0" w:after="0"/>
        <w:jc w:val="both"/>
        <w:rPr>
          <w:rFonts w:ascii="Cambria" w:hAnsi="Cambria" w:eastAsia="MS Gothic" w:cs="Arial" w:asciiTheme="majorHAnsi" w:hAnsiTheme="majorHAnsi"/>
          <w:b/>
          <w:b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="Cambria" w:hAnsi="Cambria"/>
          <w:b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 w:before="0" w:after="0"/>
        <w:jc w:val="both"/>
        <w:rPr>
          <w:rFonts w:ascii="Cambria" w:hAnsi="Cambria" w:eastAsia="MS Gothic" w:cs="Arial" w:asciiTheme="majorHAnsi" w:hAnsiTheme="majorHAnsi"/>
          <w:b/>
          <w:b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="Cambria" w:hAnsi="Cambria"/>
          <w:b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 w:before="240" w:after="200"/>
        <w:ind w:left="426" w:hanging="426"/>
        <w:jc w:val="both"/>
        <w:rPr/>
      </w:pPr>
      <w:r>
        <w:rPr>
          <w:rFonts w:cs="Arial" w:ascii="Cambria" w:hAnsi="Cambria" w:asciiTheme="majorHAnsi" w:hAnsiTheme="majorHAnsi"/>
          <w:b/>
          <w:sz w:val="16"/>
          <w:szCs w:val="16"/>
        </w:rPr>
        <w:t>II. 6 Oprava významných a nevýznamných chýb minulých účtovných období vykonaných v bežnom účtovnom období:</w:t>
      </w:r>
    </w:p>
    <w:tbl>
      <w:tblPr>
        <w:tblStyle w:val="Mriekatabuky"/>
        <w:tblW w:w="8954" w:type="dxa"/>
        <w:jc w:val="left"/>
        <w:tblInd w:w="108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2925"/>
        <w:gridCol w:w="3007"/>
        <w:gridCol w:w="3022"/>
      </w:tblGrid>
      <w:tr>
        <w:trPr>
          <w:trHeight w:val="397" w:hRule="atLeast"/>
        </w:trPr>
        <w:tc>
          <w:tcPr>
            <w:tcW w:w="292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cs="Arial" w:ascii="Cambria" w:hAnsi="Cambria" w:asciiTheme="majorHAnsi" w:hAnsiTheme="majorHAnsi"/>
                <w:sz w:val="16"/>
                <w:szCs w:val="16"/>
              </w:rPr>
              <w:t>Druh opravy</w:t>
            </w:r>
          </w:p>
        </w:tc>
        <w:tc>
          <w:tcPr>
            <w:tcW w:w="3007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 w:asciiTheme="majorHAnsi" w:hAnsiTheme="majorHAnsi"/>
                <w:sz w:val="16"/>
                <w:szCs w:val="16"/>
              </w:rPr>
              <w:t>Suma</w:t>
            </w:r>
          </w:p>
        </w:tc>
        <w:tc>
          <w:tcPr>
            <w:tcW w:w="30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 w:asciiTheme="majorHAnsi" w:hAnsiTheme="majorHAnsi"/>
                <w:sz w:val="16"/>
                <w:szCs w:val="16"/>
              </w:rPr>
              <w:t>Popis chyby a vplyvu opravy na nerozdelený VH, resp. VH bežného ú. o.</w:t>
            </w:r>
          </w:p>
        </w:tc>
      </w:tr>
      <w:tr>
        <w:trPr>
          <w:trHeight w:val="397" w:hRule="atLeast"/>
        </w:trPr>
        <w:tc>
          <w:tcPr>
            <w:tcW w:w="292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 w:asciiTheme="majorHAnsi" w:hAnsiTheme="majorHAnsi"/>
                <w:sz w:val="16"/>
                <w:szCs w:val="16"/>
              </w:rPr>
              <w:t xml:space="preserve">Oprava </w:t>
            </w:r>
            <w:r>
              <w:rPr>
                <w:rFonts w:cs="Arial" w:ascii="Cambria" w:hAnsi="Cambria" w:asciiTheme="majorHAnsi" w:hAnsiTheme="majorHAnsi"/>
                <w:b/>
                <w:sz w:val="16"/>
                <w:szCs w:val="16"/>
              </w:rPr>
              <w:t>významných</w:t>
            </w:r>
            <w:r>
              <w:rPr>
                <w:rFonts w:cs="Arial" w:ascii="Cambria" w:hAnsi="Cambria" w:asciiTheme="majorHAnsi" w:hAnsiTheme="majorHAnsi"/>
                <w:sz w:val="16"/>
                <w:szCs w:val="16"/>
              </w:rPr>
              <w:t xml:space="preserve"> chýb minulých účtovných období</w:t>
            </w:r>
          </w:p>
        </w:tc>
        <w:tc>
          <w:tcPr>
            <w:tcW w:w="3007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16"/>
                <w:szCs w:val="16"/>
              </w:rPr>
            </w:pPr>
            <w:r>
              <w:rPr>
                <w:rFonts w:cs="Arial" w:ascii="Cambria" w:hAnsi="Cambria"/>
                <w:sz w:val="16"/>
                <w:szCs w:val="16"/>
              </w:rPr>
            </w:r>
          </w:p>
        </w:tc>
        <w:tc>
          <w:tcPr>
            <w:tcW w:w="30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16"/>
                <w:szCs w:val="16"/>
              </w:rPr>
            </w:pPr>
            <w:r>
              <w:rPr>
                <w:rFonts w:cs="Arial" w:ascii="Cambria" w:hAnsi="Cambria"/>
                <w:sz w:val="16"/>
                <w:szCs w:val="16"/>
              </w:rPr>
            </w:r>
          </w:p>
        </w:tc>
      </w:tr>
      <w:tr>
        <w:trPr>
          <w:trHeight w:val="397" w:hRule="atLeast"/>
        </w:trPr>
        <w:tc>
          <w:tcPr>
            <w:tcW w:w="2925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cs="Arial" w:asciiTheme="majorHAnsi" w:hAnsiTheme="majorHAnsi"/>
                <w:sz w:val="20"/>
                <w:szCs w:val="20"/>
              </w:rPr>
            </w:pPr>
            <w:r>
              <w:rPr>
                <w:rFonts w:cs="Arial" w:ascii="Cambria" w:hAnsi="Cambria" w:asciiTheme="majorHAnsi" w:hAnsiTheme="majorHAnsi"/>
                <w:sz w:val="16"/>
                <w:szCs w:val="16"/>
              </w:rPr>
              <w:t xml:space="preserve">Oprava </w:t>
            </w:r>
            <w:r>
              <w:rPr>
                <w:rFonts w:cs="Arial" w:ascii="Cambria" w:hAnsi="Cambria" w:asciiTheme="majorHAnsi" w:hAnsiTheme="majorHAnsi"/>
                <w:b/>
                <w:sz w:val="16"/>
                <w:szCs w:val="16"/>
              </w:rPr>
              <w:t>nevýznamných</w:t>
            </w:r>
            <w:r>
              <w:rPr>
                <w:rFonts w:cs="Arial" w:ascii="Cambria" w:hAnsi="Cambria" w:asciiTheme="majorHAnsi" w:hAnsiTheme="majorHAnsi"/>
                <w:sz w:val="16"/>
                <w:szCs w:val="16"/>
              </w:rPr>
              <w:t xml:space="preserve"> chýb minulých účtovných období</w:t>
            </w:r>
          </w:p>
        </w:tc>
        <w:tc>
          <w:tcPr>
            <w:tcW w:w="3007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16"/>
                <w:szCs w:val="16"/>
              </w:rPr>
            </w:pPr>
            <w:r>
              <w:rPr>
                <w:rFonts w:cs="Arial" w:ascii="Cambria" w:hAnsi="Cambria"/>
                <w:sz w:val="16"/>
                <w:szCs w:val="16"/>
              </w:rPr>
            </w:r>
          </w:p>
        </w:tc>
        <w:tc>
          <w:tcPr>
            <w:tcW w:w="3022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cs="Arial" w:asciiTheme="majorHAnsi" w:hAnsiTheme="majorHAnsi"/>
                <w:sz w:val="16"/>
                <w:szCs w:val="16"/>
              </w:rPr>
            </w:pPr>
            <w:r>
              <w:rPr>
                <w:rFonts w:cs="Arial" w:ascii="Cambria" w:hAnsi="Cambria"/>
                <w:sz w:val="16"/>
                <w:szCs w:val="16"/>
              </w:rPr>
            </w:r>
          </w:p>
        </w:tc>
      </w:tr>
    </w:tbl>
    <w:p>
      <w:pPr>
        <w:pStyle w:val="Normal"/>
        <w:spacing w:lineRule="auto" w:line="240" w:before="0" w:after="0"/>
        <w:jc w:val="both"/>
        <w:rPr>
          <w:rFonts w:ascii="Cambria" w:hAnsi="Cambria" w:eastAsia="MS Gothic" w:cs="Arial" w:asciiTheme="majorHAnsi" w:hAnsiTheme="majorHAnsi"/>
          <w:i/>
          <w:i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="Cambria" w:hAnsi="Cambria"/>
          <w:i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 w:before="0" w:after="0"/>
        <w:ind w:left="426" w:hanging="426"/>
        <w:jc w:val="both"/>
        <w:rPr>
          <w:rFonts w:ascii="Cambria" w:hAnsi="Cambria" w:cs="Arial" w:asciiTheme="majorHAnsi" w:hAnsiTheme="majorHAnsi"/>
          <w:b/>
          <w:b/>
          <w:sz w:val="16"/>
          <w:szCs w:val="16"/>
        </w:rPr>
      </w:pPr>
      <w:r>
        <w:rPr>
          <w:rFonts w:cs="Arial" w:ascii="Cambria" w:hAnsi="Cambria"/>
          <w:b/>
          <w:sz w:val="16"/>
          <w:szCs w:val="16"/>
        </w:rPr>
      </w:r>
    </w:p>
    <w:p>
      <w:pPr>
        <w:pStyle w:val="Normal"/>
        <w:spacing w:lineRule="auto" w:line="240" w:before="0" w:after="0"/>
        <w:ind w:left="426" w:hanging="426"/>
        <w:jc w:val="both"/>
        <w:rPr>
          <w:rFonts w:ascii="Cambria" w:hAnsi="Cambria" w:cs="Arial" w:asciiTheme="majorHAnsi" w:hAnsiTheme="majorHAnsi"/>
          <w:b/>
          <w:b/>
          <w:sz w:val="24"/>
          <w:szCs w:val="24"/>
        </w:rPr>
      </w:pPr>
      <w:r>
        <w:rPr>
          <w:rFonts w:cs="Arial" w:ascii="Cambria" w:hAnsi="Cambria" w:asciiTheme="majorHAnsi" w:hAnsiTheme="majorHAnsi"/>
          <w:b/>
          <w:sz w:val="16"/>
          <w:szCs w:val="16"/>
        </w:rPr>
        <w:t xml:space="preserve">                                                 </w:t>
      </w:r>
      <w:r>
        <w:rPr>
          <w:rFonts w:cs="Arial" w:ascii="Cambria" w:hAnsi="Cambria" w:asciiTheme="majorHAnsi" w:hAnsiTheme="majorHAnsi"/>
          <w:b/>
          <w:sz w:val="16"/>
          <w:szCs w:val="16"/>
        </w:rPr>
        <w:t>Článok III – Informácie, ktoré vysvetľujú a dopĺňajú súvahu a výkaz ziskov a strát</w:t>
      </w:r>
    </w:p>
    <w:p>
      <w:pPr>
        <w:pStyle w:val="Normal"/>
        <w:spacing w:lineRule="auto" w:line="240" w:before="0" w:after="0"/>
        <w:ind w:left="426" w:hanging="426"/>
        <w:jc w:val="both"/>
        <w:rPr>
          <w:rFonts w:ascii="Cambria" w:hAnsi="Cambria" w:cs="Arial" w:asciiTheme="majorHAnsi" w:hAnsiTheme="majorHAnsi"/>
          <w:b/>
          <w:b/>
          <w:sz w:val="16"/>
          <w:szCs w:val="16"/>
        </w:rPr>
      </w:pPr>
      <w:r>
        <w:rPr>
          <w:rFonts w:cs="Arial" w:ascii="Cambria" w:hAnsi="Cambria"/>
          <w:b/>
          <w:sz w:val="16"/>
          <w:szCs w:val="16"/>
        </w:rPr>
      </w:r>
    </w:p>
    <w:p>
      <w:pPr>
        <w:pStyle w:val="Normal"/>
        <w:spacing w:lineRule="auto" w:line="240"/>
        <w:jc w:val="both"/>
        <w:rPr/>
      </w:pPr>
      <w:r>
        <w:rPr>
          <w:rFonts w:eastAsia="MS Gothic" w:cs="Times New Roman" w:ascii="Cambria" w:hAnsi="Cambria" w:asciiTheme="majorHAnsi" w:hAnsiTheme="majorHAnsi"/>
          <w:b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1 Informácie o sume a dôvodoch vzniku jednotlivých položiek nákladov alebo výnosov, ktoré majú výnimočný rozsah alebo výskyt:</w:t>
      </w:r>
    </w:p>
    <w:tbl>
      <w:tblPr>
        <w:tblStyle w:val="Mriekatabuky"/>
        <w:tblW w:w="9042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671"/>
        <w:gridCol w:w="2971"/>
        <w:gridCol w:w="2400"/>
      </w:tblGrid>
      <w:tr>
        <w:trPr/>
        <w:tc>
          <w:tcPr>
            <w:tcW w:w="36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MS Gothic" w:cs="Times New Roman" w:asciiTheme="majorHAnsi" w:hAnsiTheme="majorHAnsi"/>
                <w:b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Udalosť</w:t>
            </w:r>
          </w:p>
        </w:tc>
        <w:tc>
          <w:tcPr>
            <w:tcW w:w="2971" w:type="dxa"/>
            <w:tcBorders>
              <w:top w:val="single" w:sz="12" w:space="0" w:color="000000"/>
              <w:bottom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MS Gothic" w:cs="Times New Roman" w:asciiTheme="majorHAnsi" w:hAnsiTheme="majorHAnsi"/>
                <w:b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</w:t>
            </w:r>
          </w:p>
        </w:tc>
        <w:tc>
          <w:tcPr>
            <w:tcW w:w="2400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MS Gothic" w:cs="Times New Roman" w:asciiTheme="majorHAnsi" w:hAnsiTheme="majorHAnsi"/>
                <w:b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</w:t>
            </w:r>
          </w:p>
        </w:tc>
      </w:tr>
      <w:tr>
        <w:trPr/>
        <w:tc>
          <w:tcPr>
            <w:tcW w:w="3671" w:type="dxa"/>
            <w:tcBorders>
              <w:top w:val="single" w:sz="12" w:space="0" w:color="000000"/>
              <w:lef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971" w:type="dxa"/>
            <w:tcBorders>
              <w:top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400" w:type="dxa"/>
            <w:tcBorders>
              <w:top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3671" w:type="dxa"/>
            <w:tcBorders>
              <w:lef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97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400" w:type="dxa"/>
            <w:tcBorders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3671" w:type="dxa"/>
            <w:tcBorders>
              <w:lef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97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400" w:type="dxa"/>
            <w:tcBorders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3671" w:type="dxa"/>
            <w:tcBorders>
              <w:lef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97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400" w:type="dxa"/>
            <w:tcBorders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3671" w:type="dxa"/>
            <w:tcBorders>
              <w:lef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971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400" w:type="dxa"/>
            <w:tcBorders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3671" w:type="dxa"/>
            <w:tcBorders>
              <w:left w:val="single" w:sz="12" w:space="0" w:color="000000"/>
              <w:bottom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971" w:type="dxa"/>
            <w:tcBorders>
              <w:bottom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400" w:type="dxa"/>
            <w:tcBorders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</w:tbl>
    <w:p>
      <w:pPr>
        <w:pStyle w:val="Normal"/>
        <w:spacing w:lineRule="auto" w:line="240"/>
        <w:jc w:val="both"/>
        <w:rPr>
          <w:rFonts w:ascii="Cambria" w:hAnsi="Cambria" w:eastAsia="MS Gothic" w:cs="Times New Roman" w:asciiTheme="majorHAnsi" w:hAnsiTheme="majorHAnsi"/>
          <w:b/>
          <w:b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Cambria" w:hAnsi="Cambria"/>
          <w:b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/>
      </w:pPr>
      <w:r>
        <w:rPr>
          <w:rFonts w:eastAsia="MS Gothic" w:cs="Times New Roman" w:ascii="Cambria" w:hAnsi="Cambria" w:asciiTheme="majorHAnsi" w:hAnsiTheme="majorHAnsi"/>
          <w:b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2a) Informácie o záväzkoch</w:t>
      </w:r>
    </w:p>
    <w:tbl>
      <w:tblPr>
        <w:tblStyle w:val="Mriekatabuky"/>
        <w:tblW w:w="9042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387"/>
        <w:gridCol w:w="2832"/>
        <w:gridCol w:w="2823"/>
      </w:tblGrid>
      <w:tr>
        <w:trPr/>
        <w:tc>
          <w:tcPr>
            <w:tcW w:w="33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/>
            </w:pPr>
            <w:r>
              <w:rPr>
                <w:rFonts w:eastAsia="MS Gothic" w:cs="Times New Roman" w:ascii="Cambria" w:hAnsi="Cambria" w:asciiTheme="majorHAnsi" w:hAnsiTheme="majorHAnsi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832" w:type="dxa"/>
            <w:tcBorders>
              <w:top w:val="single" w:sz="12" w:space="0" w:color="000000"/>
              <w:bottom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MS Gothic" w:cs="Times New Roman" w:asciiTheme="majorHAnsi" w:hAnsiTheme="majorHAnsi"/>
                <w:b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  <w:tc>
          <w:tcPr>
            <w:tcW w:w="2823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MS Gothic" w:cs="Times New Roman" w:asciiTheme="majorHAnsi" w:hAnsiTheme="majorHAnsi"/>
                <w:b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Bezprostredne predchádzajúce účtovné obdobie</w:t>
            </w:r>
          </w:p>
        </w:tc>
      </w:tr>
      <w:tr>
        <w:trPr/>
        <w:tc>
          <w:tcPr>
            <w:tcW w:w="33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Dlhodobé záväzky spolu</w:t>
            </w:r>
          </w:p>
        </w:tc>
        <w:tc>
          <w:tcPr>
            <w:tcW w:w="2832" w:type="dxa"/>
            <w:tcBorders>
              <w:top w:val="single" w:sz="12" w:space="0" w:color="000000"/>
              <w:bottom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823" w:type="dxa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338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MS Gothic" w:cs="Times New Roman" w:asciiTheme="majorHAnsi" w:hAnsiTheme="majorHAnsi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nad päť rokov</w:t>
            </w:r>
          </w:p>
        </w:tc>
        <w:tc>
          <w:tcPr>
            <w:tcW w:w="283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82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338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MS Gothic" w:cs="Times New Roman" w:asciiTheme="majorHAnsi" w:hAnsiTheme="majorHAnsi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jeden rok až päť rokov</w:t>
            </w:r>
          </w:p>
        </w:tc>
        <w:tc>
          <w:tcPr>
            <w:tcW w:w="283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338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Krátkodobé záväzky spolu</w:t>
            </w:r>
          </w:p>
        </w:tc>
        <w:tc>
          <w:tcPr>
            <w:tcW w:w="2832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823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3387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MS Gothic" w:cs="Times New Roman" w:asciiTheme="majorHAnsi" w:hAnsiTheme="majorHAnsi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so zostatkovou dobou splatnosti do jedného roka vrátane</w:t>
            </w:r>
          </w:p>
        </w:tc>
        <w:tc>
          <w:tcPr>
            <w:tcW w:w="2832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 xml:space="preserve">                       </w:t>
            </w:r>
            <w:r>
              <w:rPr>
                <w:rFonts w:eastAsia="MS Gothic" w:cs="Times New Roman" w:ascii="Cambria" w:hAnsi="Cambria"/>
                <w:b w:val="false"/>
                <w:bCs w:val="false"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11911</w:t>
            </w:r>
          </w:p>
        </w:tc>
        <w:tc>
          <w:tcPr>
            <w:tcW w:w="2823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>
          <w:trHeight w:val="527" w:hRule="atLeast"/>
        </w:trPr>
        <w:tc>
          <w:tcPr>
            <w:tcW w:w="3387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sz w:val="24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Záväzky po lehote splatnosti</w:t>
            </w:r>
          </w:p>
        </w:tc>
        <w:tc>
          <w:tcPr>
            <w:tcW w:w="2832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823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</w:tbl>
    <w:p>
      <w:pPr>
        <w:pStyle w:val="Normal"/>
        <w:spacing w:lineRule="auto" w:line="240"/>
        <w:jc w:val="both"/>
        <w:rPr>
          <w:rFonts w:ascii="Cambria" w:hAnsi="Cambria" w:eastAsia="MS Gothic" w:cs="Times New Roman" w:asciiTheme="majorHAnsi" w:hAnsiTheme="majorHAnsi"/>
          <w:b/>
          <w:b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Cambria" w:hAnsi="Cambria"/>
          <w:b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/>
      </w:pPr>
      <w:r>
        <w:rPr>
          <w:rFonts w:eastAsia="MS Gothic" w:cs="Times New Roman" w:ascii="Cambria" w:hAnsi="Cambria" w:asciiTheme="majorHAnsi" w:hAnsiTheme="majorHAnsi"/>
          <w:b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2 b) Hodnota záväzkov zabezpečená záložným právom:</w:t>
      </w:r>
    </w:p>
    <w:tbl>
      <w:tblPr>
        <w:tblStyle w:val="Mriekatabuky"/>
        <w:tblW w:w="9042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387"/>
        <w:gridCol w:w="3116"/>
        <w:gridCol w:w="2539"/>
      </w:tblGrid>
      <w:tr>
        <w:trPr/>
        <w:tc>
          <w:tcPr>
            <w:tcW w:w="3387" w:type="dxa"/>
            <w:vMerge w:val="restart"/>
            <w:tcBorders>
              <w:top w:val="single" w:sz="12" w:space="0" w:color="000000"/>
              <w:lef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MS Gothic" w:cs="Times New Roman" w:asciiTheme="majorHAnsi" w:hAnsiTheme="majorHAnsi"/>
                <w:b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formy zabezpečenia záväzku</w:t>
            </w:r>
          </w:p>
        </w:tc>
        <w:tc>
          <w:tcPr>
            <w:tcW w:w="5655" w:type="dxa"/>
            <w:gridSpan w:val="2"/>
            <w:tcBorders>
              <w:top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MS Gothic" w:cs="Times New Roman" w:asciiTheme="majorHAnsi" w:hAnsiTheme="majorHAnsi"/>
                <w:b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záväzku zabezpečená</w:t>
            </w:r>
          </w:p>
        </w:tc>
      </w:tr>
      <w:tr>
        <w:trPr/>
        <w:tc>
          <w:tcPr>
            <w:tcW w:w="3387" w:type="dxa"/>
            <w:vMerge w:val="continue"/>
            <w:tcBorders>
              <w:left w:val="single" w:sz="12" w:space="0" w:color="000000"/>
              <w:bottom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3116" w:type="dxa"/>
            <w:tcBorders>
              <w:bottom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MS Gothic" w:cs="Times New Roman" w:asciiTheme="majorHAnsi" w:hAnsiTheme="majorHAnsi"/>
                <w:b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Záložným právom</w:t>
            </w:r>
          </w:p>
        </w:tc>
        <w:tc>
          <w:tcPr>
            <w:tcW w:w="2539" w:type="dxa"/>
            <w:tcBorders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MS Gothic" w:cs="Times New Roman" w:asciiTheme="majorHAnsi" w:hAnsiTheme="majorHAnsi"/>
                <w:b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Inou formou zabezpečenia</w:t>
            </w:r>
          </w:p>
        </w:tc>
      </w:tr>
      <w:tr>
        <w:trPr/>
        <w:tc>
          <w:tcPr>
            <w:tcW w:w="3387" w:type="dxa"/>
            <w:tcBorders>
              <w:top w:val="single" w:sz="12" w:space="0" w:color="000000"/>
              <w:lef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3116" w:type="dxa"/>
            <w:tcBorders>
              <w:top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539" w:type="dxa"/>
            <w:tcBorders>
              <w:top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3387" w:type="dxa"/>
            <w:tcBorders>
              <w:lef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311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539" w:type="dxa"/>
            <w:tcBorders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3387" w:type="dxa"/>
            <w:tcBorders>
              <w:lef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311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539" w:type="dxa"/>
            <w:tcBorders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3387" w:type="dxa"/>
            <w:tcBorders>
              <w:lef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3116" w:type="dxa"/>
            <w:tcBorders/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539" w:type="dxa"/>
            <w:tcBorders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>
          <w:trHeight w:val="236" w:hRule="atLeast"/>
        </w:trPr>
        <w:tc>
          <w:tcPr>
            <w:tcW w:w="3387" w:type="dxa"/>
            <w:tcBorders>
              <w:left w:val="single" w:sz="12" w:space="0" w:color="000000"/>
              <w:bottom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3116" w:type="dxa"/>
            <w:tcBorders>
              <w:bottom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539" w:type="dxa"/>
            <w:tcBorders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</w:tbl>
    <w:p>
      <w:pPr>
        <w:pStyle w:val="Normal"/>
        <w:spacing w:lineRule="auto" w:line="240" w:before="0" w:after="360"/>
        <w:jc w:val="both"/>
        <w:rPr/>
      </w:pPr>
      <w:r>
        <w:rPr>
          <w:rFonts w:eastAsia="MS Gothic" w:cs="Times New Roman" w:ascii="Cambria" w:hAnsi="Cambria" w:asciiTheme="majorHAnsi" w:hAnsiTheme="majorHAnsi"/>
          <w:b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3 </w:t>
      </w:r>
      <w:r>
        <w:rPr>
          <w:rFonts w:eastAsia="MS Gothic" w:cs="Arial" w:ascii="Cambria" w:hAnsi="Cambria" w:asciiTheme="majorHAnsi" w:hAnsiTheme="majorHAnsi"/>
          <w:b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Informácie o vlastných akciách:</w:t>
      </w:r>
    </w:p>
    <w:tbl>
      <w:tblPr>
        <w:tblStyle w:val="Mriekatabuky"/>
        <w:tblW w:w="9041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810"/>
        <w:gridCol w:w="1582"/>
        <w:gridCol w:w="2113"/>
        <w:gridCol w:w="1980"/>
        <w:gridCol w:w="1556"/>
      </w:tblGrid>
      <w:tr>
        <w:trPr/>
        <w:tc>
          <w:tcPr>
            <w:tcW w:w="181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MS Gothic" w:cs="Times New Roman" w:asciiTheme="majorHAnsi" w:hAnsiTheme="majorHAnsi"/>
                <w:b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Dôvod nadobudnutia vlastných akcií počas účtovného obdobia</w:t>
            </w:r>
          </w:p>
        </w:tc>
        <w:tc>
          <w:tcPr>
            <w:tcW w:w="7231" w:type="dxa"/>
            <w:gridSpan w:val="4"/>
            <w:tcBorders>
              <w:top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MS Gothic" w:cs="Times New Roman" w:asciiTheme="majorHAnsi" w:hAnsiTheme="majorHAnsi"/>
                <w:b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>
        <w:trPr/>
        <w:tc>
          <w:tcPr>
            <w:tcW w:w="1810" w:type="dxa"/>
            <w:vMerge w:val="continue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582" w:type="dxa"/>
            <w:vMerge w:val="restart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MS Gothic" w:cs="Times New Roman" w:asciiTheme="majorHAnsi" w:hAnsiTheme="majorHAnsi"/>
                <w:b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začiatku účtovného obdobia</w:t>
            </w:r>
          </w:p>
        </w:tc>
        <w:tc>
          <w:tcPr>
            <w:tcW w:w="211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MS Gothic" w:cs="Times New Roman" w:asciiTheme="majorHAnsi" w:hAnsiTheme="majorHAnsi"/>
                <w:b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Prírastky</w:t>
            </w:r>
          </w:p>
        </w:tc>
        <w:tc>
          <w:tcPr>
            <w:tcW w:w="198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MS Gothic" w:cs="Times New Roman" w:asciiTheme="majorHAnsi" w:hAnsiTheme="majorHAnsi"/>
                <w:b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Úbytky</w:t>
            </w:r>
          </w:p>
        </w:tc>
        <w:tc>
          <w:tcPr>
            <w:tcW w:w="1556" w:type="dxa"/>
            <w:vMerge w:val="restart"/>
            <w:tcBorders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MS Gothic" w:cs="Times New Roman" w:asciiTheme="majorHAnsi" w:hAnsiTheme="majorHAnsi"/>
                <w:b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Stav na konci účtovného obdobia</w:t>
            </w:r>
          </w:p>
        </w:tc>
      </w:tr>
      <w:tr>
        <w:trPr/>
        <w:tc>
          <w:tcPr>
            <w:tcW w:w="1810" w:type="dxa"/>
            <w:vMerge w:val="continue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582" w:type="dxa"/>
            <w:vMerge w:val="continue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11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MS Gothic" w:cs="Times New Roman" w:asciiTheme="majorHAnsi" w:hAnsiTheme="majorHAnsi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98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MS Gothic" w:cs="Times New Roman" w:asciiTheme="majorHAnsi" w:hAnsiTheme="majorHAnsi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Počet akcií</w:t>
            </w:r>
          </w:p>
        </w:tc>
        <w:tc>
          <w:tcPr>
            <w:tcW w:w="1556" w:type="dxa"/>
            <w:vMerge w:val="continue"/>
            <w:tcBorders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1810" w:type="dxa"/>
            <w:vMerge w:val="continue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582" w:type="dxa"/>
            <w:vMerge w:val="continue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11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MS Gothic" w:cs="Times New Roman" w:asciiTheme="majorHAnsi" w:hAnsiTheme="majorHAnsi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upísanom ZI v %</w:t>
            </w:r>
          </w:p>
        </w:tc>
        <w:tc>
          <w:tcPr>
            <w:tcW w:w="198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MS Gothic" w:cs="Times New Roman" w:asciiTheme="majorHAnsi" w:hAnsiTheme="majorHAnsi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Podiel na upísanom ZI v %</w:t>
            </w:r>
          </w:p>
        </w:tc>
        <w:tc>
          <w:tcPr>
            <w:tcW w:w="1556" w:type="dxa"/>
            <w:vMerge w:val="continue"/>
            <w:tcBorders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1810" w:type="dxa"/>
            <w:vMerge w:val="continue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582" w:type="dxa"/>
            <w:vMerge w:val="continue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11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MS Gothic" w:cs="Times New Roman" w:asciiTheme="majorHAnsi" w:hAnsiTheme="majorHAnsi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98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MS Gothic" w:cs="Times New Roman" w:asciiTheme="majorHAnsi" w:hAnsiTheme="majorHAnsi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Menovitá hodnota</w:t>
            </w:r>
          </w:p>
        </w:tc>
        <w:tc>
          <w:tcPr>
            <w:tcW w:w="1556" w:type="dxa"/>
            <w:vMerge w:val="continue"/>
            <w:tcBorders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1810" w:type="dxa"/>
            <w:vMerge w:val="continue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582" w:type="dxa"/>
            <w:vMerge w:val="continue"/>
            <w:tcBorders>
              <w:bottom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113" w:type="dxa"/>
            <w:tcBorders>
              <w:bottom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MS Gothic" w:cs="Times New Roman" w:asciiTheme="majorHAnsi" w:hAnsiTheme="majorHAnsi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nadobudnutia</w:t>
            </w:r>
          </w:p>
        </w:tc>
        <w:tc>
          <w:tcPr>
            <w:tcW w:w="1980" w:type="dxa"/>
            <w:tcBorders>
              <w:bottom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MS Gothic" w:cs="Times New Roman" w:asciiTheme="majorHAnsi" w:hAnsiTheme="majorHAnsi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za prevod</w:t>
            </w:r>
          </w:p>
        </w:tc>
        <w:tc>
          <w:tcPr>
            <w:tcW w:w="1556" w:type="dxa"/>
            <w:vMerge w:val="continue"/>
            <w:tcBorders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181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582" w:type="dxa"/>
            <w:vMerge w:val="restart"/>
            <w:tcBorders>
              <w:top w:val="single" w:sz="12" w:space="0" w:color="000000"/>
              <w:bottom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113" w:type="dxa"/>
            <w:tcBorders>
              <w:top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980" w:type="dxa"/>
            <w:tcBorders>
              <w:top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556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1810" w:type="dxa"/>
            <w:vMerge w:val="continue"/>
            <w:tcBorders>
              <w:left w:val="single" w:sz="12" w:space="0" w:color="000000"/>
              <w:bottom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582" w:type="dxa"/>
            <w:vMerge w:val="continue"/>
            <w:tcBorders>
              <w:bottom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11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98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556" w:type="dxa"/>
            <w:vMerge w:val="continue"/>
            <w:tcBorders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1810" w:type="dxa"/>
            <w:vMerge w:val="continue"/>
            <w:tcBorders>
              <w:left w:val="single" w:sz="12" w:space="0" w:color="000000"/>
              <w:bottom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582" w:type="dxa"/>
            <w:vMerge w:val="continue"/>
            <w:tcBorders>
              <w:bottom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11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98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556" w:type="dxa"/>
            <w:vMerge w:val="continue"/>
            <w:tcBorders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1810" w:type="dxa"/>
            <w:vMerge w:val="continue"/>
            <w:tcBorders>
              <w:left w:val="single" w:sz="12" w:space="0" w:color="000000"/>
              <w:bottom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582" w:type="dxa"/>
            <w:vMerge w:val="continue"/>
            <w:tcBorders>
              <w:bottom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113" w:type="dxa"/>
            <w:tcBorders>
              <w:bottom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980" w:type="dxa"/>
            <w:tcBorders>
              <w:bottom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556" w:type="dxa"/>
            <w:vMerge w:val="continue"/>
            <w:tcBorders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1810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582" w:type="dxa"/>
            <w:vMerge w:val="restart"/>
            <w:tcBorders>
              <w:top w:val="single" w:sz="12" w:space="0" w:color="000000"/>
              <w:bottom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113" w:type="dxa"/>
            <w:tcBorders>
              <w:top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980" w:type="dxa"/>
            <w:tcBorders>
              <w:top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556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1810" w:type="dxa"/>
            <w:vMerge w:val="continue"/>
            <w:tcBorders>
              <w:left w:val="single" w:sz="12" w:space="0" w:color="000000"/>
              <w:bottom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582" w:type="dxa"/>
            <w:vMerge w:val="continue"/>
            <w:tcBorders>
              <w:bottom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11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98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556" w:type="dxa"/>
            <w:vMerge w:val="continue"/>
            <w:tcBorders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1810" w:type="dxa"/>
            <w:vMerge w:val="continue"/>
            <w:tcBorders>
              <w:left w:val="single" w:sz="12" w:space="0" w:color="000000"/>
              <w:bottom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582" w:type="dxa"/>
            <w:vMerge w:val="continue"/>
            <w:tcBorders>
              <w:bottom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11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98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556" w:type="dxa"/>
            <w:vMerge w:val="continue"/>
            <w:tcBorders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1810" w:type="dxa"/>
            <w:vMerge w:val="continue"/>
            <w:tcBorders>
              <w:left w:val="single" w:sz="12" w:space="0" w:color="000000"/>
              <w:bottom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582" w:type="dxa"/>
            <w:vMerge w:val="continue"/>
            <w:tcBorders>
              <w:bottom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113" w:type="dxa"/>
            <w:tcBorders>
              <w:bottom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980" w:type="dxa"/>
            <w:tcBorders>
              <w:bottom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556" w:type="dxa"/>
            <w:vMerge w:val="continue"/>
            <w:tcBorders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1810" w:type="dxa"/>
            <w:vMerge w:val="restart"/>
            <w:tcBorders>
              <w:top w:val="single" w:sz="12" w:space="0" w:color="000000"/>
              <w:lef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582" w:type="dxa"/>
            <w:vMerge w:val="restart"/>
            <w:tcBorders>
              <w:top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113" w:type="dxa"/>
            <w:tcBorders>
              <w:top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980" w:type="dxa"/>
            <w:tcBorders>
              <w:top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556" w:type="dxa"/>
            <w:vMerge w:val="restart"/>
            <w:tcBorders>
              <w:top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1810" w:type="dxa"/>
            <w:vMerge w:val="continue"/>
            <w:tcBorders>
              <w:lef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582" w:type="dxa"/>
            <w:vMerge w:val="continue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11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98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556" w:type="dxa"/>
            <w:vMerge w:val="continue"/>
            <w:tcBorders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1810" w:type="dxa"/>
            <w:vMerge w:val="continue"/>
            <w:tcBorders>
              <w:lef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582" w:type="dxa"/>
            <w:vMerge w:val="continue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11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980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556" w:type="dxa"/>
            <w:vMerge w:val="continue"/>
            <w:tcBorders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1810" w:type="dxa"/>
            <w:vMerge w:val="continue"/>
            <w:tcBorders>
              <w:left w:val="single" w:sz="12" w:space="0" w:color="000000"/>
              <w:bottom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582" w:type="dxa"/>
            <w:vMerge w:val="continue"/>
            <w:tcBorders>
              <w:bottom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113" w:type="dxa"/>
            <w:tcBorders>
              <w:bottom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980" w:type="dxa"/>
            <w:tcBorders>
              <w:bottom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556" w:type="dxa"/>
            <w:vMerge w:val="continue"/>
            <w:tcBorders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</w:tbl>
    <w:p>
      <w:pPr>
        <w:pStyle w:val="Normal"/>
        <w:spacing w:lineRule="auto" w:line="240" w:before="240" w:after="200"/>
        <w:ind w:right="-141" w:hanging="0"/>
        <w:jc w:val="both"/>
        <w:rPr>
          <w:rFonts w:ascii="Cambria" w:hAnsi="Cambria" w:eastAsia="MS Gothic" w:cs="Arial" w:asciiTheme="majorHAnsi" w:hAnsiTheme="majorHAnsi"/>
          <w:sz w:val="20"/>
          <w:szCs w:val="20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="Cambria" w:hAnsi="Cambria" w:asciiTheme="majorHAnsi" w:hAnsiTheme="majorHAnsi"/>
          <w:b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Ďalšie dôležité informácie o vlastných akciách:</w:t>
      </w:r>
    </w:p>
    <w:p>
      <w:pPr>
        <w:pStyle w:val="Normal"/>
        <w:spacing w:lineRule="auto" w:line="240" w:before="240" w:after="200"/>
        <w:ind w:right="-141" w:hanging="0"/>
        <w:jc w:val="both"/>
        <w:rPr/>
      </w:pPr>
      <w:r>
        <w:rPr>
          <w:rFonts w:eastAsia="MS Gothic" w:cs="Arial" w:ascii="Cambria" w:hAnsi="Cambria" w:asciiTheme="majorHAnsi" w:hAnsiTheme="majorHAnsi"/>
          <w:b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</w:t>
      </w:r>
      <w:r>
        <w:rPr>
          <w:rFonts w:eastAsia="MS Gothic" w:cs="Times New Roman" w:ascii="Cambria" w:hAnsi="Cambria" w:asciiTheme="majorHAnsi" w:hAnsiTheme="majorHAnsi"/>
          <w:b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4 Informácia o tvorbe kapitálového fondu z príspevkov:</w:t>
      </w:r>
    </w:p>
    <w:p>
      <w:pPr>
        <w:pStyle w:val="Normal"/>
        <w:spacing w:lineRule="auto" w:line="240"/>
        <w:jc w:val="both"/>
        <w:rPr/>
      </w:pPr>
      <w:r>
        <w:rPr>
          <w:rFonts w:eastAsia="MS Gothic" w:cs="Times New Roman" w:ascii="Cambria" w:hAnsi="Cambria" w:asciiTheme="majorHAnsi" w:hAnsiTheme="majorHAnsi"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Účtovná jednotka </w:t>
      </w:r>
      <w:r>
        <w:rPr>
          <w:rFonts w:eastAsia="MS Gothic" w:cs="Times New Roman" w:ascii="Cambria" w:hAnsi="Cambria" w:asciiTheme="majorHAnsi" w:hAnsiTheme="majorHAnsi"/>
          <w:b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nevytvorila</w:t>
      </w:r>
      <w:r>
        <w:rPr>
          <w:rFonts w:eastAsia="MS Gothic" w:cs="Times New Roman" w:ascii="Cambria" w:hAnsi="Cambria" w:asciiTheme="majorHAnsi" w:hAnsiTheme="majorHAnsi"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 v účtovnom období kapitálový fond z príspevkov podľa § 123 odsek 2 a 217a Kapitálový fond z príspevkov Obchodného zákonníka (v znení neskorších predpisov). </w:t>
      </w:r>
    </w:p>
    <w:p>
      <w:pPr>
        <w:pStyle w:val="Normal"/>
        <w:spacing w:lineRule="auto" w:line="240"/>
        <w:jc w:val="both"/>
        <w:rPr>
          <w:rFonts w:ascii="Cambria" w:hAnsi="Cambria" w:eastAsia="MS Gothic" w:cs="Times New Roman" w:asciiTheme="majorHAnsi" w:hAnsiTheme="majorHAnsi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Cambria" w:hAnsi="Cambria" w:asciiTheme="majorHAnsi" w:hAnsiTheme="majorHAnsi"/>
          <w:b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5 a), b), d) Informácie o orgánoch účtovnej jednotky:</w:t>
      </w:r>
    </w:p>
    <w:tbl>
      <w:tblPr>
        <w:tblStyle w:val="Mriekatabuky"/>
        <w:tblW w:w="9043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1699"/>
        <w:gridCol w:w="1392"/>
        <w:gridCol w:w="1193"/>
        <w:gridCol w:w="1013"/>
        <w:gridCol w:w="1393"/>
        <w:gridCol w:w="1256"/>
        <w:gridCol w:w="1096"/>
      </w:tblGrid>
      <w:tr>
        <w:trPr>
          <w:trHeight w:val="828" w:hRule="atLeast"/>
        </w:trPr>
        <w:tc>
          <w:tcPr>
            <w:tcW w:w="1699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MS Gothic" w:cs="Times New Roman" w:asciiTheme="majorHAnsi" w:hAnsiTheme="majorHAnsi"/>
                <w:b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príjmu, výhody</w:t>
            </w:r>
          </w:p>
        </w:tc>
        <w:tc>
          <w:tcPr>
            <w:tcW w:w="3598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MS Gothic" w:cs="Times New Roman" w:asciiTheme="majorHAnsi" w:hAnsiTheme="majorHAnsi"/>
                <w:b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súčasných členov orgánov</w:t>
            </w:r>
          </w:p>
        </w:tc>
        <w:tc>
          <w:tcPr>
            <w:tcW w:w="3745" w:type="dxa"/>
            <w:gridSpan w:val="3"/>
            <w:tcBorders>
              <w:top w:val="single" w:sz="12" w:space="0" w:color="000000"/>
              <w:left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MS Gothic" w:cs="Times New Roman" w:asciiTheme="majorHAnsi" w:hAnsiTheme="majorHAnsi"/>
                <w:b/>
                <w:b/>
                <w:sz w:val="20"/>
                <w:szCs w:val="20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príjmu, výhody bývalých členov orgánov</w:t>
            </w:r>
          </w:p>
        </w:tc>
      </w:tr>
      <w:tr>
        <w:trPr/>
        <w:tc>
          <w:tcPr>
            <w:tcW w:w="1699" w:type="dxa"/>
            <w:vMerge w:val="continue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392" w:type="dxa"/>
            <w:tcBorders>
              <w:left w:val="single" w:sz="12" w:space="0" w:color="000000"/>
              <w:bottom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MS Gothic" w:cs="Times New Roman" w:asciiTheme="majorHAnsi" w:hAnsiTheme="majorHAnsi"/>
                <w:b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193" w:type="dxa"/>
            <w:tcBorders>
              <w:bottom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MS Gothic" w:cs="Times New Roman" w:asciiTheme="majorHAnsi" w:hAnsiTheme="majorHAnsi"/>
                <w:b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013" w:type="dxa"/>
            <w:tcBorders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MS Gothic" w:cs="Times New Roman" w:asciiTheme="majorHAnsi" w:hAnsiTheme="majorHAnsi"/>
                <w:b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  <w:tc>
          <w:tcPr>
            <w:tcW w:w="1393" w:type="dxa"/>
            <w:tcBorders>
              <w:left w:val="single" w:sz="12" w:space="0" w:color="000000"/>
              <w:bottom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MS Gothic" w:cs="Times New Roman" w:asciiTheme="majorHAnsi" w:hAnsiTheme="majorHAnsi"/>
                <w:b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štatutárnych</w:t>
            </w:r>
          </w:p>
        </w:tc>
        <w:tc>
          <w:tcPr>
            <w:tcW w:w="1256" w:type="dxa"/>
            <w:tcBorders>
              <w:bottom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MS Gothic" w:cs="Times New Roman" w:asciiTheme="majorHAnsi" w:hAnsiTheme="majorHAnsi"/>
                <w:b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dozorných</w:t>
            </w:r>
          </w:p>
        </w:tc>
        <w:tc>
          <w:tcPr>
            <w:tcW w:w="1096" w:type="dxa"/>
            <w:tcBorders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MS Gothic" w:cs="Times New Roman" w:asciiTheme="majorHAnsi" w:hAnsiTheme="majorHAnsi"/>
                <w:b/>
                <w:b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iných</w:t>
            </w:r>
          </w:p>
        </w:tc>
      </w:tr>
      <w:tr>
        <w:trPr>
          <w:trHeight w:val="705" w:hRule="atLeast"/>
        </w:trPr>
        <w:tc>
          <w:tcPr>
            <w:tcW w:w="1699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MS Gothic" w:cs="Times New Roman" w:asciiTheme="majorHAnsi" w:hAnsiTheme="majorHAnsi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záruky alebo zabezpečenia</w:t>
            </w:r>
          </w:p>
        </w:tc>
        <w:tc>
          <w:tcPr>
            <w:tcW w:w="1392" w:type="dxa"/>
            <w:tcBorders>
              <w:top w:val="single" w:sz="12" w:space="0" w:color="000000"/>
              <w:lef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193" w:type="dxa"/>
            <w:tcBorders>
              <w:top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013" w:type="dxa"/>
            <w:tcBorders>
              <w:top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393" w:type="dxa"/>
            <w:tcBorders>
              <w:top w:val="single" w:sz="12" w:space="0" w:color="000000"/>
              <w:lef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256" w:type="dxa"/>
            <w:tcBorders>
              <w:top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096" w:type="dxa"/>
            <w:tcBorders>
              <w:top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169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MS Gothic" w:cs="Times New Roman" w:asciiTheme="majorHAnsi" w:hAnsiTheme="majorHAnsi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Poskytnuté pôžičky (ku dňu ÚZ)</w:t>
            </w:r>
          </w:p>
        </w:tc>
        <w:tc>
          <w:tcPr>
            <w:tcW w:w="1392" w:type="dxa"/>
            <w:tcBorders>
              <w:lef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19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013" w:type="dxa"/>
            <w:tcBorders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393" w:type="dxa"/>
            <w:tcBorders>
              <w:lef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256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096" w:type="dxa"/>
            <w:tcBorders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>
          <w:trHeight w:val="699" w:hRule="atLeast"/>
        </w:trPr>
        <w:tc>
          <w:tcPr>
            <w:tcW w:w="169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MS Gothic" w:cs="Times New Roman" w:asciiTheme="majorHAnsi" w:hAnsiTheme="majorHAnsi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Splatené pôžičky (ku dňu ÚZ)</w:t>
            </w:r>
          </w:p>
        </w:tc>
        <w:tc>
          <w:tcPr>
            <w:tcW w:w="1392" w:type="dxa"/>
            <w:tcBorders>
              <w:lef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19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013" w:type="dxa"/>
            <w:tcBorders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393" w:type="dxa"/>
            <w:tcBorders>
              <w:lef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256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096" w:type="dxa"/>
            <w:tcBorders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>
          <w:trHeight w:val="694" w:hRule="atLeast"/>
        </w:trPr>
        <w:tc>
          <w:tcPr>
            <w:tcW w:w="1699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MS Gothic" w:cs="Times New Roman" w:asciiTheme="majorHAnsi" w:hAnsiTheme="majorHAnsi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Odpustené alebo odpísané pôžičky</w:t>
            </w:r>
          </w:p>
        </w:tc>
        <w:tc>
          <w:tcPr>
            <w:tcW w:w="1392" w:type="dxa"/>
            <w:tcBorders>
              <w:lef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193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013" w:type="dxa"/>
            <w:tcBorders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393" w:type="dxa"/>
            <w:tcBorders>
              <w:lef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256" w:type="dxa"/>
            <w:tcBorders/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096" w:type="dxa"/>
            <w:tcBorders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1699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MS Gothic" w:cs="Times New Roman" w:asciiTheme="majorHAnsi" w:hAnsiTheme="majorHAnsi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Finančné prostriedky a iné plnenie použité na súkromné účely na vyúčtovanie</w:t>
            </w:r>
          </w:p>
        </w:tc>
        <w:tc>
          <w:tcPr>
            <w:tcW w:w="1392" w:type="dxa"/>
            <w:tcBorders>
              <w:left w:val="single" w:sz="12" w:space="0" w:color="000000"/>
              <w:bottom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193" w:type="dxa"/>
            <w:tcBorders>
              <w:bottom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013" w:type="dxa"/>
            <w:tcBorders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393" w:type="dxa"/>
            <w:tcBorders>
              <w:left w:val="single" w:sz="12" w:space="0" w:color="000000"/>
              <w:bottom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256" w:type="dxa"/>
            <w:tcBorders>
              <w:bottom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1096" w:type="dxa"/>
            <w:tcBorders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</w:tbl>
    <w:p>
      <w:pPr>
        <w:pStyle w:val="Normal"/>
        <w:spacing w:lineRule="auto" w:line="240"/>
        <w:jc w:val="both"/>
        <w:rPr>
          <w:rFonts w:ascii="Cambria" w:hAnsi="Cambria" w:eastAsia="MS Gothic" w:cs="Times New Roman" w:asciiTheme="majorHAnsi" w:hAnsiTheme="majorHAnsi"/>
          <w:b/>
          <w:b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Cambria" w:hAnsi="Cambria"/>
          <w:b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/>
      </w:pPr>
      <w:r>
        <w:rPr>
          <w:rFonts w:eastAsia="MS Gothic" w:cs="Times New Roman" w:ascii="Cambria" w:hAnsi="Cambria" w:asciiTheme="majorHAnsi" w:hAnsiTheme="majorHAnsi"/>
          <w:b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5 c) Hlavné podmienky, na základe ktorých boli záruky alebo iné zabezpečenia poskytnuté (pri pôžičkách sa uvádzajú úrokové sadzby):</w:t>
      </w:r>
    </w:p>
    <w:p>
      <w:pPr>
        <w:pStyle w:val="Normal"/>
        <w:spacing w:lineRule="auto" w:line="240" w:before="240" w:after="200"/>
        <w:ind w:right="-141" w:hanging="0"/>
        <w:jc w:val="both"/>
        <w:rPr/>
      </w:pPr>
      <w:r>
        <w:rPr>
          <w:rFonts w:eastAsia="MS Gothic" w:cs="Arial" w:ascii="Cambria" w:hAnsi="Cambria" w:asciiTheme="majorHAnsi" w:hAnsiTheme="majorHAnsi"/>
          <w:b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   </w:t>
      </w:r>
      <w:r>
        <w:rPr>
          <w:rFonts w:eastAsia="MS Gothic" w:cs="Times New Roman" w:ascii="Cambria" w:hAnsi="Cambria" w:asciiTheme="majorHAnsi" w:hAnsiTheme="majorHAnsi"/>
          <w:b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6 a) Informácie o celkovej sume finančných povinností, ktoré sa nevykazujú v súvahe:</w:t>
      </w:r>
    </w:p>
    <w:tbl>
      <w:tblPr>
        <w:tblStyle w:val="Mriekatabuky"/>
        <w:tblW w:w="9042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813"/>
        <w:gridCol w:w="2545"/>
        <w:gridCol w:w="2684"/>
      </w:tblGrid>
      <w:tr>
        <w:trPr/>
        <w:tc>
          <w:tcPr>
            <w:tcW w:w="381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MS Gothic" w:cs="Times New Roman" w:asciiTheme="majorHAnsi" w:hAnsiTheme="majorHAnsi"/>
                <w:b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Názov položky</w:t>
            </w:r>
          </w:p>
        </w:tc>
        <w:tc>
          <w:tcPr>
            <w:tcW w:w="2545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MS Gothic" w:cs="Times New Roman" w:asciiTheme="majorHAnsi" w:hAnsiTheme="majorHAnsi"/>
                <w:b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2684" w:type="dxa"/>
            <w:tcBorders>
              <w:top w:val="single" w:sz="12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MS Gothic" w:cs="Times New Roman" w:asciiTheme="majorHAnsi" w:hAnsiTheme="majorHAnsi"/>
                <w:b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a ÚJ s podstatným vplyvom</w:t>
            </w:r>
          </w:p>
        </w:tc>
      </w:tr>
      <w:tr>
        <w:trPr/>
        <w:tc>
          <w:tcPr>
            <w:tcW w:w="3813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MS Gothic" w:cs="Times New Roman" w:asciiTheme="majorHAnsi" w:hAnsiTheme="majorHAnsi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nájomcu z operatívneho prenájmu</w:t>
            </w:r>
          </w:p>
        </w:tc>
        <w:tc>
          <w:tcPr>
            <w:tcW w:w="2545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68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381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uzatvorených úverov. zmlúv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381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licenčných zmlúv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3813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Povinnosti z koncesionárskych zmlúv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>
          <w:trHeight w:val="70" w:hRule="atLeast"/>
        </w:trPr>
        <w:tc>
          <w:tcPr>
            <w:tcW w:w="3813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Ostatné</w:t>
            </w:r>
          </w:p>
        </w:tc>
        <w:tc>
          <w:tcPr>
            <w:tcW w:w="2545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268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</w:tbl>
    <w:p>
      <w:pPr>
        <w:pStyle w:val="Normal"/>
        <w:spacing w:lineRule="auto" w:line="240" w:before="120" w:after="200"/>
        <w:jc w:val="both"/>
        <w:rPr>
          <w:rFonts w:ascii="Cambria" w:hAnsi="Cambria" w:eastAsia="MS Gothic" w:cs="Times New Roman" w:asciiTheme="majorHAnsi" w:hAnsiTheme="majorHAnsi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Cambria" w:hAnsi="Cambria" w:asciiTheme="majorHAnsi" w:hAnsiTheme="majorHAnsi"/>
          <w:b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Opis významných finančných povinností:</w:t>
      </w:r>
    </w:p>
    <w:p>
      <w:pPr>
        <w:pStyle w:val="Normal"/>
        <w:spacing w:lineRule="auto" w:line="240"/>
        <w:jc w:val="both"/>
        <w:rPr/>
      </w:pPr>
      <w:r>
        <w:rPr>
          <w:rFonts w:eastAsia="MS Gothic" w:cs="Times New Roman" w:ascii="Cambria" w:hAnsi="Cambria" w:asciiTheme="majorHAnsi" w:hAnsiTheme="majorHAnsi"/>
          <w:b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III. 6 b) Informácie o významných podmienených záväzkoch</w:t>
      </w:r>
    </w:p>
    <w:tbl>
      <w:tblPr>
        <w:tblStyle w:val="Mriekatabuky"/>
        <w:tblW w:w="9042" w:type="dxa"/>
        <w:jc w:val="left"/>
        <w:tblInd w:w="0" w:type="dxa"/>
        <w:tblCellMar>
          <w:top w:w="0" w:type="dxa"/>
          <w:left w:w="108" w:type="dxa"/>
          <w:bottom w:w="0" w:type="dxa"/>
          <w:right w:w="108" w:type="dxa"/>
        </w:tblCellMar>
        <w:tblLook w:firstRow="1" w:noVBand="1" w:lastRow="0" w:firstColumn="1" w:lastColumn="0" w:noHBand="0" w:val="04a0"/>
      </w:tblPr>
      <w:tblGrid>
        <w:gridCol w:w="3014"/>
        <w:gridCol w:w="3014"/>
        <w:gridCol w:w="3014"/>
      </w:tblGrid>
      <w:tr>
        <w:trPr/>
        <w:tc>
          <w:tcPr>
            <w:tcW w:w="3014" w:type="dxa"/>
            <w:vMerge w:val="restart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MS Gothic" w:cs="Times New Roman" w:asciiTheme="majorHAnsi" w:hAnsiTheme="majorHAnsi"/>
                <w:b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Druh podmieneného záväzku</w:t>
            </w:r>
          </w:p>
        </w:tc>
        <w:tc>
          <w:tcPr>
            <w:tcW w:w="6028" w:type="dxa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MS Gothic" w:cs="Times New Roman" w:asciiTheme="majorHAnsi" w:hAnsiTheme="majorHAnsi"/>
                <w:b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Bežné účtovné obdobie</w:t>
            </w:r>
          </w:p>
        </w:tc>
      </w:tr>
      <w:tr>
        <w:trPr/>
        <w:tc>
          <w:tcPr>
            <w:tcW w:w="3014" w:type="dxa"/>
            <w:vMerge w:val="continue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MS Gothic" w:cs="Times New Roman" w:asciiTheme="majorHAnsi" w:hAnsiTheme="majorHAnsi"/>
                <w:b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celkom</w:t>
            </w: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  <w:vAlign w:val="center"/>
          </w:tcPr>
          <w:p>
            <w:pPr>
              <w:pStyle w:val="Normal"/>
              <w:spacing w:lineRule="auto" w:line="240" w:before="0" w:after="0"/>
              <w:jc w:val="center"/>
              <w:rPr>
                <w:rFonts w:ascii="Cambria" w:hAnsi="Cambria" w:eastAsia="MS Gothic" w:cs="Times New Roman" w:asciiTheme="majorHAnsi" w:hAnsiTheme="majorHAnsi"/>
                <w:b/>
                <w:b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Hodnota voči dcérskej ÚJ                a ÚJ s podstatným vplyvom</w:t>
            </w:r>
          </w:p>
        </w:tc>
      </w:tr>
      <w:tr>
        <w:trPr/>
        <w:tc>
          <w:tcPr>
            <w:tcW w:w="3014" w:type="dxa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MS Gothic" w:cs="Times New Roman" w:asciiTheme="majorHAnsi" w:hAnsiTheme="majorHAnsi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súdnych rozhodnutí</w:t>
            </w:r>
          </w:p>
        </w:tc>
        <w:tc>
          <w:tcPr>
            <w:tcW w:w="301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3014" w:type="dxa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30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MS Gothic" w:cs="Times New Roman" w:asciiTheme="majorHAnsi" w:hAnsiTheme="majorHAnsi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poskytnutých záruk</w:t>
            </w: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30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MS Gothic" w:cs="Times New Roman" w:asciiTheme="majorHAnsi" w:hAnsiTheme="majorHAnsi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všeobecne záväzných právnych predpisov</w:t>
            </w: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30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MS Gothic" w:cs="Times New Roman" w:asciiTheme="majorHAnsi" w:hAnsiTheme="majorHAnsi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Zo zmluvy o podriadenom záväzku</w:t>
            </w: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3014" w:type="dxa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MS Gothic" w:cs="Times New Roman" w:asciiTheme="majorHAnsi" w:hAnsiTheme="majorHAnsi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Z ručenia</w:t>
            </w: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  <w:tr>
        <w:trPr/>
        <w:tc>
          <w:tcPr>
            <w:tcW w:w="3014" w:type="dxa"/>
            <w:tcBorders>
              <w:top w:val="single" w:sz="6" w:space="0" w:color="000000"/>
              <w:left w:val="single" w:sz="12" w:space="0" w:color="000000"/>
              <w:bottom w:val="single" w:sz="12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rPr>
                <w:rFonts w:ascii="Cambria" w:hAnsi="Cambria" w:eastAsia="MS Gothic" w:cs="Times New Roman" w:asciiTheme="majorHAnsi" w:hAnsiTheme="majorHAnsi"/>
                <w:sz w:val="20"/>
                <w:szCs w:val="24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 w:asciiTheme="majorHAnsi" w:hAnsiTheme="majorHAnsi"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  <w:t>Iné podmienené záväzky</w:t>
            </w: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  <w:tc>
          <w:tcPr>
            <w:tcW w:w="3014" w:type="dxa"/>
            <w:tcBorders>
              <w:top w:val="single" w:sz="6" w:space="0" w:color="000000"/>
              <w:left w:val="single" w:sz="6" w:space="0" w:color="000000"/>
              <w:bottom w:val="single" w:sz="12" w:space="0" w:color="000000"/>
              <w:right w:val="single" w:sz="12" w:space="0" w:color="000000"/>
            </w:tcBorders>
            <w:shd w:fill="auto" w:val="clear"/>
          </w:tcPr>
          <w:p>
            <w:pPr>
              <w:pStyle w:val="Normal"/>
              <w:spacing w:lineRule="auto" w:line="240" w:before="0" w:after="0"/>
              <w:jc w:val="both"/>
              <w:rPr>
                <w:rFonts w:ascii="Cambria" w:hAnsi="Cambria" w:eastAsia="MS Gothic" w:cs="Times New Roman" w:asciiTheme="majorHAnsi" w:hAnsiTheme="majorHAnsi"/>
                <w:b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pPr>
            <w:r>
              <w:rPr>
                <w:rFonts w:eastAsia="MS Gothic" w:cs="Times New Roman" w:ascii="Cambria" w:hAnsi="Cambria"/>
                <w:b/>
                <w:sz w:val="16"/>
                <w:szCs w:val="16"/>
                <w14:textOutline w14:w="0" w14:cap="rnd" w14:cmpd="sng" w14:algn="ctr">
                  <w14:solidFill>
                    <w14:schemeClr w14:val="tx1"/>
                  </w14:solidFill>
                  <w14:prstDash w14:val="solid"/>
                  <w14:bevel/>
                </w14:textOutline>
              </w:rPr>
            </w:r>
          </w:p>
        </w:tc>
      </w:tr>
    </w:tbl>
    <w:p>
      <w:pPr>
        <w:pStyle w:val="Normal"/>
        <w:spacing w:lineRule="auto" w:line="240" w:before="120" w:after="0"/>
        <w:jc w:val="both"/>
        <w:rPr>
          <w:rFonts w:ascii="Cambria" w:hAnsi="Cambria" w:eastAsia="Times New Roman" w:cs="Times New Roman" w:asciiTheme="majorHAnsi" w:hAnsiTheme="majorHAnsi"/>
          <w:b/>
          <w:b/>
          <w:bCs/>
          <w:color w:val="000000"/>
          <w:sz w:val="16"/>
          <w:szCs w:val="16"/>
          <w:lang w:eastAsia="sk-SK"/>
        </w:rPr>
      </w:pPr>
      <w:r>
        <w:rPr>
          <w:rFonts w:eastAsia="Times New Roman" w:cs="Times New Roman" w:ascii="Cambria" w:hAnsi="Cambria"/>
          <w:b/>
          <w:bCs/>
          <w:color w:val="000000"/>
          <w:sz w:val="16"/>
          <w:szCs w:val="16"/>
          <w:lang w:eastAsia="sk-SK"/>
        </w:rPr>
      </w:r>
    </w:p>
    <w:p>
      <w:pPr>
        <w:pStyle w:val="Normal"/>
        <w:spacing w:lineRule="auto" w:line="240" w:before="120" w:after="0"/>
        <w:jc w:val="both"/>
        <w:rPr>
          <w:rFonts w:ascii="Cambria" w:hAnsi="Cambria" w:eastAsia="Times New Roman" w:cs="Times New Roman" w:asciiTheme="majorHAnsi" w:hAnsiTheme="majorHAnsi"/>
          <w:b/>
          <w:b/>
          <w:bCs/>
          <w:color w:val="000000"/>
          <w:lang w:eastAsia="sk-SK"/>
        </w:rPr>
      </w:pPr>
      <w:r>
        <w:rPr>
          <w:rFonts w:eastAsia="Times New Roman" w:cs="Times New Roman" w:ascii="Cambria" w:hAnsi="Cambria" w:asciiTheme="majorHAnsi" w:hAnsiTheme="majorHAnsi"/>
          <w:b/>
          <w:bCs/>
          <w:color w:val="000000"/>
          <w:sz w:val="16"/>
          <w:szCs w:val="16"/>
          <w:lang w:eastAsia="sk-SK"/>
        </w:rPr>
        <w:t>Opis významných podmienených záväzkov:</w:t>
      </w:r>
    </w:p>
    <w:p>
      <w:pPr>
        <w:pStyle w:val="Normal"/>
        <w:spacing w:lineRule="auto" w:line="240"/>
        <w:jc w:val="both"/>
        <w:rPr>
          <w:rFonts w:ascii="Cambria" w:hAnsi="Cambria" w:eastAsia="MS Gothic" w:cs="Times New Roman" w:asciiTheme="majorHAnsi" w:hAnsiTheme="majorHAnsi"/>
          <w:b/>
          <w:b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Cambria" w:hAnsi="Cambria"/>
          <w:b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Cambria" w:hAnsi="Cambria" w:eastAsia="MS Gothic" w:cs="Times New Roman" w:asciiTheme="majorHAnsi" w:hAnsiTheme="majorHAnsi"/>
          <w:b/>
          <w:b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Cambria" w:hAnsi="Cambria"/>
          <w:b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Cambria" w:hAnsi="Cambria" w:eastAsia="MS Gothic" w:cs="Times New Roman" w:asciiTheme="majorHAnsi" w:hAnsiTheme="majorHAnsi"/>
          <w:b/>
          <w:b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Cambria" w:hAnsi="Cambria"/>
          <w:b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/>
        <w:jc w:val="both"/>
        <w:rPr>
          <w:rFonts w:ascii="Cambria" w:hAnsi="Cambria" w:eastAsia="MS Gothic" w:cs="Times New Roman" w:asciiTheme="majorHAnsi" w:hAnsiTheme="majorHAnsi"/>
          <w:b/>
          <w:b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Times New Roman" w:ascii="Cambria" w:hAnsi="Cambria" w:asciiTheme="majorHAnsi" w:hAnsiTheme="majorHAnsi"/>
          <w:b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6 e) Opis významných povinností účtovnej jednotky vyplývajúcich z dôchodkových </w:t>
        <w:tab/>
        <w:t>programov pre zamestnancov:</w:t>
      </w:r>
    </w:p>
    <w:p>
      <w:pPr>
        <w:pStyle w:val="Normal"/>
        <w:spacing w:lineRule="auto" w:line="240" w:before="240" w:after="200"/>
        <w:ind w:right="-141" w:hanging="0"/>
        <w:jc w:val="both"/>
        <w:rPr>
          <w:sz w:val="16"/>
          <w:szCs w:val="16"/>
        </w:rPr>
      </w:pPr>
      <w:r>
        <w:rPr>
          <w:rFonts w:eastAsia="MS Gothic" w:cs="Arial" w:ascii="Cambria" w:hAnsi="Cambria" w:asciiTheme="majorHAnsi" w:hAnsiTheme="majorHAnsi"/>
          <w:b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   </w:t>
      </w:r>
    </w:p>
    <w:p>
      <w:pPr>
        <w:pStyle w:val="Normal"/>
        <w:spacing w:lineRule="auto" w:line="240"/>
        <w:jc w:val="both"/>
        <w:rPr>
          <w:rFonts w:ascii="Cambria" w:hAnsi="Cambria" w:eastAsia="MS Gothic" w:cs="Times New Roman" w:asciiTheme="majorHAnsi" w:hAnsiTheme="majorHAnsi"/>
        </w:rPr>
      </w:pPr>
      <w:r>
        <w:rPr>
          <w:rFonts w:eastAsia="MS Gothic" w:cs="Times New Roman" w:ascii="Cambria" w:hAnsi="Cambria" w:asciiTheme="majorHAnsi" w:hAnsiTheme="majorHAnsi"/>
          <w:b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 xml:space="preserve">III. 7  Informácie o udelení výlučného práva alebo osobitného práva, ktorým sa udelilo </w:t>
        <w:tab/>
        <w:t xml:space="preserve">právo poskytovať služby vo verejnom záujme (uvádza sa aj náhrada za túto </w:t>
        <w:tab/>
        <w:t>činnosť v akejkoľvek forme):</w:t>
      </w:r>
    </w:p>
    <w:p>
      <w:pPr>
        <w:pStyle w:val="Normal"/>
        <w:spacing w:lineRule="auto" w:line="240" w:before="240" w:after="200"/>
        <w:ind w:right="-141" w:hanging="0"/>
        <w:jc w:val="both"/>
        <w:rPr>
          <w:sz w:val="16"/>
          <w:szCs w:val="16"/>
        </w:rPr>
      </w:pPr>
      <w:r>
        <w:rPr>
          <w:rFonts w:eastAsia="MS Gothic" w:cs="Arial" w:ascii="Cambria" w:hAnsi="Cambria" w:asciiTheme="majorHAnsi" w:hAnsiTheme="majorHAnsi"/>
          <w:b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  <w:t>     </w:t>
      </w:r>
    </w:p>
    <w:p>
      <w:pPr>
        <w:pStyle w:val="Normal"/>
        <w:spacing w:lineRule="auto" w:line="240" w:before="240" w:after="200"/>
        <w:jc w:val="both"/>
        <w:rPr>
          <w:rFonts w:ascii="Cambria" w:hAnsi="Cambria" w:eastAsia="MS Gothic" w:cs="Arial" w:asciiTheme="majorHAnsi" w:hAnsiTheme="majorHAnsi"/>
          <w:b/>
          <w:b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pPr>
      <w:r>
        <w:rPr>
          <w:rFonts w:eastAsia="MS Gothic" w:cs="Arial" w:ascii="Cambria" w:hAnsi="Cambria"/>
          <w:b/>
          <w:sz w:val="16"/>
          <w:szCs w:val="16"/>
          <w14:textOutline w14:w="0" w14:cap="rnd" w14:cmpd="sng" w14:algn="ctr">
            <w14:solidFill>
              <w14:schemeClr w14:val="tx1"/>
            </w14:solidFill>
            <w14:prstDash w14:val="solid"/>
            <w14:bevel/>
          </w14:textOutline>
        </w:rPr>
      </w:r>
    </w:p>
    <w:p>
      <w:pPr>
        <w:pStyle w:val="Normal"/>
        <w:spacing w:lineRule="auto" w:line="240" w:before="240" w:after="200"/>
        <w:jc w:val="both"/>
        <w:rPr/>
      </w:pPr>
      <w:r>
        <w:rPr/>
      </w:r>
    </w:p>
    <w:sectPr>
      <w:headerReference w:type="default" r:id="rId2"/>
      <w:footerReference w:type="default" r:id="rId3"/>
      <w:type w:val="nextPage"/>
      <w:pgSz w:w="11906" w:h="16838"/>
      <w:pgMar w:left="1417" w:right="1417" w:header="708" w:top="1417" w:footer="708" w:bottom="1417" w:gutter="0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Cambria">
    <w:charset w:val="ee"/>
    <w:family w:val="roman"/>
    <w:pitch w:val="variable"/>
  </w:font>
  <w:font w:name="Tahoma">
    <w:charset w:val="ee"/>
    <w:family w:val="roman"/>
    <w:pitch w:val="variable"/>
  </w:font>
  <w:font w:name="Arial">
    <w:charset w:val="ee"/>
    <w:family w:val="roman"/>
    <w:pitch w:val="variable"/>
  </w:font>
  <w:font w:name="Liberation Sans">
    <w:altName w:val="Arial"/>
    <w:charset w:val="ee"/>
    <w:family w:val="roman"/>
    <w:pitch w:val="variable"/>
  </w:font>
  <w:font w:name="MS Mincho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sdt>
    <w:sdtPr>
      <w:docPartObj>
        <w:docPartGallery w:val="Page Numbers (Bottom of Page)"/>
        <w:docPartUnique w:val="true"/>
      </w:docPartObj>
      <w:id w:val="1343447249"/>
      <w:alias w:val="materská účtovná jednotka"/>
    </w:sdtPr>
    <w:sdtContent>
      <w:p>
        <w:pPr>
          <w:pStyle w:val="Pta"/>
          <w:jc w:val="right"/>
          <w:rPr/>
        </w:pPr>
        <w:r>
          <w:rPr>
            <w:rFonts w:ascii="Cambria" w:hAnsi="Cambria"/>
          </w:rPr>
          <w:fldChar w:fldCharType="begin"/>
        </w:r>
        <w:r>
          <w:rPr>
            <w:rFonts w:ascii="Cambria" w:hAnsi="Cambria"/>
          </w:rPr>
          <w:instrText> PAGE </w:instrText>
        </w:r>
        <w:r>
          <w:rPr>
            <w:rFonts w:ascii="Cambria" w:hAnsi="Cambria"/>
          </w:rPr>
          <w:fldChar w:fldCharType="separate"/>
        </w:r>
        <w:r>
          <w:rPr>
            <w:rFonts w:ascii="Cambria" w:hAnsi="Cambria"/>
          </w:rPr>
          <w:t>3</w:t>
        </w:r>
        <w:r>
          <w:rPr>
            <w:rFonts w:ascii="Cambria" w:hAnsi="Cambria"/>
          </w:rPr>
          <w:fldChar w:fldCharType="end"/>
        </w:r>
      </w:p>
    </w:sdtContent>
  </w:sdt>
  <w:p>
    <w:pPr>
      <w:pStyle w:val="Pta"/>
      <w:rPr/>
    </w:pPr>
    <w:r>
      <w:rPr/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Hlavika"/>
      <w:jc w:val="right"/>
      <w:rPr/>
    </w:pPr>
    <w:sdt>
      <w:sdtPr>
        <w:text/>
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<w:alias w:val="Title"/>
      </w:sdtPr>
      <w:sdtContent>
        <w:r>
          <w:rPr>
            <w:rFonts w:ascii="Cambria" w:hAnsi="Cambria" w:asciiTheme="majorHAnsi" w:hAnsiTheme="majorHAnsi"/>
            <w:sz w:val="16"/>
            <w:szCs w:val="16"/>
          </w:rPr>
          <w:t>Poznámky Úč MÚJ</w:t>
        </w:r>
        <w:r>
          <w:rPr>
            <w:rFonts w:ascii="Cambria" w:hAnsi="Cambria" w:asciiTheme="majorHAnsi" w:hAnsiTheme="majorHAnsi"/>
            <w:sz w:val="16"/>
            <w:szCs w:val="16"/>
          </w:rPr>
          <w:t xml:space="preserve"> 3 - 01</w:t>
        </w:r>
      </w:sdtContent>
    </w:sdt>
  </w:p>
  <w:p>
    <w:pPr>
      <w:pStyle w:val="Hlavika"/>
      <w:rPr>
        <w:rFonts w:ascii="Cambria" w:hAnsi="Cambria" w:asciiTheme="majorHAnsi" w:hAnsiTheme="majorHAnsi"/>
        <w:sz w:val="16"/>
        <w:szCs w:val="16"/>
      </w:rPr>
    </w:pPr>
    <w:r>
      <w:rPr>
        <w:rFonts w:asciiTheme="majorHAnsi" w:hAnsiTheme="majorHAnsi" w:ascii="Cambria" w:hAnsi="Cambria"/>
        <w:sz w:val="16"/>
        <w:szCs w:val="16"/>
      </w:rPr>
    </w:r>
  </w:p>
  <w:tbl>
    <w:tblPr>
      <w:tblStyle w:val="Mriekatabuky"/>
      <w:tblW w:w="7212" w:type="dxa"/>
      <w:jc w:val="right"/>
      <w:tblInd w:w="0" w:type="dxa"/>
      <w:tblCellMar>
        <w:top w:w="0" w:type="dxa"/>
        <w:left w:w="108" w:type="dxa"/>
        <w:bottom w:w="0" w:type="dxa"/>
        <w:right w:w="108" w:type="dxa"/>
      </w:tblCellMar>
      <w:tblLook w:firstRow="1" w:noVBand="1" w:lastRow="0" w:firstColumn="1" w:lastColumn="0" w:noHBand="0" w:val="04a0"/>
    </w:tblPr>
    <w:tblGrid>
      <w:gridCol w:w="623"/>
      <w:gridCol w:w="284"/>
      <w:gridCol w:w="285"/>
      <w:gridCol w:w="285"/>
      <w:gridCol w:w="284"/>
      <w:gridCol w:w="285"/>
      <w:gridCol w:w="284"/>
      <w:gridCol w:w="284"/>
      <w:gridCol w:w="285"/>
      <w:gridCol w:w="856"/>
      <w:gridCol w:w="623"/>
      <w:gridCol w:w="287"/>
      <w:gridCol w:w="284"/>
      <w:gridCol w:w="284"/>
      <w:gridCol w:w="286"/>
      <w:gridCol w:w="285"/>
      <w:gridCol w:w="285"/>
      <w:gridCol w:w="282"/>
      <w:gridCol w:w="285"/>
      <w:gridCol w:w="286"/>
      <w:gridCol w:w="268"/>
    </w:tblGrid>
    <w:tr>
      <w:trPr>
        <w:trHeight w:val="340" w:hRule="atLeast"/>
      </w:trPr>
      <w:tc>
        <w:tcPr>
          <w:tcW w:w="623" w:type="dxa"/>
          <w:tcBorders/>
          <w:shd w:fill="auto" w:val="clear"/>
          <w:vAlign w:val="center"/>
        </w:tcPr>
        <w:p>
          <w:pPr>
            <w:pStyle w:val="Hlavika"/>
            <w:spacing w:lineRule="auto" w:line="240" w:before="0" w:after="0"/>
            <w:jc w:val="center"/>
            <w:rPr>
              <w:rFonts w:ascii="Cambria" w:hAnsi="Cambria" w:asciiTheme="majorHAnsi" w:hAnsiTheme="majorHAnsi"/>
              <w:sz w:val="20"/>
              <w:szCs w:val="20"/>
            </w:rPr>
          </w:pPr>
          <w:r>
            <w:rPr>
              <w:rFonts w:ascii="Cambria" w:hAnsi="Cambria" w:asciiTheme="majorHAnsi" w:hAnsiTheme="majorHAnsi"/>
              <w:sz w:val="16"/>
              <w:szCs w:val="16"/>
            </w:rPr>
            <w:t>IČO:</w:t>
          </w:r>
        </w:p>
      </w:tc>
      <w:tc>
        <w:tcPr>
          <w:tcW w:w="284" w:type="dxa"/>
          <w:tcBorders/>
          <w:shd w:fill="auto" w:val="clear"/>
          <w:vAlign w:val="center"/>
        </w:tcPr>
        <w:p>
          <w:pPr>
            <w:pStyle w:val="Hlavika"/>
            <w:spacing w:lineRule="auto" w:line="240" w:before="0" w:after="0"/>
            <w:jc w:val="center"/>
            <w:rPr>
              <w:rFonts w:ascii="Cambria" w:hAnsi="Cambria" w:asciiTheme="majorHAnsi" w:hAnsiTheme="majorHAnsi"/>
              <w:sz w:val="20"/>
              <w:szCs w:val="20"/>
            </w:rPr>
          </w:pPr>
          <w:r>
            <w:rPr>
              <w:rFonts w:ascii="Cambria" w:hAnsi="Cambria" w:asciiTheme="majorHAnsi" w:hAnsiTheme="majorHAnsi"/>
              <w:sz w:val="16"/>
              <w:szCs w:val="16"/>
            </w:rPr>
            <w:t>3</w:t>
          </w:r>
        </w:p>
      </w:tc>
      <w:tc>
        <w:tcPr>
          <w:tcW w:w="285" w:type="dxa"/>
          <w:tcBorders/>
          <w:shd w:fill="auto" w:val="clear"/>
          <w:vAlign w:val="center"/>
        </w:tcPr>
        <w:p>
          <w:pPr>
            <w:pStyle w:val="Hlavika"/>
            <w:spacing w:lineRule="auto" w:line="240" w:before="0" w:after="0"/>
            <w:jc w:val="center"/>
            <w:rPr>
              <w:rFonts w:ascii="Cambria" w:hAnsi="Cambria" w:asciiTheme="majorHAnsi" w:hAnsiTheme="majorHAnsi"/>
              <w:sz w:val="20"/>
              <w:szCs w:val="20"/>
            </w:rPr>
          </w:pPr>
          <w:r>
            <w:rPr>
              <w:rFonts w:ascii="Cambria" w:hAnsi="Cambria" w:asciiTheme="majorHAnsi" w:hAnsiTheme="majorHAnsi"/>
              <w:sz w:val="16"/>
              <w:szCs w:val="16"/>
            </w:rPr>
            <w:t>4</w:t>
          </w:r>
        </w:p>
      </w:tc>
      <w:tc>
        <w:tcPr>
          <w:tcW w:w="285" w:type="dxa"/>
          <w:tcBorders/>
          <w:shd w:fill="auto" w:val="clear"/>
          <w:vAlign w:val="center"/>
        </w:tcPr>
        <w:p>
          <w:pPr>
            <w:pStyle w:val="Hlavika"/>
            <w:spacing w:lineRule="auto" w:line="240" w:before="0" w:after="0"/>
            <w:jc w:val="center"/>
            <w:rPr>
              <w:rFonts w:ascii="Cambria" w:hAnsi="Cambria" w:asciiTheme="majorHAnsi" w:hAnsiTheme="majorHAnsi"/>
              <w:sz w:val="20"/>
              <w:szCs w:val="20"/>
            </w:rPr>
          </w:pPr>
          <w:r>
            <w:rPr>
              <w:rFonts w:ascii="Cambria" w:hAnsi="Cambria" w:asciiTheme="majorHAnsi" w:hAnsiTheme="majorHAnsi"/>
              <w:sz w:val="16"/>
              <w:szCs w:val="16"/>
            </w:rPr>
            <w:t>1</w:t>
          </w:r>
        </w:p>
      </w:tc>
      <w:tc>
        <w:tcPr>
          <w:tcW w:w="284" w:type="dxa"/>
          <w:tcBorders/>
          <w:shd w:fill="auto" w:val="clear"/>
          <w:vAlign w:val="center"/>
        </w:tcPr>
        <w:p>
          <w:pPr>
            <w:pStyle w:val="Hlavika"/>
            <w:spacing w:lineRule="auto" w:line="240" w:before="0" w:after="0"/>
            <w:jc w:val="center"/>
            <w:rPr>
              <w:rFonts w:ascii="Cambria" w:hAnsi="Cambria" w:asciiTheme="majorHAnsi" w:hAnsiTheme="majorHAnsi"/>
              <w:sz w:val="20"/>
              <w:szCs w:val="20"/>
            </w:rPr>
          </w:pPr>
          <w:r>
            <w:rPr>
              <w:rFonts w:ascii="Cambria" w:hAnsi="Cambria" w:asciiTheme="majorHAnsi" w:hAnsiTheme="majorHAnsi"/>
              <w:sz w:val="16"/>
              <w:szCs w:val="16"/>
            </w:rPr>
            <w:t>0</w:t>
          </w:r>
        </w:p>
      </w:tc>
      <w:tc>
        <w:tcPr>
          <w:tcW w:w="285" w:type="dxa"/>
          <w:tcBorders/>
          <w:shd w:fill="auto" w:val="clear"/>
          <w:vAlign w:val="center"/>
        </w:tcPr>
        <w:p>
          <w:pPr>
            <w:pStyle w:val="Hlavika"/>
            <w:spacing w:lineRule="auto" w:line="240" w:before="0" w:after="0"/>
            <w:jc w:val="center"/>
            <w:rPr>
              <w:rFonts w:ascii="Cambria" w:hAnsi="Cambria" w:asciiTheme="majorHAnsi" w:hAnsiTheme="majorHAnsi"/>
              <w:sz w:val="20"/>
              <w:szCs w:val="20"/>
            </w:rPr>
          </w:pPr>
          <w:r>
            <w:rPr>
              <w:rFonts w:ascii="Cambria" w:hAnsi="Cambria" w:asciiTheme="majorHAnsi" w:hAnsiTheme="majorHAnsi"/>
              <w:sz w:val="16"/>
              <w:szCs w:val="16"/>
            </w:rPr>
            <w:t>4</w:t>
          </w:r>
        </w:p>
      </w:tc>
      <w:tc>
        <w:tcPr>
          <w:tcW w:w="284" w:type="dxa"/>
          <w:tcBorders/>
          <w:shd w:fill="auto" w:val="clear"/>
          <w:vAlign w:val="center"/>
        </w:tcPr>
        <w:p>
          <w:pPr>
            <w:pStyle w:val="Hlavika"/>
            <w:spacing w:lineRule="auto" w:line="240" w:before="0" w:after="0"/>
            <w:jc w:val="center"/>
            <w:rPr>
              <w:rFonts w:ascii="Cambria" w:hAnsi="Cambria" w:asciiTheme="majorHAnsi" w:hAnsiTheme="majorHAnsi"/>
              <w:sz w:val="20"/>
              <w:szCs w:val="20"/>
            </w:rPr>
          </w:pPr>
          <w:r>
            <w:rPr>
              <w:rFonts w:ascii="Cambria" w:hAnsi="Cambria" w:asciiTheme="majorHAnsi" w:hAnsiTheme="majorHAnsi"/>
              <w:sz w:val="16"/>
              <w:szCs w:val="16"/>
            </w:rPr>
            <w:t>3</w:t>
          </w:r>
        </w:p>
      </w:tc>
      <w:tc>
        <w:tcPr>
          <w:tcW w:w="284" w:type="dxa"/>
          <w:tcBorders/>
          <w:shd w:fill="auto" w:val="clear"/>
          <w:vAlign w:val="center"/>
        </w:tcPr>
        <w:p>
          <w:pPr>
            <w:pStyle w:val="Hlavika"/>
            <w:spacing w:lineRule="auto" w:line="240" w:before="0" w:after="0"/>
            <w:jc w:val="center"/>
            <w:rPr>
              <w:rFonts w:ascii="Cambria" w:hAnsi="Cambria" w:asciiTheme="majorHAnsi" w:hAnsiTheme="majorHAnsi"/>
              <w:sz w:val="20"/>
              <w:szCs w:val="20"/>
            </w:rPr>
          </w:pPr>
          <w:r>
            <w:rPr>
              <w:rFonts w:ascii="Cambria" w:hAnsi="Cambria" w:asciiTheme="majorHAnsi" w:hAnsiTheme="majorHAnsi"/>
              <w:sz w:val="16"/>
              <w:szCs w:val="16"/>
            </w:rPr>
            <w:t>2</w:t>
          </w:r>
        </w:p>
      </w:tc>
      <w:tc>
        <w:tcPr>
          <w:tcW w:w="285" w:type="dxa"/>
          <w:tcBorders/>
          <w:shd w:fill="auto" w:val="clear"/>
          <w:vAlign w:val="center"/>
        </w:tcPr>
        <w:p>
          <w:pPr>
            <w:pStyle w:val="Hlavika"/>
            <w:spacing w:lineRule="auto" w:line="240" w:before="0" w:after="0"/>
            <w:jc w:val="center"/>
            <w:rPr>
              <w:rFonts w:ascii="Cambria" w:hAnsi="Cambria" w:asciiTheme="majorHAnsi" w:hAnsiTheme="majorHAnsi"/>
              <w:sz w:val="20"/>
              <w:szCs w:val="20"/>
            </w:rPr>
          </w:pPr>
          <w:r>
            <w:rPr>
              <w:rFonts w:ascii="Cambria" w:hAnsi="Cambria" w:asciiTheme="majorHAnsi" w:hAnsiTheme="majorHAnsi"/>
              <w:sz w:val="16"/>
              <w:szCs w:val="16"/>
            </w:rPr>
            <w:t>1</w:t>
          </w:r>
        </w:p>
      </w:tc>
      <w:tc>
        <w:tcPr>
          <w:tcW w:w="856" w:type="dxa"/>
          <w:tcBorders>
            <w:top w:val="nil"/>
            <w:bottom w:val="nil"/>
          </w:tcBorders>
          <w:shd w:fill="auto" w:val="clear"/>
          <w:vAlign w:val="center"/>
        </w:tcPr>
        <w:p>
          <w:pPr>
            <w:pStyle w:val="Hlavika"/>
            <w:spacing w:lineRule="auto" w:line="240" w:before="0" w:after="0"/>
            <w:jc w:val="center"/>
            <w:rPr>
              <w:rFonts w:ascii="Cambria" w:hAnsi="Cambria" w:asciiTheme="majorHAnsi" w:hAnsiTheme="majorHAnsi"/>
              <w:sz w:val="16"/>
              <w:szCs w:val="16"/>
            </w:rPr>
          </w:pPr>
          <w:r>
            <w:rPr>
              <w:rFonts w:asciiTheme="majorHAnsi" w:hAnsiTheme="majorHAnsi" w:ascii="Cambria" w:hAnsi="Cambria"/>
              <w:sz w:val="16"/>
              <w:szCs w:val="16"/>
            </w:rPr>
          </w:r>
        </w:p>
      </w:tc>
      <w:tc>
        <w:tcPr>
          <w:tcW w:w="623" w:type="dxa"/>
          <w:tcBorders/>
          <w:shd w:fill="auto" w:val="clear"/>
          <w:vAlign w:val="center"/>
        </w:tcPr>
        <w:p>
          <w:pPr>
            <w:pStyle w:val="Hlavika"/>
            <w:spacing w:lineRule="auto" w:line="240" w:before="0" w:after="0"/>
            <w:jc w:val="center"/>
            <w:rPr>
              <w:rFonts w:ascii="Cambria" w:hAnsi="Cambria" w:asciiTheme="majorHAnsi" w:hAnsiTheme="majorHAnsi"/>
              <w:sz w:val="20"/>
              <w:szCs w:val="20"/>
            </w:rPr>
          </w:pPr>
          <w:r>
            <w:rPr>
              <w:rFonts w:ascii="Cambria" w:hAnsi="Cambria" w:asciiTheme="majorHAnsi" w:hAnsiTheme="majorHAnsi"/>
              <w:sz w:val="16"/>
              <w:szCs w:val="16"/>
            </w:rPr>
            <w:t>DIČ:</w:t>
          </w:r>
        </w:p>
      </w:tc>
      <w:tc>
        <w:tcPr>
          <w:tcW w:w="287" w:type="dxa"/>
          <w:tcBorders/>
          <w:shd w:fill="auto" w:val="clear"/>
          <w:vAlign w:val="center"/>
        </w:tcPr>
        <w:p>
          <w:pPr>
            <w:pStyle w:val="Hlavika"/>
            <w:spacing w:lineRule="auto" w:line="240" w:before="0" w:after="0"/>
            <w:jc w:val="center"/>
            <w:rPr>
              <w:rFonts w:ascii="Cambria" w:hAnsi="Cambria" w:asciiTheme="majorHAnsi" w:hAnsiTheme="majorHAnsi"/>
              <w:sz w:val="20"/>
              <w:szCs w:val="20"/>
            </w:rPr>
          </w:pPr>
          <w:r>
            <w:rPr>
              <w:rFonts w:ascii="Cambria" w:hAnsi="Cambria" w:asciiTheme="majorHAnsi" w:hAnsiTheme="majorHAnsi"/>
              <w:sz w:val="16"/>
              <w:szCs w:val="16"/>
            </w:rPr>
            <w:t>2</w:t>
          </w:r>
        </w:p>
      </w:tc>
      <w:tc>
        <w:tcPr>
          <w:tcW w:w="284" w:type="dxa"/>
          <w:tcBorders/>
          <w:shd w:fill="auto" w:val="clear"/>
          <w:vAlign w:val="center"/>
        </w:tcPr>
        <w:p>
          <w:pPr>
            <w:pStyle w:val="Hlavika"/>
            <w:spacing w:lineRule="auto" w:line="240" w:before="0" w:after="0"/>
            <w:jc w:val="center"/>
            <w:rPr>
              <w:rFonts w:ascii="Cambria" w:hAnsi="Cambria" w:asciiTheme="majorHAnsi" w:hAnsiTheme="majorHAnsi"/>
              <w:sz w:val="20"/>
              <w:szCs w:val="20"/>
            </w:rPr>
          </w:pPr>
          <w:r>
            <w:rPr>
              <w:rFonts w:ascii="Cambria" w:hAnsi="Cambria" w:asciiTheme="majorHAnsi" w:hAnsiTheme="majorHAnsi"/>
              <w:sz w:val="16"/>
              <w:szCs w:val="16"/>
            </w:rPr>
            <w:t>0</w:t>
          </w:r>
        </w:p>
      </w:tc>
      <w:tc>
        <w:tcPr>
          <w:tcW w:w="284" w:type="dxa"/>
          <w:tcBorders/>
          <w:shd w:fill="auto" w:val="clear"/>
          <w:vAlign w:val="center"/>
        </w:tcPr>
        <w:p>
          <w:pPr>
            <w:pStyle w:val="Hlavika"/>
            <w:spacing w:lineRule="auto" w:line="240" w:before="0" w:after="0"/>
            <w:jc w:val="center"/>
            <w:rPr>
              <w:rFonts w:ascii="Cambria" w:hAnsi="Cambria" w:asciiTheme="majorHAnsi" w:hAnsiTheme="majorHAnsi"/>
              <w:sz w:val="20"/>
              <w:szCs w:val="20"/>
            </w:rPr>
          </w:pPr>
          <w:r>
            <w:rPr>
              <w:rFonts w:ascii="Cambria" w:hAnsi="Cambria" w:asciiTheme="majorHAnsi" w:hAnsiTheme="majorHAnsi"/>
              <w:sz w:val="16"/>
              <w:szCs w:val="16"/>
            </w:rPr>
            <w:t>2</w:t>
          </w:r>
        </w:p>
      </w:tc>
      <w:tc>
        <w:tcPr>
          <w:tcW w:w="286" w:type="dxa"/>
          <w:tcBorders/>
          <w:shd w:fill="auto" w:val="clear"/>
          <w:vAlign w:val="center"/>
        </w:tcPr>
        <w:p>
          <w:pPr>
            <w:pStyle w:val="Hlavika"/>
            <w:spacing w:lineRule="auto" w:line="240" w:before="0" w:after="0"/>
            <w:jc w:val="center"/>
            <w:rPr>
              <w:rFonts w:ascii="Cambria" w:hAnsi="Cambria" w:asciiTheme="majorHAnsi" w:hAnsiTheme="majorHAnsi"/>
              <w:sz w:val="20"/>
              <w:szCs w:val="20"/>
            </w:rPr>
          </w:pPr>
          <w:r>
            <w:rPr>
              <w:rFonts w:ascii="Cambria" w:hAnsi="Cambria" w:asciiTheme="majorHAnsi" w:hAnsiTheme="majorHAnsi"/>
              <w:sz w:val="16"/>
              <w:szCs w:val="16"/>
            </w:rPr>
            <w:t>0</w:t>
          </w:r>
        </w:p>
      </w:tc>
      <w:tc>
        <w:tcPr>
          <w:tcW w:w="285" w:type="dxa"/>
          <w:tcBorders/>
          <w:shd w:fill="auto" w:val="clear"/>
          <w:vAlign w:val="center"/>
        </w:tcPr>
        <w:p>
          <w:pPr>
            <w:pStyle w:val="Hlavika"/>
            <w:spacing w:lineRule="auto" w:line="240" w:before="0" w:after="0"/>
            <w:jc w:val="center"/>
            <w:rPr>
              <w:rFonts w:ascii="Cambria" w:hAnsi="Cambria" w:asciiTheme="majorHAnsi" w:hAnsiTheme="majorHAnsi"/>
              <w:sz w:val="20"/>
              <w:szCs w:val="20"/>
            </w:rPr>
          </w:pPr>
          <w:r>
            <w:rPr>
              <w:rFonts w:ascii="Cambria" w:hAnsi="Cambria" w:asciiTheme="majorHAnsi" w:hAnsiTheme="majorHAnsi"/>
              <w:sz w:val="16"/>
              <w:szCs w:val="16"/>
            </w:rPr>
            <w:t>4</w:t>
          </w:r>
        </w:p>
      </w:tc>
      <w:tc>
        <w:tcPr>
          <w:tcW w:w="285" w:type="dxa"/>
          <w:tcBorders/>
          <w:shd w:fill="auto" w:val="clear"/>
          <w:vAlign w:val="center"/>
        </w:tcPr>
        <w:p>
          <w:pPr>
            <w:pStyle w:val="Hlavika"/>
            <w:spacing w:lineRule="auto" w:line="240" w:before="0" w:after="0"/>
            <w:jc w:val="center"/>
            <w:rPr>
              <w:rFonts w:ascii="Cambria" w:hAnsi="Cambria" w:asciiTheme="majorHAnsi" w:hAnsiTheme="majorHAnsi"/>
              <w:sz w:val="20"/>
              <w:szCs w:val="20"/>
            </w:rPr>
          </w:pPr>
          <w:r>
            <w:rPr>
              <w:rFonts w:ascii="Cambria" w:hAnsi="Cambria" w:asciiTheme="majorHAnsi" w:hAnsiTheme="majorHAnsi"/>
              <w:sz w:val="16"/>
              <w:szCs w:val="16"/>
            </w:rPr>
            <w:t>2</w:t>
          </w:r>
        </w:p>
      </w:tc>
      <w:tc>
        <w:tcPr>
          <w:tcW w:w="282" w:type="dxa"/>
          <w:tcBorders/>
          <w:shd w:fill="auto" w:val="clear"/>
          <w:vAlign w:val="center"/>
        </w:tcPr>
        <w:p>
          <w:pPr>
            <w:pStyle w:val="Hlavika"/>
            <w:spacing w:lineRule="auto" w:line="240" w:before="0" w:after="0"/>
            <w:jc w:val="center"/>
            <w:rPr>
              <w:rFonts w:ascii="Cambria" w:hAnsi="Cambria" w:asciiTheme="majorHAnsi" w:hAnsiTheme="majorHAnsi"/>
              <w:sz w:val="20"/>
              <w:szCs w:val="20"/>
            </w:rPr>
          </w:pPr>
          <w:r>
            <w:rPr>
              <w:rFonts w:ascii="Cambria" w:hAnsi="Cambria" w:asciiTheme="majorHAnsi" w:hAnsiTheme="majorHAnsi"/>
              <w:sz w:val="16"/>
              <w:szCs w:val="16"/>
            </w:rPr>
            <w:t>0</w:t>
          </w:r>
        </w:p>
      </w:tc>
      <w:tc>
        <w:tcPr>
          <w:tcW w:w="285" w:type="dxa"/>
          <w:tcBorders/>
          <w:shd w:fill="auto" w:val="clear"/>
          <w:vAlign w:val="center"/>
        </w:tcPr>
        <w:p>
          <w:pPr>
            <w:pStyle w:val="Hlavika"/>
            <w:spacing w:lineRule="auto" w:line="240" w:before="0" w:after="0"/>
            <w:jc w:val="center"/>
            <w:rPr>
              <w:rFonts w:ascii="Cambria" w:hAnsi="Cambria" w:asciiTheme="majorHAnsi" w:hAnsiTheme="majorHAnsi"/>
              <w:sz w:val="20"/>
              <w:szCs w:val="20"/>
            </w:rPr>
          </w:pPr>
          <w:r>
            <w:rPr>
              <w:rFonts w:ascii="Cambria" w:hAnsi="Cambria" w:asciiTheme="majorHAnsi" w:hAnsiTheme="majorHAnsi"/>
              <w:sz w:val="16"/>
              <w:szCs w:val="16"/>
            </w:rPr>
            <w:t>1</w:t>
          </w:r>
        </w:p>
      </w:tc>
      <w:tc>
        <w:tcPr>
          <w:tcW w:w="286" w:type="dxa"/>
          <w:tcBorders/>
          <w:shd w:fill="auto" w:val="clear"/>
          <w:vAlign w:val="center"/>
        </w:tcPr>
        <w:p>
          <w:pPr>
            <w:pStyle w:val="Hlavika"/>
            <w:spacing w:lineRule="auto" w:line="240" w:before="0" w:after="0"/>
            <w:jc w:val="center"/>
            <w:rPr>
              <w:rFonts w:ascii="Cambria" w:hAnsi="Cambria" w:asciiTheme="majorHAnsi" w:hAnsiTheme="majorHAnsi"/>
              <w:sz w:val="20"/>
              <w:szCs w:val="20"/>
            </w:rPr>
          </w:pPr>
          <w:r>
            <w:rPr>
              <w:rFonts w:ascii="Cambria" w:hAnsi="Cambria" w:asciiTheme="majorHAnsi" w:hAnsiTheme="majorHAnsi"/>
              <w:sz w:val="16"/>
              <w:szCs w:val="16"/>
            </w:rPr>
            <w:t>4</w:t>
          </w:r>
        </w:p>
      </w:tc>
      <w:tc>
        <w:tcPr>
          <w:tcW w:w="268" w:type="dxa"/>
          <w:tcBorders/>
          <w:shd w:fill="auto" w:val="clear"/>
          <w:vAlign w:val="center"/>
        </w:tcPr>
        <w:p>
          <w:pPr>
            <w:pStyle w:val="Hlavika"/>
            <w:spacing w:lineRule="auto" w:line="240" w:before="0" w:after="0"/>
            <w:jc w:val="center"/>
            <w:rPr>
              <w:rFonts w:ascii="Cambria" w:hAnsi="Cambria" w:asciiTheme="majorHAnsi" w:hAnsiTheme="majorHAnsi"/>
              <w:sz w:val="20"/>
              <w:szCs w:val="20"/>
            </w:rPr>
          </w:pPr>
          <w:r>
            <w:rPr>
              <w:rFonts w:ascii="Cambria" w:hAnsi="Cambria" w:asciiTheme="majorHAnsi" w:hAnsiTheme="majorHAnsi"/>
              <w:sz w:val="16"/>
              <w:szCs w:val="16"/>
            </w:rPr>
            <w:t>9</w:t>
          </w:r>
        </w:p>
      </w:tc>
    </w:tr>
  </w:tbl>
  <w:p>
    <w:pPr>
      <w:pStyle w:val="Hlavika"/>
      <w:rPr>
        <w:rFonts w:ascii="Cambria" w:hAnsi="Cambria" w:asciiTheme="majorHAnsi" w:hAnsiTheme="majorHAnsi"/>
      </w:rPr>
    </w:pPr>
    <w:r>
      <w:rPr>
        <w:rFonts w:asciiTheme="majorHAnsi" w:hAnsiTheme="majorHAnsi" w:ascii="Cambria" w:hAnsi="Cambria"/>
      </w:rPr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>
  <w:abstractNum w:abstractNumId="1">
    <w:lvl w:ilvl="0">
      <w:start w:val="1"/>
      <w:numFmt w:val="lowerLetter"/>
      <w:lvlText w:val="%1)"/>
      <w:lvlJc w:val="left"/>
      <w:pPr>
        <w:ind w:left="3276" w:hanging="360"/>
      </w:pPr>
      <w:rPr>
        <w:sz w:val="20"/>
        <w:b/>
      </w:rPr>
    </w:lvl>
    <w:lvl w:ilvl="1">
      <w:start w:val="1"/>
      <w:numFmt w:val="upperLetter"/>
      <w:lvlText w:val="%2."/>
      <w:lvlJc w:val="left"/>
      <w:pPr>
        <w:ind w:left="3996" w:hanging="360"/>
      </w:pPr>
    </w:lvl>
    <w:lvl w:ilvl="2">
      <w:start w:val="1"/>
      <w:numFmt w:val="lowerRoman"/>
      <w:lvlText w:val="%3."/>
      <w:lvlJc w:val="right"/>
      <w:pPr>
        <w:ind w:left="4716" w:hanging="180"/>
      </w:pPr>
    </w:lvl>
    <w:lvl w:ilvl="3">
      <w:start w:val="1"/>
      <w:numFmt w:val="decimal"/>
      <w:lvlText w:val="%4."/>
      <w:lvlJc w:val="left"/>
      <w:pPr>
        <w:ind w:left="5436" w:hanging="360"/>
      </w:pPr>
    </w:lvl>
    <w:lvl w:ilvl="4">
      <w:start w:val="1"/>
      <w:numFmt w:val="lowerLetter"/>
      <w:lvlText w:val="%5."/>
      <w:lvlJc w:val="left"/>
      <w:pPr>
        <w:ind w:left="6156" w:hanging="360"/>
      </w:pPr>
    </w:lvl>
    <w:lvl w:ilvl="5">
      <w:start w:val="1"/>
      <w:numFmt w:val="lowerRoman"/>
      <w:lvlText w:val="%6."/>
      <w:lvlJc w:val="right"/>
      <w:pPr>
        <w:ind w:left="6876" w:hanging="180"/>
      </w:pPr>
    </w:lvl>
    <w:lvl w:ilvl="6">
      <w:start w:val="1"/>
      <w:numFmt w:val="decimal"/>
      <w:lvlText w:val="%7."/>
      <w:lvlJc w:val="left"/>
      <w:pPr>
        <w:ind w:left="7596" w:hanging="360"/>
      </w:pPr>
    </w:lvl>
    <w:lvl w:ilvl="7">
      <w:start w:val="1"/>
      <w:numFmt w:val="lowerLetter"/>
      <w:lvlText w:val="%8."/>
      <w:lvlJc w:val="left"/>
      <w:pPr>
        <w:ind w:left="8316" w:hanging="360"/>
      </w:pPr>
    </w:lvl>
    <w:lvl w:ilvl="8">
      <w:start w:val="1"/>
      <w:numFmt w:val="lowerRoman"/>
      <w:lvlText w:val="%9."/>
      <w:lvlJc w:val="right"/>
      <w:pPr>
        <w:ind w:left="9036" w:hanging="180"/>
      </w:pPr>
    </w:lvl>
  </w:abstractNum>
  <w:abstractNum w:abstractNumId="2">
    <w:lvl w:ilvl="0">
      <w:start w:val="2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lvl w:ilvl="0">
      <w:start w:val="1"/>
      <w:numFmt w:val="none"/>
      <w:suff w:val="nothing"/>
      <w:lvlText w:val=""/>
      <w:lvlJc w:val="left"/>
      <w:pPr>
        <w:ind w:left="0" w:hanging="0"/>
      </w:pPr>
    </w:lvl>
    <w:lvl w:ilvl="1">
      <w:start w:val="1"/>
      <w:numFmt w:val="none"/>
      <w:suff w:val="nothing"/>
      <w:lvlText w:val=""/>
      <w:lvlJc w:val="left"/>
      <w:pPr>
        <w:ind w:left="0" w:hanging="0"/>
      </w:pPr>
    </w:lvl>
    <w:lvl w:ilvl="2">
      <w:start w:val="1"/>
      <w:numFmt w:val="none"/>
      <w:suff w:val="nothing"/>
      <w:lvlText w:val=""/>
      <w:lvlJc w:val="left"/>
      <w:pPr>
        <w:ind w:left="0" w:hanging="0"/>
      </w:pPr>
    </w:lvl>
    <w:lvl w:ilvl="3">
      <w:start w:val="1"/>
      <w:numFmt w:val="none"/>
      <w:suff w:val="nothing"/>
      <w:lvlText w:val=""/>
      <w:lvlJc w:val="left"/>
      <w:pPr>
        <w:ind w:left="0" w:hanging="0"/>
      </w:pPr>
    </w:lvl>
    <w:lvl w:ilvl="4">
      <w:start w:val="1"/>
      <w:numFmt w:val="none"/>
      <w:suff w:val="nothing"/>
      <w:lvlText w:val=""/>
      <w:lvlJc w:val="left"/>
      <w:pPr>
        <w:ind w:left="0" w:hanging="0"/>
      </w:pPr>
    </w:lvl>
    <w:lvl w:ilvl="5">
      <w:start w:val="1"/>
      <w:numFmt w:val="none"/>
      <w:suff w:val="nothing"/>
      <w:lvlText w:val=""/>
      <w:lvlJc w:val="left"/>
      <w:pPr>
        <w:ind w:left="0" w:hanging="0"/>
      </w:pPr>
    </w:lvl>
    <w:lvl w:ilvl="6">
      <w:start w:val="1"/>
      <w:numFmt w:val="none"/>
      <w:suff w:val="nothing"/>
      <w:lvlText w:val=""/>
      <w:lvlJc w:val="left"/>
      <w:pPr>
        <w:ind w:left="0" w:hanging="0"/>
      </w:pPr>
    </w:lvl>
    <w:lvl w:ilvl="7">
      <w:start w:val="1"/>
      <w:numFmt w:val="none"/>
      <w:suff w:val="nothing"/>
      <w:lvlText w:val=""/>
      <w:lvlJc w:val="left"/>
      <w:pPr>
        <w:ind w:left="0" w:hanging="0"/>
      </w:pPr>
    </w:lvl>
    <w:lvl w:ilvl="8">
      <w:start w:val="1"/>
      <w:numFmt w:val="none"/>
      <w:suff w:val="nothing"/>
      <w:lvlText w:val=""/>
      <w:lvlJc w:val="left"/>
      <w:pPr>
        <w:ind w:left="0" w:hanging="0"/>
      </w:p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w="http://schemas.openxmlformats.org/wordprocessingml/2006/main">
  <w:zoom w:val="bestFit" w:percent="221"/>
  <w:defaultTabStop w:val="708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hyphenationZone w:val="425"/>
  <w:themeFontLang w:val="sk-SK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Cs w:val="22"/>
        <w:lang w:val="sk-SK" w:eastAsia="en-US" w:bidi="ar-SA"/>
      </w:rPr>
    </w:rPrDefault>
    <w:pPrDefault>
      <w:pPr/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rsid w:val="0034205b"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sk-SK" w:eastAsia="en-US" w:bidi="ar-SA"/>
    </w:rPr>
  </w:style>
  <w:style w:type="paragraph" w:styleId="Nadpis1">
    <w:name w:val="Heading 1"/>
    <w:basedOn w:val="Normal"/>
    <w:next w:val="Normal"/>
    <w:link w:val="Nadpis1Char"/>
    <w:uiPriority w:val="9"/>
    <w:qFormat/>
    <w:rsid w:val="00cc0c09"/>
    <w:pPr>
      <w:keepNext w:val="true"/>
      <w:keepLines/>
      <w:spacing w:before="480" w:after="0"/>
      <w:outlineLvl w:val="0"/>
    </w:pPr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al"/>
    <w:next w:val="Normal"/>
    <w:link w:val="Nadpis2Char"/>
    <w:uiPriority w:val="9"/>
    <w:unhideWhenUsed/>
    <w:qFormat/>
    <w:rsid w:val="00567bed"/>
    <w:pPr>
      <w:keepNext w:val="true"/>
      <w:keepLines/>
      <w:spacing w:before="200" w:after="0"/>
      <w:outlineLvl w:val="1"/>
    </w:pPr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lavikaChar" w:customStyle="1">
    <w:name w:val="Hlavička Char"/>
    <w:basedOn w:val="DefaultParagraphFont"/>
    <w:link w:val="Hlavika"/>
    <w:uiPriority w:val="99"/>
    <w:qFormat/>
    <w:rsid w:val="00f0301d"/>
    <w:rPr/>
  </w:style>
  <w:style w:type="character" w:styleId="PtaChar" w:customStyle="1">
    <w:name w:val="Päta Char"/>
    <w:basedOn w:val="DefaultParagraphFont"/>
    <w:link w:val="Pta"/>
    <w:uiPriority w:val="99"/>
    <w:qFormat/>
    <w:rsid w:val="00f0301d"/>
    <w:rPr/>
  </w:style>
  <w:style w:type="character" w:styleId="TextbublinyChar" w:customStyle="1">
    <w:name w:val="Text bubliny Char"/>
    <w:basedOn w:val="DefaultParagraphFont"/>
    <w:link w:val="Textbubliny"/>
    <w:uiPriority w:val="99"/>
    <w:semiHidden/>
    <w:qFormat/>
    <w:rsid w:val="00f0301d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qFormat/>
    <w:rsid w:val="006a748c"/>
    <w:rPr>
      <w:color w:val="808080"/>
    </w:rPr>
  </w:style>
  <w:style w:type="character" w:styleId="Nadpis1Char" w:customStyle="1">
    <w:name w:val="Nadpis 1 Char"/>
    <w:basedOn w:val="DefaultParagraphFont"/>
    <w:link w:val="Nadpis1"/>
    <w:uiPriority w:val="9"/>
    <w:qFormat/>
    <w:rsid w:val="00cc0c09"/>
    <w:rPr>
      <w:rFonts w:ascii="Cambria" w:hAnsi="Cambria" w:eastAsia="" w:cs="" w:asciiTheme="majorHAnsi" w:cstheme="majorBidi" w:eastAsiaTheme="majorEastAsia" w:hAnsiTheme="majorHAnsi"/>
      <w:b/>
      <w:bCs/>
      <w:color w:val="365F91" w:themeColor="accent1" w:themeShade="bf"/>
      <w:sz w:val="28"/>
      <w:szCs w:val="28"/>
    </w:rPr>
  </w:style>
  <w:style w:type="character" w:styleId="ZHornokrajformulraChar" w:customStyle="1">
    <w:name w:val="z-Horný okraj formulára Char"/>
    <w:basedOn w:val="DefaultParagraphFont"/>
    <w:link w:val="z-Hornokrajformulra"/>
    <w:uiPriority w:val="99"/>
    <w:semiHidden/>
    <w:qFormat/>
    <w:rsid w:val="00361862"/>
    <w:rPr>
      <w:rFonts w:ascii="Arial" w:hAnsi="Arial" w:cs="Arial"/>
      <w:vanish/>
      <w:sz w:val="16"/>
      <w:szCs w:val="16"/>
    </w:rPr>
  </w:style>
  <w:style w:type="character" w:styleId="ZSpodnokrajformulraChar" w:customStyle="1">
    <w:name w:val="z-Spodný okraj formulára Char"/>
    <w:basedOn w:val="DefaultParagraphFont"/>
    <w:link w:val="z-Spodnokrajformulra"/>
    <w:uiPriority w:val="99"/>
    <w:semiHidden/>
    <w:qFormat/>
    <w:rsid w:val="00361862"/>
    <w:rPr>
      <w:rFonts w:ascii="Arial" w:hAnsi="Arial" w:cs="Arial"/>
      <w:vanish/>
      <w:sz w:val="16"/>
      <w:szCs w:val="16"/>
    </w:rPr>
  </w:style>
  <w:style w:type="character" w:styleId="Annotationreference">
    <w:name w:val="annotation reference"/>
    <w:basedOn w:val="DefaultParagraphFont"/>
    <w:uiPriority w:val="99"/>
    <w:semiHidden/>
    <w:unhideWhenUsed/>
    <w:qFormat/>
    <w:rsid w:val="00c93dc7"/>
    <w:rPr>
      <w:sz w:val="16"/>
      <w:szCs w:val="16"/>
    </w:rPr>
  </w:style>
  <w:style w:type="character" w:styleId="TextkomentraChar" w:customStyle="1">
    <w:name w:val="Text komentára Char"/>
    <w:basedOn w:val="DefaultParagraphFont"/>
    <w:link w:val="Textkomentra"/>
    <w:uiPriority w:val="99"/>
    <w:semiHidden/>
    <w:qFormat/>
    <w:rsid w:val="00c93dc7"/>
    <w:rPr>
      <w:sz w:val="20"/>
      <w:szCs w:val="20"/>
    </w:rPr>
  </w:style>
  <w:style w:type="character" w:styleId="PredmetkomentraChar" w:customStyle="1">
    <w:name w:val="Predmet komentára Char"/>
    <w:basedOn w:val="TextkomentraChar"/>
    <w:link w:val="Predmetkomentra"/>
    <w:uiPriority w:val="99"/>
    <w:semiHidden/>
    <w:qFormat/>
    <w:rsid w:val="00c93dc7"/>
    <w:rPr>
      <w:b/>
      <w:bCs/>
      <w:sz w:val="20"/>
      <w:szCs w:val="20"/>
    </w:rPr>
  </w:style>
  <w:style w:type="character" w:styleId="CitciaChar" w:customStyle="1">
    <w:name w:val="Citácia Char"/>
    <w:basedOn w:val="DefaultParagraphFont"/>
    <w:link w:val="Citcia"/>
    <w:uiPriority w:val="29"/>
    <w:qFormat/>
    <w:rsid w:val="00567bed"/>
    <w:rPr>
      <w:i/>
      <w:iCs/>
      <w:color w:val="000000" w:themeColor="text1"/>
    </w:rPr>
  </w:style>
  <w:style w:type="character" w:styleId="Nadpis2Char" w:customStyle="1">
    <w:name w:val="Nadpis 2 Char"/>
    <w:basedOn w:val="DefaultParagraphFont"/>
    <w:link w:val="Nadpis2"/>
    <w:uiPriority w:val="9"/>
    <w:qFormat/>
    <w:rsid w:val="00567bed"/>
    <w:rPr>
      <w:rFonts w:ascii="Cambria" w:hAnsi="Cambria" w:eastAsia="" w:cs="" w:asciiTheme="majorHAnsi" w:cstheme="majorBidi" w:eastAsiaTheme="majorEastAsia" w:hAnsiTheme="majorHAnsi"/>
      <w:b/>
      <w:bCs/>
      <w:color w:val="4F81BD" w:themeColor="accent1"/>
      <w:sz w:val="26"/>
      <w:szCs w:val="26"/>
    </w:rPr>
  </w:style>
  <w:style w:type="character" w:styleId="SubtleReference">
    <w:name w:val="Subtle Reference"/>
    <w:basedOn w:val="DefaultParagraphFont"/>
    <w:uiPriority w:val="31"/>
    <w:qFormat/>
    <w:rsid w:val="00b47d63"/>
    <w:rPr>
      <w:smallCaps/>
      <w:color w:val="C0504D" w:themeColor="accent2"/>
      <w:u w:val="single"/>
    </w:rPr>
  </w:style>
  <w:style w:type="paragraph" w:styleId="Nadpis">
    <w:name w:val="Nadpis"/>
    <w:basedOn w:val="Normal"/>
    <w:next w:val="Telotex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elotextu">
    <w:name w:val="Body Text"/>
    <w:basedOn w:val="Normal"/>
    <w:pPr>
      <w:spacing w:lineRule="auto" w:line="276" w:before="0" w:after="140"/>
    </w:pPr>
    <w:rPr/>
  </w:style>
  <w:style w:type="paragraph" w:styleId="Zoznam">
    <w:name w:val="List"/>
    <w:basedOn w:val="Telotextu"/>
    <w:pPr/>
    <w:rPr>
      <w:rFonts w:cs="Arial"/>
    </w:rPr>
  </w:style>
  <w:style w:type="paragraph" w:styleId="Po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Arial"/>
    </w:rPr>
  </w:style>
  <w:style w:type="paragraph" w:styleId="Hlavikaapta">
    <w:name w:val="Hlavička a päta"/>
    <w:basedOn w:val="Normal"/>
    <w:qFormat/>
    <w:pPr/>
    <w:rPr/>
  </w:style>
  <w:style w:type="paragraph" w:styleId="Hlavika">
    <w:name w:val="Header"/>
    <w:basedOn w:val="Normal"/>
    <w:link w:val="HlavikaChar"/>
    <w:uiPriority w:val="99"/>
    <w:unhideWhenUsed/>
    <w:rsid w:val="00f0301d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Pta">
    <w:name w:val="Footer"/>
    <w:basedOn w:val="Normal"/>
    <w:link w:val="PtaChar"/>
    <w:uiPriority w:val="99"/>
    <w:unhideWhenUsed/>
    <w:rsid w:val="00f0301d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/>
  </w:style>
  <w:style w:type="paragraph" w:styleId="BalloonText">
    <w:name w:val="Balloon Text"/>
    <w:basedOn w:val="Normal"/>
    <w:link w:val="TextbublinyChar"/>
    <w:uiPriority w:val="99"/>
    <w:semiHidden/>
    <w:unhideWhenUsed/>
    <w:qFormat/>
    <w:rsid w:val="00f0301d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225300"/>
    <w:pPr>
      <w:spacing w:before="0" w:after="200"/>
      <w:ind w:left="720" w:hanging="0"/>
      <w:contextualSpacing/>
    </w:pPr>
    <w:rPr/>
  </w:style>
  <w:style w:type="paragraph" w:styleId="HTMLTopofForm">
    <w:name w:val="HTML Top of Form"/>
    <w:basedOn w:val="Normal"/>
    <w:next w:val="Normal"/>
    <w:link w:val="z-HornokrajformulraChar"/>
    <w:uiPriority w:val="99"/>
    <w:semiHidden/>
    <w:unhideWhenUsed/>
    <w:qFormat/>
    <w:rsid w:val="00361862"/>
    <w:pPr>
      <w:pBdr>
        <w:bottom w:val="single" w:sz="6" w:space="1" w:color="000000"/>
      </w:pBdr>
      <w:spacing w:before="0" w:after="0"/>
      <w:jc w:val="center"/>
    </w:pPr>
    <w:rPr>
      <w:rFonts w:ascii="Arial" w:hAnsi="Arial" w:cs="Arial"/>
      <w:vanish/>
      <w:sz w:val="16"/>
      <w:szCs w:val="16"/>
    </w:rPr>
  </w:style>
  <w:style w:type="paragraph" w:styleId="HTMLBottomofForm">
    <w:name w:val="HTML Bottom of Form"/>
    <w:basedOn w:val="Normal"/>
    <w:next w:val="Normal"/>
    <w:link w:val="z-SpodnokrajformulraChar"/>
    <w:uiPriority w:val="99"/>
    <w:semiHidden/>
    <w:unhideWhenUsed/>
    <w:qFormat/>
    <w:rsid w:val="00361862"/>
    <w:pPr>
      <w:pBdr>
        <w:top w:val="single" w:sz="6" w:space="1" w:color="000000"/>
      </w:pBdr>
      <w:spacing w:before="0" w:after="0"/>
      <w:jc w:val="center"/>
    </w:pPr>
    <w:rPr>
      <w:rFonts w:ascii="Arial" w:hAnsi="Arial" w:cs="Arial"/>
      <w:vanish/>
      <w:sz w:val="16"/>
      <w:szCs w:val="16"/>
    </w:rPr>
  </w:style>
  <w:style w:type="paragraph" w:styleId="NoSpacing">
    <w:name w:val="No Spacing"/>
    <w:uiPriority w:val="1"/>
    <w:qFormat/>
    <w:rsid w:val="00195675"/>
    <w:pPr>
      <w:widowControl/>
      <w:bidi w:val="0"/>
      <w:spacing w:lineRule="auto" w:line="240" w:before="0" w:after="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sk-SK" w:eastAsia="en-US" w:bidi="ar-SA"/>
    </w:rPr>
  </w:style>
  <w:style w:type="paragraph" w:styleId="Annotationtext">
    <w:name w:val="annotation text"/>
    <w:basedOn w:val="Normal"/>
    <w:link w:val="TextkomentraChar"/>
    <w:uiPriority w:val="99"/>
    <w:semiHidden/>
    <w:unhideWhenUsed/>
    <w:qFormat/>
    <w:rsid w:val="00c93dc7"/>
    <w:pPr>
      <w:spacing w:lineRule="auto" w:line="240"/>
    </w:pPr>
    <w:rPr>
      <w:sz w:val="20"/>
      <w:szCs w:val="20"/>
    </w:rPr>
  </w:style>
  <w:style w:type="paragraph" w:styleId="Annotationsubject">
    <w:name w:val="annotation subject"/>
    <w:basedOn w:val="Annotationtext"/>
    <w:next w:val="Annotationtext"/>
    <w:link w:val="PredmetkomentraChar"/>
    <w:uiPriority w:val="99"/>
    <w:semiHidden/>
    <w:unhideWhenUsed/>
    <w:qFormat/>
    <w:rsid w:val="00c93dc7"/>
    <w:pPr/>
    <w:rPr>
      <w:b/>
      <w:bCs/>
    </w:rPr>
  </w:style>
  <w:style w:type="paragraph" w:styleId="Quote">
    <w:name w:val="Quote"/>
    <w:basedOn w:val="Normal"/>
    <w:next w:val="Normal"/>
    <w:link w:val="CitciaChar"/>
    <w:uiPriority w:val="29"/>
    <w:qFormat/>
    <w:rsid w:val="00567bed"/>
    <w:pPr/>
    <w:rPr>
      <w:i/>
      <w:iCs/>
      <w:color w:val="000000" w:themeColor="text1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Mriekatabuky">
    <w:name w:val="Table Grid"/>
    <w:basedOn w:val="Normlnatabuka"/>
    <w:uiPriority w:val="39"/>
    <w:rsid w:val="00c7517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footer" Target="footer1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<Relationship Id="rId8" Type="http://schemas.openxmlformats.org/officeDocument/2006/relationships/glossaryDocument" Target="glossary/document.xml"/><Relationship Id="rId9" Type="http://schemas.openxmlformats.org/officeDocument/2006/relationships/customXml" Target="../customXml/item1.xml"/>
</Relationships>
</file>

<file path=word/glossary/_rels/document.xml.rels><?xml version="1.0" encoding="UTF-8"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
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198FBDE9E43141EE9139A7617DB053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E7EF5F-CF6A-4E06-A190-47DBBF3F7BC3}"/>
      </w:docPartPr>
      <w:docPartBody>
        <w:p w:rsidR="004D37E1" w:rsidRDefault="00734361" w:rsidP="00734361">
          <w:pPr>
            <w:pStyle w:val="198FBDE9E43141EE9139A7617DB0534D"/>
          </w:pPr>
          <w:r w:rsidRPr="00382CB3">
            <w:rPr>
              <w:rStyle w:val="Zstupntext"/>
            </w:rPr>
            <w:t>Choose an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altName w:val="Tahoma"/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5710"/>
    <w:rsid w:val="000A651B"/>
    <w:rsid w:val="001A511B"/>
    <w:rsid w:val="002876CA"/>
    <w:rsid w:val="002D5101"/>
    <w:rsid w:val="004D37E1"/>
    <w:rsid w:val="00500764"/>
    <w:rsid w:val="00505AE4"/>
    <w:rsid w:val="005D39AB"/>
    <w:rsid w:val="005F76D2"/>
    <w:rsid w:val="006D2E07"/>
    <w:rsid w:val="00734361"/>
    <w:rsid w:val="00765710"/>
    <w:rsid w:val="008560A4"/>
    <w:rsid w:val="00862F0B"/>
    <w:rsid w:val="008B615A"/>
    <w:rsid w:val="00A108B6"/>
    <w:rsid w:val="00A91E2B"/>
    <w:rsid w:val="00A93C04"/>
    <w:rsid w:val="00C731F6"/>
    <w:rsid w:val="00C80211"/>
    <w:rsid w:val="00CE0B5C"/>
    <w:rsid w:val="00CF451A"/>
    <w:rsid w:val="00DA5BD5"/>
    <w:rsid w:val="00E06618"/>
    <w:rsid w:val="00F03541"/>
    <w:rsid w:val="00F053C3"/>
    <w:rsid w:val="00F11D6C"/>
    <w:rsid w:val="00F677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Zstupntext">
    <w:name w:val="Placeholder Text"/>
    <w:basedOn w:val="Predvolenpsmoodseku"/>
    <w:uiPriority w:val="99"/>
    <w:semiHidden/>
    <w:rsid w:val="00734361"/>
    <w:rPr>
      <w:color w:val="808080"/>
    </w:rPr>
  </w:style>
  <w:style w:type="paragraph" w:customStyle="1" w:styleId="198FBDE9E43141EE9139A7617DB0534D">
    <w:name w:val="198FBDE9E43141EE9139A7617DB0534D"/>
    <w:rsid w:val="00734361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01DBDA-778B-4209-A2F3-A5BB0ACFD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Application>LibreOffice/6.3.6.2$Windows_X86_64 LibreOffice_project/2196df99b074d8a661f4036fca8fa0cbfa33a497</Application>
  <Pages>5</Pages>
  <Words>985</Words>
  <Characters>6066</Characters>
  <CharactersWithSpaces>7299</CharactersWithSpaces>
  <Paragraphs>191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2023-01-16T09:07:00Z</dcterms:created>
  <dc:creator>R</dc:creator>
  <dc:description/>
  <dc:language>sk-SK</dc:language>
  <cp:lastModifiedBy/>
  <cp:lastPrinted>2018-01-31T17:17:00Z</cp:lastPrinted>
  <dcterms:modified xsi:type="dcterms:W3CDTF">2023-06-19T08:58:36Z</dcterms:modified>
  <cp:revision>12</cp:revision>
  <dc:subject/>
  <dc:title>Poznámky Úč MÚJ 3 - 01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4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