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konsolidovanej účtovnej závierky obce Marhaň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zostavenej k 31. decembru </w:t>
      </w:r>
      <w:r>
        <w:rPr>
          <w:b/>
          <w:iCs/>
          <w:sz w:val="24"/>
          <w:szCs w:val="24"/>
        </w:rPr>
        <w:t>2022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spacing w:before="120" w:after="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Identifikačné údaje o konsolidujúcej účtovnej jednotke</w:t>
      </w:r>
    </w:p>
    <w:p>
      <w:pPr>
        <w:pStyle w:val="Normal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tbl>
      <w:tblPr>
        <w:tblW w:w="100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520"/>
        <w:gridCol w:w="3559"/>
      </w:tblGrid>
      <w:tr>
        <w:trPr/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 </w:t>
            </w:r>
            <w:r>
              <w:rPr>
                <w:b/>
                <w:i/>
                <w:sz w:val="24"/>
                <w:szCs w:val="24"/>
              </w:rPr>
              <w:t>Marhaň</w:t>
            </w:r>
          </w:p>
        </w:tc>
      </w:tr>
      <w:tr>
        <w:trPr/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00322377</w:t>
            </w:r>
          </w:p>
        </w:tc>
      </w:tr>
      <w:tr>
        <w:trPr/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Marhaň 232</w:t>
            </w:r>
          </w:p>
        </w:tc>
      </w:tr>
      <w:tr>
        <w:trPr/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01.12.1990</w:t>
            </w:r>
          </w:p>
        </w:tc>
      </w:tr>
    </w:tbl>
    <w:p>
      <w:pPr>
        <w:pStyle w:val="Normal"/>
        <w:spacing w:before="120"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Konsolidovaná účtovná závierka konsolidovaného celku obce Marhaň  bola zostavená v súlade so zákonom </w:t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>
      <w:pPr>
        <w:pStyle w:val="Normal"/>
        <w:spacing w:before="120"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numPr>
          <w:ilvl w:val="0"/>
          <w:numId w:val="4"/>
        </w:numPr>
        <w:spacing w:before="120" w:after="120"/>
        <w:jc w:val="both"/>
        <w:rPr>
          <w:b/>
          <w:b/>
          <w:i/>
          <w:i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0"/>
        <w:gridCol w:w="5284"/>
      </w:tblGrid>
      <w:tr>
        <w:trPr>
          <w:trHeight w:val="287" w:hRule="atLeast"/>
        </w:trPr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60" w:after="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60" w:after="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r>
              <w:rPr>
                <w:b/>
                <w:sz w:val="24"/>
                <w:szCs w:val="24"/>
              </w:rPr>
              <w:t>Kuziak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60" w:after="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60" w:after="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Waksmanská</w:t>
            </w:r>
          </w:p>
        </w:tc>
      </w:tr>
    </w:tbl>
    <w:p>
      <w:pPr>
        <w:pStyle w:val="Normal"/>
        <w:numPr>
          <w:ilvl w:val="0"/>
          <w:numId w:val="4"/>
        </w:numPr>
        <w:spacing w:lineRule="auto" w:line="360" w:before="12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konsolidovanom celku</w:t>
      </w:r>
    </w:p>
    <w:p>
      <w:pPr>
        <w:pStyle w:val="Normal"/>
        <w:spacing w:before="120" w:after="120"/>
        <w:rPr>
          <w:sz w:val="24"/>
          <w:szCs w:val="24"/>
        </w:rPr>
      </w:pPr>
      <w:r>
        <w:rPr>
          <w:sz w:val="24"/>
          <w:szCs w:val="24"/>
        </w:rPr>
        <w:t>Identifikačné údaje všetkých účtovných jednotiek konsolidovaného celku obce Marhaň sú uvedené v tabuľkovej časti (tabuľka  č. 1) poznámok konsolidovanej účtovnej závierky.</w:t>
      </w:r>
    </w:p>
    <w:p>
      <w:pPr>
        <w:pStyle w:val="Normal"/>
        <w:spacing w:before="120" w:after="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3. 1. Identifikačné údaje o konsolidovaných účtovných jednotkách – rozpočtových organizáciách </w:t>
      </w:r>
    </w:p>
    <w:p>
      <w:pPr>
        <w:pStyle w:val="Normal"/>
        <w:spacing w:before="0" w:after="12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</w:t>
      </w:r>
      <w:r>
        <w:rPr>
          <w:b/>
          <w:i/>
          <w:sz w:val="24"/>
          <w:szCs w:val="24"/>
        </w:rPr>
        <w:t>v zriaďovateľskej pôsobnosti konsolidujúcej účtovnej jednotky</w:t>
      </w:r>
    </w:p>
    <w:tbl>
      <w:tblPr>
        <w:tblW w:w="10095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76"/>
        <w:gridCol w:w="2472"/>
        <w:gridCol w:w="1170"/>
        <w:gridCol w:w="1476"/>
      </w:tblGrid>
      <w:tr>
        <w:trPr>
          <w:trHeight w:val="510" w:hRule="atLeast"/>
        </w:trPr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Názov konsolidovanej účtovnej jednotky</w:t>
            </w:r>
          </w:p>
        </w:tc>
        <w:tc>
          <w:tcPr>
            <w:tcW w:w="247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Sídlo</w:t>
            </w: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IČO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bCs/>
                <w:sz w:val="24"/>
                <w:szCs w:val="24"/>
                <w:lang w:eastAsia="cs-CZ"/>
              </w:rPr>
              <w:t>Dátum založenie</w:t>
            </w:r>
          </w:p>
        </w:tc>
      </w:tr>
      <w:tr>
        <w:trPr>
          <w:trHeight w:val="300" w:hRule="atLeast"/>
        </w:trPr>
        <w:tc>
          <w:tcPr>
            <w:tcW w:w="4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Základná škola v Marhani</w:t>
            </w:r>
          </w:p>
        </w:tc>
        <w:tc>
          <w:tcPr>
            <w:tcW w:w="247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Marhaň 115</w:t>
            </w: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37873750</w:t>
            </w:r>
          </w:p>
        </w:tc>
        <w:tc>
          <w:tcPr>
            <w:tcW w:w="14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01.04.2002</w:t>
            </w:r>
          </w:p>
        </w:tc>
      </w:tr>
    </w:tbl>
    <w:p>
      <w:pPr>
        <w:pStyle w:val="Normal"/>
        <w:spacing w:before="120" w:after="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ormal"/>
        <w:spacing w:before="120" w:after="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3. 2. Identifikačné údaje o konsolidovaných  účtovných jednotkách – príspevkových organizáciách</w:t>
      </w:r>
    </w:p>
    <w:p>
      <w:pPr>
        <w:pStyle w:val="Normal"/>
        <w:spacing w:before="0" w:after="120"/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</w:t>
      </w:r>
      <w:r>
        <w:rPr>
          <w:b/>
          <w:i/>
          <w:sz w:val="24"/>
          <w:szCs w:val="24"/>
        </w:rPr>
        <w:t>v zriaďovateľskej pôsobnosti konsolidujúcej účtovnej jednotky</w:t>
      </w:r>
    </w:p>
    <w:p>
      <w:pPr>
        <w:pStyle w:val="Normal"/>
        <w:numPr>
          <w:ilvl w:val="0"/>
          <w:numId w:val="4"/>
        </w:numPr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zamestnancoch konsolidovaného celku </w:t>
      </w:r>
    </w:p>
    <w:p>
      <w:pPr>
        <w:pStyle w:val="Normal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tbl>
      <w:tblPr>
        <w:tblW w:w="4950" w:type="pct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083"/>
        <w:gridCol w:w="1140"/>
        <w:gridCol w:w="1138"/>
      </w:tblGrid>
      <w:tr>
        <w:trPr>
          <w:trHeight w:val="270" w:hRule="atLeast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Odstavec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Názov položky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2021</w:t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2022</w:t>
            </w:r>
          </w:p>
        </w:tc>
      </w:tr>
      <w:tr>
        <w:trPr>
          <w:trHeight w:val="270" w:hRule="atLeast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Odstavec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59,50</w:t>
            </w:r>
          </w:p>
        </w:tc>
      </w:tr>
      <w:tr>
        <w:trPr>
          <w:trHeight w:val="270" w:hRule="atLeast"/>
        </w:trPr>
        <w:tc>
          <w:tcPr>
            <w:tcW w:w="80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Odstavec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toho počet vedúcich zamestnancov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tavec"/>
              <w:widowControl w:val="false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</w:tbl>
    <w:p>
      <w:pPr>
        <w:pStyle w:val="Normal"/>
        <w:spacing w:before="120" w:after="12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</w:r>
    </w:p>
    <w:p>
      <w:pPr>
        <w:pStyle w:val="Nadpis2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Informácie o výsledku hospodárenia z dôvodu predaja majetku medzi účtovnými   jednotkami konsolidovaného celku </w:t>
      </w:r>
    </w:p>
    <w:p>
      <w:pPr>
        <w:pStyle w:val="Normal"/>
        <w:spacing w:before="120" w:after="0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  <w:t>V priebehu účtovného obdobia roku 2022 sa medzi účtovnými jednotkami konsolidovaného celku obce Marhaň neuskutočnil nákup resp. predaj majetku.</w:t>
      </w:r>
    </w:p>
    <w:p>
      <w:pPr>
        <w:pStyle w:val="Nadpis2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Informácie o účtovných zásadách a účtovných metódach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Dlhodobý nehmotný a dlhodobý hmotný majetok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>
      <w:pPr>
        <w:pStyle w:val="Normal"/>
        <w:tabs>
          <w:tab w:val="clear" w:pos="708"/>
          <w:tab w:val="left" w:pos="540" w:leader="none"/>
        </w:tabs>
        <w:ind w:left="540" w:hanging="54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Dlhodobý finančný majetok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Finančné investície, cenné papiere a majetkové účasti sa oceňujú obstarávacou cenou, vrátane nákladov súvisiacich s obstaraním (provízie maklérom, poplatky burze).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Zásoby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Zásoby vytvorené vlastnou činnosťou sa oceňujú vlastnými nákladmi. 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Toto ocenenie sa upravuje o zníženie hodnoty zásob.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Pohľadávky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color w:val="00B050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Opravná položka sa vytvára napr. k pohľadávkam po splatnosti a nedobytným pohľadávkam, kde existuje riziko nevymožiteľnosti pohľadávok.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Finančné účty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Peňažné prostriedky a ceniny sa oceňujú menovitou hodnotou.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Náklady budúcich období a príjmy budúcich období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Rezervy</w:t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Záväzky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Záväzky sa pri ich vzniku oceňujú menovitou hodnotou a pri ich prevzatí sa oceňujú obstarávacou cenou.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Ak sa pri inventarizácii zistí, že suma záväzkov je iná ako ich výška v účtovníctve, uvedú sa záväzky v účtovníctve a v účtovnej závierke v tomto zistenom ocenení.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Výdavky budúcich období a výnosy budúcich období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Cudzia mena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Telotext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Zásady pre vykazovanie transferov.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Abc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Výnosy 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 výnosoch z  poplatkov sa účtuje v časovej a vecnej súvislosti s vyrubením poplatkov (ak je účtovná jednotka výbercom poplatkov).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jc w:val="both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Informácie o použitých metódach konsolidácie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Účtovné jednotky konsolidovaného celku obce Marhaň boli zahrnuté do konsolidovanej účtovnej závierky metódou konsolidácie uvedenou v nasledujúcom prehľade:</w:t>
      </w:r>
    </w:p>
    <w:p>
      <w:pPr>
        <w:pStyle w:val="Normal"/>
        <w:rPr>
          <w:color w:val="C00000"/>
          <w:sz w:val="24"/>
          <w:szCs w:val="24"/>
        </w:rPr>
      </w:pPr>
      <w:r>
        <w:rPr>
          <w:color w:val="C00000"/>
          <w:sz w:val="24"/>
          <w:szCs w:val="24"/>
        </w:rPr>
      </w:r>
    </w:p>
    <w:tbl>
      <w:tblPr>
        <w:tblW w:w="9926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438"/>
        <w:gridCol w:w="1300"/>
        <w:gridCol w:w="1562"/>
        <w:gridCol w:w="1625"/>
      </w:tblGrid>
      <w:tr>
        <w:trPr/>
        <w:tc>
          <w:tcPr>
            <w:tcW w:w="5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Názov resp. obchodné meno</w:t>
            </w:r>
          </w:p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>
            <w:pPr>
              <w:pStyle w:val="Normal"/>
              <w:widowControl w:val="false"/>
              <w:jc w:val="center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>
        <w:trPr/>
        <w:tc>
          <w:tcPr>
            <w:tcW w:w="5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Základná škola v Marhani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/>
              <w:rPr>
                <w:color w:val="C00000"/>
                <w:sz w:val="24"/>
                <w:szCs w:val="24"/>
              </w:rPr>
            </w:pPr>
            <w:r>
              <w:rPr>
                <w:color w:val="C00000"/>
                <w:sz w:val="24"/>
                <w:szCs w:val="24"/>
              </w:rPr>
            </w:r>
          </w:p>
        </w:tc>
      </w:tr>
    </w:tbl>
    <w:p>
      <w:pPr>
        <w:pStyle w:val="Normal"/>
        <w:spacing w:before="120" w:after="6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 xml:space="preserve">Metóda úplnej konsolidácie bola použitá pri dcérskych účtovných jednotkách, metóda vlastného imania bola použitá pri pridružených účtovných jednotkách. </w:t>
      </w:r>
    </w:p>
    <w:p>
      <w:pPr>
        <w:pStyle w:val="Normal"/>
        <w:spacing w:before="0" w:after="60"/>
        <w:rPr>
          <w:b/>
          <w:b/>
          <w:i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567" w:leader="none"/>
        </w:tabs>
        <w:ind w:left="1441" w:hanging="1157"/>
        <w:rPr>
          <w:sz w:val="24"/>
          <w:szCs w:val="24"/>
        </w:rPr>
      </w:pPr>
      <w:r>
        <w:rPr>
          <w:sz w:val="24"/>
          <w:szCs w:val="24"/>
        </w:rPr>
        <w:t xml:space="preserve">Pri rozpočtových organizáciách je to deň ich zriadenia.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567" w:leader="none"/>
        </w:tabs>
        <w:ind w:left="1441" w:hanging="1157"/>
        <w:rPr>
          <w:sz w:val="24"/>
          <w:szCs w:val="24"/>
        </w:rPr>
      </w:pPr>
      <w:r>
        <w:rPr>
          <w:sz w:val="24"/>
          <w:szCs w:val="24"/>
        </w:rPr>
        <w:t xml:space="preserve">Pri príspevkových  organizáciách je to deň ich zriadenia.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567" w:leader="none"/>
        </w:tabs>
        <w:ind w:left="1441" w:hanging="1157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color w:val="C00000"/>
          <w:sz w:val="24"/>
          <w:szCs w:val="24"/>
        </w:rPr>
      </w:pPr>
      <w:r>
        <w:rPr>
          <w:color w:val="C00000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spacing w:lineRule="auto" w:line="3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>
      <w:pPr>
        <w:pStyle w:val="Normal"/>
        <w:numPr>
          <w:ilvl w:val="0"/>
          <w:numId w:val="5"/>
        </w:numPr>
        <w:spacing w:before="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Údaje po konsolidovanom celku </w:t>
      </w:r>
    </w:p>
    <w:p>
      <w:pPr>
        <w:pStyle w:val="Normal"/>
        <w:spacing w:before="120" w:after="12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Konsolidovaný celok obce Marhaň zahŕňa 1 rozpočtovú organizáciu. Identifikačné údaje o účtovných jednotkách konsolidovaného celku sú uvedené v tabuľkovej časti (tabuľka č. 1).</w:t>
      </w:r>
    </w:p>
    <w:p>
      <w:pPr>
        <w:pStyle w:val="Normal"/>
        <w:numPr>
          <w:ilvl w:val="0"/>
          <w:numId w:val="5"/>
        </w:numPr>
        <w:spacing w:before="120" w:after="1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Prehľad o pohybe dlhodobého majetku</w:t>
      </w:r>
    </w:p>
    <w:p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a) Prehľad o pohybe dlhodobého nehmotného a dlhodobého hmotného majetku</w:t>
      </w:r>
      <w:r>
        <w:rPr>
          <w:rFonts w:cs="Times New Roman" w:ascii="Times New Roman" w:hAnsi="Times New Roman"/>
          <w:sz w:val="24"/>
          <w:szCs w:val="24"/>
        </w:rPr>
        <w:t xml:space="preserve"> od 1. januára 2022 do 31. decembra 2022 je uvedený  v tabuľkovej časti  konsolidovaných poznámok (tabuľka č. 2). </w:t>
      </w:r>
    </w:p>
    <w:p>
      <w:pPr>
        <w:pStyle w:val="Normal"/>
        <w:spacing w:before="6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z w:val="24"/>
          <w:szCs w:val="24"/>
          <w:u w:val="single"/>
        </w:rPr>
        <w:t>)</w:t>
      </w:r>
      <w:r>
        <w:rPr>
          <w:b/>
          <w:sz w:val="24"/>
          <w:szCs w:val="24"/>
        </w:rPr>
        <w:t xml:space="preserve"> Spôsob a výška poistenia dlhodobého nehmotného a hmotného majetku</w:t>
      </w:r>
    </w:p>
    <w:p>
      <w:pPr>
        <w:pStyle w:val="Normal"/>
        <w:rPr>
          <w:b/>
          <w:b/>
          <w:sz w:val="24"/>
          <w:szCs w:val="24"/>
        </w:rPr>
      </w:pPr>
      <w:bookmarkStart w:id="0" w:name="OLE_LINK1"/>
      <w:r>
        <w:rPr>
          <w:sz w:val="24"/>
          <w:szCs w:val="24"/>
        </w:rPr>
        <w:t xml:space="preserve">Majetok je poistený pre prípad poškodenia, alebo zničenia veci živelnou udalosťou do výšky 10 000 000,00 € , výška poistenia  </w:t>
      </w:r>
      <w:bookmarkEnd w:id="0"/>
      <w:r>
        <w:rPr>
          <w:sz w:val="24"/>
          <w:szCs w:val="24"/>
        </w:rPr>
        <w:t>3 365 617,00 € a poistenie pre prípad odcudzenia  do výšky 3 000 000,00 € - výška poistenia 30 800,00 €.</w:t>
      </w:r>
    </w:p>
    <w:p>
      <w:pPr>
        <w:pStyle w:val="Normal"/>
        <w:numPr>
          <w:ilvl w:val="0"/>
          <w:numId w:val="6"/>
        </w:numPr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</w:t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Detailnejšie informácie o dlhodobom finančnom majetku  k 31. decembru 2022 sú uvedené v tabuľkovej časti </w:t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(tabuľka č. 2 )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bCs/>
          <w:sz w:val="24"/>
          <w:szCs w:val="24"/>
        </w:rPr>
        <w:t>Majetkové podiely v iných spoločnostiach (podielové cenné papiere a podiely v dcérskych spoločnostiach a   spoločnostiach s podstatným vplyvom) v € - tabuľka č. 3 žiadne</w:t>
      </w:r>
    </w:p>
    <w:p>
      <w:pPr>
        <w:pStyle w:val="Normal"/>
        <w:spacing w:before="120"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Realizovateľné cenné papiere v € - tabuľka č. 4 žiadne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bCs/>
          <w:sz w:val="24"/>
          <w:szCs w:val="24"/>
        </w:rPr>
        <w:t>Dlhové cenné papiere – tabuľka č. 5 žiadne</w:t>
      </w:r>
    </w:p>
    <w:p>
      <w:pPr>
        <w:pStyle w:val="Normal"/>
        <w:spacing w:before="120" w:after="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Dlhodobé pôžičky (pôžičky účtovnej jednotke v konsolidovanom celku, ostatné pôžičky)</w:t>
      </w:r>
      <w:r>
        <w:rPr>
          <w:b/>
          <w:bCs/>
          <w:sz w:val="24"/>
          <w:szCs w:val="24"/>
        </w:rPr>
        <w:t xml:space="preserve"> – </w:t>
      </w:r>
      <w:r>
        <w:rPr>
          <w:bCs/>
          <w:sz w:val="24"/>
          <w:szCs w:val="24"/>
        </w:rPr>
        <w:t>tabuľka č. 6</w:t>
      </w:r>
    </w:p>
    <w:p>
      <w:pPr>
        <w:pStyle w:val="Normal"/>
        <w:numPr>
          <w:ilvl w:val="0"/>
          <w:numId w:val="6"/>
        </w:numPr>
        <w:spacing w:before="12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Vývoj opravnej položky k zásobám</w:t>
      </w:r>
    </w:p>
    <w:p>
      <w:pPr>
        <w:pStyle w:val="Normal"/>
        <w:spacing w:before="120" w:after="120"/>
        <w:ind w:left="3" w:hanging="0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Konsolidovaný celok v roku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netvoril opravné položky, nebol dôvod.</w:t>
      </w:r>
    </w:p>
    <w:p>
      <w:pPr>
        <w:pStyle w:val="Normal"/>
        <w:numPr>
          <w:ilvl w:val="0"/>
          <w:numId w:val="6"/>
        </w:numPr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Transfery</w:t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V rámci zúčtovacích vzťahov medzi subjektmi verejnej správy konsolidovaný celok nevykazuje v aktívach na účte 357 – ostatné zúčtovanie rozpočtu obce a VÚC žiadnu hodnotu.</w:t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 konsolidovaného celku v €</w:t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a) významné pohľadávky podľa jednotlivých položiek súvahy v €:</w:t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10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97"/>
        <w:gridCol w:w="1021"/>
        <w:gridCol w:w="1621"/>
        <w:gridCol w:w="3960"/>
      </w:tblGrid>
      <w:tr>
        <w:trPr>
          <w:trHeight w:val="495" w:hRule="atLeast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Pohľadávka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Riadok súvahy</w:t>
            </w: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Hodnota pohľadávok 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 xml:space="preserve">Opis </w:t>
            </w:r>
          </w:p>
        </w:tc>
      </w:tr>
      <w:tr>
        <w:trPr>
          <w:trHeight w:val="315" w:hRule="atLeast"/>
        </w:trPr>
        <w:tc>
          <w:tcPr>
            <w:tcW w:w="2497" w:type="dxa"/>
            <w:tcBorders>
              <w:lef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nedaňové príjmy</w:t>
            </w:r>
          </w:p>
        </w:tc>
        <w:tc>
          <w:tcPr>
            <w:tcW w:w="1021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8916</w:t>
            </w:r>
          </w:p>
        </w:tc>
        <w:tc>
          <w:tcPr>
            <w:tcW w:w="3960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komunálny odpad</w:t>
            </w:r>
          </w:p>
        </w:tc>
      </w:tr>
      <w:tr>
        <w:trPr>
          <w:trHeight w:val="315" w:hRule="atLeast"/>
        </w:trPr>
        <w:tc>
          <w:tcPr>
            <w:tcW w:w="2497" w:type="dxa"/>
            <w:tcBorders>
              <w:lef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daňové príjmy</w:t>
            </w:r>
          </w:p>
        </w:tc>
        <w:tc>
          <w:tcPr>
            <w:tcW w:w="1021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728,29</w:t>
            </w:r>
          </w:p>
        </w:tc>
        <w:tc>
          <w:tcPr>
            <w:tcW w:w="3960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pozemky, stavby, byty</w:t>
            </w:r>
          </w:p>
        </w:tc>
      </w:tr>
      <w:tr>
        <w:trPr>
          <w:trHeight w:val="315" w:hRule="atLeast"/>
        </w:trPr>
        <w:tc>
          <w:tcPr>
            <w:tcW w:w="2497" w:type="dxa"/>
            <w:tcBorders>
              <w:lef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Ostatné zúčtovania</w:t>
            </w:r>
          </w:p>
        </w:tc>
        <w:tc>
          <w:tcPr>
            <w:tcW w:w="1021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1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960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naviac zúčtovaná dotácia DPO</w:t>
            </w:r>
          </w:p>
        </w:tc>
      </w:tr>
      <w:tr>
        <w:trPr>
          <w:trHeight w:val="315" w:hRule="atLeast"/>
        </w:trPr>
        <w:tc>
          <w:tcPr>
            <w:tcW w:w="2497" w:type="dxa"/>
            <w:tcBorders>
              <w:lef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021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1221,94</w:t>
            </w:r>
          </w:p>
        </w:tc>
        <w:tc>
          <w:tcPr>
            <w:tcW w:w="3960" w:type="dxa"/>
            <w:tcBorders>
              <w:left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dobropisy - energie</w:t>
            </w:r>
          </w:p>
        </w:tc>
      </w:tr>
      <w:tr>
        <w:trPr>
          <w:trHeight w:val="315" w:hRule="atLeast"/>
        </w:trPr>
        <w:tc>
          <w:tcPr>
            <w:tcW w:w="24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8"/>
                <w:szCs w:val="18"/>
              </w:rPr>
              <w:t xml:space="preserve">Spolu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63 </w:t>
            </w:r>
          </w:p>
        </w:tc>
        <w:tc>
          <w:tcPr>
            <w:tcW w:w="1621" w:type="dxa"/>
            <w:tcBorders>
              <w:top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10866,23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cs="Arial" w:ascii="Arial" w:hAnsi="Arial"/>
                <w:color w:val="000000"/>
                <w:sz w:val="18"/>
                <w:szCs w:val="18"/>
              </w:rPr>
              <w:t> </w:t>
            </w:r>
          </w:p>
        </w:tc>
      </w:tr>
    </w:tbl>
    <w:p>
      <w:pPr>
        <w:pStyle w:val="Normal"/>
        <w:spacing w:before="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pohľadávky vo výške 10 866,23 €. </w:t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Najväčší podiel na vykázaných krátkodobých pohľadávkach má materská účtovná jednotka – obec Marhaň a to hlavne: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- pohľadávky z nedaňových príjmov obcí 8 916 €  to je za vývoz komunálneho odpadu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- pohľadávky z daňových príjmov obcí 728, 29 € z toho: podiel na daňových pohľadávkach: daň z pozemkov 222,45 €, daň zo stavieb 500,74 €,daň z bytov 5,10 €, daň za psa 20,00 €.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- ostatné pohľadávky  predstavujú preplatky na energii – zemný plyn, koncoročné vyúčtovanie.</w:t>
      </w:r>
    </w:p>
    <w:p>
      <w:pPr>
        <w:pStyle w:val="Normal"/>
        <w:spacing w:before="120" w:after="1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b) pohľadávky podľa doby splatnosti a podľa zostatkovej doby splatnosti</w:t>
      </w:r>
      <w:r>
        <w:rPr>
          <w:color w:val="000000"/>
          <w:sz w:val="24"/>
          <w:szCs w:val="24"/>
        </w:rPr>
        <w:t xml:space="preserve"> </w:t>
      </w:r>
    </w:p>
    <w:p>
      <w:pPr>
        <w:pStyle w:val="Normal"/>
        <w:spacing w:before="120" w:after="12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Prehľad pohľadávok z hľadiska ich vekovej štruktúry a z hľadiska splatnosti je uvedený v tabuľkovej prílohe  konsolidovaných poznámok (tabuľka č. 9)</w:t>
      </w:r>
    </w:p>
    <w:tbl>
      <w:tblPr>
        <w:tblW w:w="818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58"/>
        <w:gridCol w:w="1662"/>
        <w:gridCol w:w="1660"/>
      </w:tblGrid>
      <w:tr>
        <w:trPr>
          <w:trHeight w:val="300" w:hRule="atLeast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Pohľadávky podľa doby splatnosti</w:t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Zostatok 2021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Zostatok 2022</w:t>
            </w:r>
          </w:p>
        </w:tc>
      </w:tr>
      <w:tr>
        <w:trPr>
          <w:trHeight w:val="30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Pohľadávky v lehote splatnosti v tom: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146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11 326,23</w:t>
            </w:r>
          </w:p>
        </w:tc>
      </w:tr>
      <w:tr>
        <w:trPr>
          <w:trHeight w:val="51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Pohľadávky so zostatkovou dobou splatnosti do jedného roka vrátane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146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11 326,23</w:t>
            </w:r>
          </w:p>
        </w:tc>
      </w:tr>
      <w:tr>
        <w:trPr>
          <w:trHeight w:val="51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Pohľadávky so zostatkovou dobou splatnosti od jedného do piatich rokov vrátane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 </w:t>
            </w:r>
          </w:p>
        </w:tc>
      </w:tr>
      <w:tr>
        <w:trPr>
          <w:trHeight w:val="51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Pohľadávky so zostatkovou dobou splatnosti dlhšou ako päť rokov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Pohľadávky po lehote splatnosti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8729,02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8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Spolu (r. 01 + r. 05)</w:t>
            </w:r>
          </w:p>
        </w:tc>
        <w:tc>
          <w:tcPr>
            <w:tcW w:w="1662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8 875,02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11 326,23</w:t>
            </w:r>
          </w:p>
        </w:tc>
      </w:tr>
    </w:tbl>
    <w:p>
      <w:pPr>
        <w:pStyle w:val="Normal"/>
        <w:spacing w:before="120" w:after="120"/>
        <w:ind w:left="363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6"/>
        </w:numPr>
        <w:spacing w:before="12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aktív </w:t>
      </w:r>
    </w:p>
    <w:p>
      <w:pPr>
        <w:pStyle w:val="Normal"/>
        <w:spacing w:before="120" w:after="120"/>
        <w:ind w:left="363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120" w:after="120"/>
        <w:ind w:left="3" w:hanging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a) Náklady budúcich období </w:t>
      </w:r>
      <w:r>
        <w:rPr>
          <w:sz w:val="24"/>
          <w:szCs w:val="24"/>
        </w:rPr>
        <w:t>(tabuľka č. 10)</w:t>
      </w:r>
    </w:p>
    <w:tbl>
      <w:tblPr>
        <w:tblW w:w="906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5740"/>
        <w:gridCol w:w="1660"/>
        <w:gridCol w:w="1660"/>
      </w:tblGrid>
      <w:tr>
        <w:trPr>
          <w:trHeight w:val="300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Náklady budúcich období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Zostatok 2022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Zostatok 2021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Náklady z budúceho odvodu príjmov RO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Nájomné reklamných plôch, vysielacieho času, inzertného priestoru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Predplatné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738,14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724,85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Predplatné poistné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791,41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643,01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66,70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1529,55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1434,56</w:t>
            </w:r>
          </w:p>
        </w:tc>
      </w:tr>
    </w:tbl>
    <w:p>
      <w:pPr>
        <w:pStyle w:val="Normal"/>
        <w:jc w:val="both"/>
        <w:rPr>
          <w:color w:val="0000CC"/>
          <w:sz w:val="24"/>
          <w:szCs w:val="24"/>
        </w:rPr>
      </w:pPr>
      <w:r>
        <w:rPr>
          <w:sz w:val="24"/>
          <w:szCs w:val="24"/>
        </w:rPr>
        <w:t>V ostatnom je predplatné webových stránok</w:t>
      </w:r>
    </w:p>
    <w:p>
      <w:pPr>
        <w:pStyle w:val="Normal"/>
        <w:ind w:left="3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0"/>
        </w:numPr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i/>
          <w:i/>
          <w:color w:val="C00000"/>
          <w:sz w:val="24"/>
          <w:szCs w:val="24"/>
        </w:rPr>
      </w:pPr>
      <w:r>
        <w:rPr>
          <w:sz w:val="24"/>
          <w:szCs w:val="24"/>
        </w:rPr>
        <w:t xml:space="preserve">Prehľad o pohybe vlastného imania konsolidovaného celku </w:t>
      </w:r>
      <w:r>
        <w:rPr>
          <w:i/>
          <w:sz w:val="24"/>
          <w:szCs w:val="24"/>
        </w:rPr>
        <w:t>obce Marhaň</w:t>
      </w:r>
      <w:r>
        <w:rPr>
          <w:sz w:val="24"/>
          <w:szCs w:val="24"/>
        </w:rPr>
        <w:t xml:space="preserve"> od 1. januára 2022 do 31. decembra 2022 je uvedený v tabuľkovej prílohe konsolidovaných poznámok – tabuľka č. 12.</w:t>
      </w:r>
    </w:p>
    <w:tbl>
      <w:tblPr>
        <w:tblW w:w="1024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39"/>
        <w:gridCol w:w="1123"/>
        <w:gridCol w:w="1118"/>
        <w:gridCol w:w="1120"/>
        <w:gridCol w:w="1119"/>
        <w:gridCol w:w="1120"/>
      </w:tblGrid>
      <w:tr>
        <w:trPr>
          <w:trHeight w:val="510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Názov položky  </w:t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 2022</w:t>
            </w:r>
          </w:p>
        </w:tc>
        <w:tc>
          <w:tcPr>
            <w:tcW w:w="11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Zvýšenie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</w:t>
            </w:r>
            <w:r>
              <w:rPr>
                <w:b/>
                <w:bCs/>
                <w:color w:val="000000"/>
              </w:rPr>
              <w:t xml:space="preserve">Zníženie </w:t>
            </w:r>
          </w:p>
        </w:tc>
        <w:tc>
          <w:tcPr>
            <w:tcW w:w="11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Presun</w:t>
            </w: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 2021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625 695,86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3 988,51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- 14 927,32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636 634,67</w:t>
            </w:r>
          </w:p>
        </w:tc>
      </w:tr>
      <w:tr>
        <w:trPr>
          <w:trHeight w:val="300" w:hRule="atLeast"/>
        </w:trPr>
        <w:tc>
          <w:tcPr>
            <w:tcW w:w="4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20 187,14</w:t>
            </w:r>
          </w:p>
        </w:tc>
        <w:tc>
          <w:tcPr>
            <w:tcW w:w="11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20 187,14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14 927,32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- 14 927,32</w:t>
            </w:r>
          </w:p>
        </w:tc>
      </w:tr>
    </w:tbl>
    <w:p>
      <w:pPr>
        <w:pStyle w:val="Normal"/>
        <w:ind w:left="3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10"/>
        </w:numPr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Prehľad rezerv konsolidovaného celku v členení na zákonné a ostatné, dlhodobé a krátkodobé od 1. januára 2022 do 31. decembra 2022 je uvedený v tabuľkovej prílohe konsolidovaných poznámok – tabuľky č. 14</w:t>
      </w:r>
    </w:p>
    <w:p>
      <w:pPr>
        <w:pStyle w:val="Normal"/>
        <w:ind w:left="3" w:hanging="0"/>
        <w:jc w:val="both"/>
        <w:rPr>
          <w:i/>
          <w:i/>
          <w:color w:val="C00000"/>
          <w:sz w:val="24"/>
          <w:szCs w:val="24"/>
        </w:rPr>
      </w:pPr>
      <w:r>
        <w:rPr>
          <w:i/>
          <w:color w:val="C00000"/>
          <w:sz w:val="24"/>
          <w:szCs w:val="24"/>
        </w:rPr>
      </w:r>
    </w:p>
    <w:p>
      <w:pPr>
        <w:pStyle w:val="Normal"/>
        <w:spacing w:before="60" w:after="0"/>
        <w:jc w:val="both"/>
        <w:rPr>
          <w:sz w:val="24"/>
          <w:szCs w:val="24"/>
        </w:rPr>
      </w:pPr>
      <w:r>
        <w:rPr>
          <w:sz w:val="24"/>
          <w:szCs w:val="24"/>
        </w:rPr>
        <w:t>Obec tvorila ostatné krátkodobé rezervy na audit.</w:t>
      </w:r>
    </w:p>
    <w:p>
      <w:pPr>
        <w:pStyle w:val="Normal"/>
        <w:ind w:left="3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0"/>
        </w:numPr>
        <w:spacing w:before="60" w:after="60"/>
        <w:jc w:val="both"/>
        <w:rPr>
          <w:sz w:val="24"/>
          <w:szCs w:val="24"/>
        </w:rPr>
      </w:pPr>
      <w:r>
        <w:rPr>
          <w:b/>
          <w:sz w:val="24"/>
          <w:szCs w:val="24"/>
        </w:rPr>
        <w:t>Záväzky</w:t>
      </w:r>
      <w:r>
        <w:rPr>
          <w:sz w:val="24"/>
          <w:szCs w:val="24"/>
        </w:rPr>
        <w:t xml:space="preserve"> 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Prehľad záväzkov z hľadiska ich vekovej štruktúry a podľa doby splatnosti je uvedený v tabuľkovej časti </w:t>
      </w:r>
      <w:r>
        <w:rPr>
          <w:sz w:val="24"/>
          <w:szCs w:val="24"/>
        </w:rPr>
        <w:t>(tabuľka č. 15).</w:t>
      </w:r>
    </w:p>
    <w:p>
      <w:pPr>
        <w:pStyle w:val="Normal"/>
        <w:spacing w:before="120" w:after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Ostatné dlhodobé záväzky - záväzky sociálneho fondu, prijaté zábezpeky k projektom.</w:t>
      </w:r>
    </w:p>
    <w:p>
      <w:pPr>
        <w:pStyle w:val="Normal"/>
        <w:numPr>
          <w:ilvl w:val="0"/>
          <w:numId w:val="10"/>
        </w:numPr>
        <w:spacing w:before="12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</w:t>
      </w:r>
    </w:p>
    <w:p>
      <w:pPr>
        <w:pStyle w:val="Pismenka"/>
        <w:tabs>
          <w:tab w:val="clear" w:pos="426"/>
        </w:tabs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a) dlhodobé bankové úvery a krátkodobé bankové úvery</w:t>
      </w:r>
    </w:p>
    <w:p>
      <w:pPr>
        <w:pStyle w:val="Pismenka"/>
        <w:tabs>
          <w:tab w:val="clear" w:pos="426"/>
        </w:tabs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numPr>
          <w:ilvl w:val="0"/>
          <w:numId w:val="10"/>
        </w:numPr>
        <w:spacing w:before="120" w:after="12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Časové rozlíšenie  pasív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a) Prehľad výdavkov budúcich období </w:t>
      </w:r>
      <w:r>
        <w:rPr>
          <w:sz w:val="24"/>
          <w:szCs w:val="24"/>
        </w:rPr>
        <w:t xml:space="preserve">je uvedený v tabuľkovej časti – tabuľka č. 17 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žiadne</w:t>
      </w:r>
    </w:p>
    <w:p>
      <w:pPr>
        <w:pStyle w:val="Normal"/>
        <w:spacing w:before="120" w:after="120"/>
        <w:jc w:val="both"/>
        <w:rPr>
          <w:sz w:val="24"/>
          <w:szCs w:val="24"/>
        </w:rPr>
      </w:pPr>
      <w:r>
        <w:rPr>
          <w:b/>
          <w:sz w:val="24"/>
          <w:szCs w:val="24"/>
        </w:rPr>
        <w:t>b) Prehľad výnosov budúcich obdob</w:t>
      </w:r>
      <w:r>
        <w:rPr>
          <w:sz w:val="24"/>
          <w:szCs w:val="24"/>
        </w:rPr>
        <w:t xml:space="preserve">í je uvedený v tabuľkovej časti – tabuľka č. 18 </w:t>
      </w:r>
    </w:p>
    <w:tbl>
      <w:tblPr>
        <w:tblW w:w="906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5740"/>
        <w:gridCol w:w="1660"/>
        <w:gridCol w:w="1660"/>
      </w:tblGrid>
      <w:tr>
        <w:trPr>
          <w:trHeight w:val="300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Výnosy budúcich období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k 31.12. 2022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k 31.12. 2021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nájomné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predplatné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956,14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930,70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výnosy z budúceho odvodu príjmov RO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zaplatené paušály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zostatky v súvislosti s emisnými kvótami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transfery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2 075 742,47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1 853 502,76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2 076 698,61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1 854 433,46</w:t>
            </w:r>
          </w:p>
        </w:tc>
      </w:tr>
    </w:tbl>
    <w:p>
      <w:pPr>
        <w:pStyle w:val="Normal"/>
        <w:spacing w:before="60" w:after="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numPr>
          <w:ilvl w:val="0"/>
          <w:numId w:val="10"/>
        </w:numPr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konsolidovaného celku</w:t>
      </w:r>
    </w:p>
    <w:p>
      <w:pPr>
        <w:pStyle w:val="Normal"/>
        <w:spacing w:before="60" w:after="60"/>
        <w:ind w:left="360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a)  Náklady na služby </w:t>
      </w:r>
    </w:p>
    <w:p>
      <w:pPr>
        <w:pStyle w:val="Normal"/>
        <w:rPr>
          <w:i/>
          <w:i/>
          <w:color w:val="C00000"/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>Detailný rozpis významných nákladov na služby je uvedený v tabuľkovej časti – tabuľka č. 19</w:t>
      </w:r>
      <w:r>
        <w:rPr>
          <w:i/>
          <w:color w:val="C00000"/>
          <w:sz w:val="24"/>
          <w:szCs w:val="24"/>
        </w:rPr>
        <w:t xml:space="preserve">    </w:t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b) Ostatné náklady na prevádzkovú činnosť v €</w:t>
      </w:r>
    </w:p>
    <w:p>
      <w:pPr>
        <w:pStyle w:val="Normal"/>
        <w:rPr>
          <w:i/>
          <w:i/>
          <w:color w:val="C00000"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Detailný rozpis významných nákladov na služby je uvedený v tabuľkovej časti – tabuľka č. 20</w:t>
      </w:r>
      <w:r>
        <w:rPr>
          <w:b/>
          <w:sz w:val="24"/>
          <w:szCs w:val="24"/>
        </w:rPr>
        <w:t xml:space="preserve">     </w:t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c) Ostatné finančné náklady </w:t>
      </w:r>
    </w:p>
    <w:p>
      <w:pPr>
        <w:pStyle w:val="Normal"/>
        <w:spacing w:before="120"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Detailný rozpis významných nákladov na služby je uvedený v tabuľkovej časti – tabuľka č. 21</w:t>
      </w:r>
    </w:p>
    <w:p>
      <w:pPr>
        <w:pStyle w:val="Normal"/>
        <w:spacing w:before="120" w:after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0"/>
        </w:numPr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konsolidovaného celku</w:t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before="60" w:after="6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Ostatné výnosy na prevádzkovú činnosť v €</w:t>
      </w:r>
    </w:p>
    <w:tbl>
      <w:tblPr>
        <w:tblW w:w="606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80"/>
        <w:gridCol w:w="1440"/>
        <w:gridCol w:w="1440"/>
      </w:tblGrid>
      <w:tr>
        <w:trPr>
          <w:trHeight w:val="570" w:hRule="atLeast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Ostatné výnosy z prevádzkovej činnosti</w:t>
            </w:r>
          </w:p>
        </w:tc>
        <w:tc>
          <w:tcPr>
            <w:tcW w:w="14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 2022</w:t>
            </w:r>
          </w:p>
        </w:tc>
        <w:tc>
          <w:tcPr>
            <w:tcW w:w="14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 2021</w:t>
            </w:r>
          </w:p>
        </w:tc>
      </w:tr>
      <w:tr>
        <w:trPr>
          <w:trHeight w:val="6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Dobropisy, refundácie nákladov minulého účtovného obdobia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6 026,76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8 157,53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Výnosy z prenájmu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1 750,62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1 895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Poistné plnenia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Inventúrne prebytky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Náhrada za škodu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109,54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180</w:t>
            </w:r>
          </w:p>
        </w:tc>
      </w:tr>
      <w:tr>
        <w:trPr>
          <w:trHeight w:val="300" w:hRule="atLeast"/>
        </w:trPr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7 886,92</w:t>
            </w:r>
          </w:p>
        </w:tc>
        <w:tc>
          <w:tcPr>
            <w:tcW w:w="144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10 262,53</w:t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sz w:val="24"/>
          <w:szCs w:val="24"/>
        </w:rPr>
        <w:t>V ostatných výnosoch sú aj výnosy z predaja popolníc, preplatky RZ ZP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Čl. IV.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Normal"/>
        <w:spacing w:lineRule="auto" w:line="36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360" w:leader="none"/>
        </w:tabs>
        <w:ind w:left="360" w:hanging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žiadne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360" w:leader="none"/>
        </w:tabs>
        <w:ind w:left="360" w:hanging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Zoznam nehnuteľných kultúrnych pamiatok spravovaných účtovnou jednotkou – </w:t>
      </w:r>
      <w:r>
        <w:rPr>
          <w:sz w:val="24"/>
          <w:szCs w:val="24"/>
        </w:rPr>
        <w:t>tabuľka č. 24</w:t>
      </w:r>
    </w:p>
    <w:p>
      <w:pPr>
        <w:pStyle w:val="Normal"/>
        <w:tabs>
          <w:tab w:val="clear" w:pos="708"/>
          <w:tab w:val="left" w:pos="360" w:leader="none"/>
        </w:tabs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tabs>
          <w:tab w:val="clear" w:pos="708"/>
          <w:tab w:val="left" w:pos="360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8"/>
          <w:tab w:val="left" w:pos="360" w:leader="none"/>
        </w:tabs>
        <w:jc w:val="both"/>
        <w:rPr>
          <w:sz w:val="24"/>
          <w:szCs w:val="24"/>
          <w:highlight w:val="green"/>
        </w:rPr>
      </w:pPr>
      <w:r>
        <w:rPr>
          <w:sz w:val="24"/>
          <w:szCs w:val="24"/>
          <w:highlight w:val="green"/>
        </w:rPr>
      </w:r>
    </w:p>
    <w:p>
      <w:pPr>
        <w:pStyle w:val="Normal"/>
        <w:tabs>
          <w:tab w:val="clear" w:pos="708"/>
          <w:tab w:val="left" w:pos="4671" w:leader="none"/>
          <w:tab w:val="center" w:pos="5102" w:leader="none"/>
        </w:tabs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Čl. V.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KU KTORÉMU SA ZOSTAVUJE ÚČTOVNÁ ZÁVIERKA, DO DŇA JEJ ZOSTAVENIA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nenastali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také udalosti, ktoré by si vyžadovali zverejnenie alebo vykázanie v konsolidovanej účtovnej závierke za rok 202</w:t>
      </w:r>
      <w:bookmarkStart w:id="1" w:name="_GoBack"/>
      <w:bookmarkEnd w:id="1"/>
      <w:r>
        <w:rPr>
          <w:sz w:val="24"/>
          <w:szCs w:val="24"/>
        </w:rPr>
        <w:t>2.</w:t>
      </w:r>
    </w:p>
    <w:p>
      <w:pPr>
        <w:pStyle w:val="Normal"/>
        <w:spacing w:lineRule="auto" w:line="360"/>
        <w:rPr>
          <w:rFonts w:ascii="Arial" w:hAnsi="Arial" w:cs="Arial"/>
          <w:color w:val="0000FF"/>
        </w:rPr>
      </w:pPr>
      <w:r>
        <w:rPr>
          <w:rFonts w:cs="Arial" w:ascii="Arial" w:hAnsi="Arial"/>
          <w:color w:val="0000FF"/>
        </w:rPr>
      </w:r>
    </w:p>
    <w:p>
      <w:pPr>
        <w:pStyle w:val="Normal"/>
        <w:spacing w:lineRule="auto" w:line="360"/>
        <w:rPr>
          <w:rFonts w:ascii="Arial" w:hAnsi="Arial" w:cs="Arial"/>
          <w:color w:val="0000FF"/>
        </w:rPr>
      </w:pPr>
      <w:r>
        <w:rPr/>
      </w:r>
    </w:p>
    <w:sectPr>
      <w:footerReference w:type="default" r:id="rId2"/>
      <w:type w:val="nextPage"/>
      <w:pgSz w:w="11906" w:h="16838"/>
      <w:pgMar w:left="720" w:right="720" w:gutter="0" w:header="0" w:top="720" w:footer="284" w:bottom="72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ind w:right="360" w:hanging="0"/>
      <w:rPr/>
    </w:pPr>
    <w:r>
      <w:rPr/>
      <mc:AlternateContent>
        <mc:Choice Requires="wps">
          <w:drawing>
            <wp:anchor behindDoc="0" distT="0" distB="635" distL="0" distR="0" simplePos="0" locked="0" layoutInCell="0" allowOverlap="1" relativeHeight="1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135" cy="292100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080" cy="291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4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stroked="f" o:allowincell="f" style="position:absolute;margin-left:259.1pt;margin-top:0.05pt;width:5pt;height:22.95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4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/>
    </w:lvl>
  </w:abstractNum>
  <w:abstractNum w:abstractNumId="6">
    <w:lvl w:ilvl="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/>
    </w:lvl>
    <w:lvl w:ilvl="1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  <w:rPr/>
    </w:lvl>
    <w:lvl w:ilvl="3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/>
    </w:lvl>
    <w:lvl w:ilvl="6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/>
    </w:lvl>
  </w:abstractNum>
  <w:abstractNum w:abstractNumId="7"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4"/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8"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10"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sz w:val="24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e0f5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paragraph" w:styleId="Nadpis2">
    <w:name w:val="Heading 2"/>
    <w:basedOn w:val="Normal"/>
    <w:next w:val="Normal"/>
    <w:link w:val="Nadpis2Char"/>
    <w:autoRedefine/>
    <w:uiPriority w:val="9"/>
    <w:qFormat/>
    <w:rsid w:val="00cf0519"/>
    <w:pPr>
      <w:keepNext w:val="true"/>
      <w:numPr>
        <w:ilvl w:val="0"/>
        <w:numId w:val="7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uiPriority w:val="99"/>
    <w:semiHidden/>
    <w:qFormat/>
    <w:rPr>
      <w:sz w:val="20"/>
      <w:szCs w:val="20"/>
    </w:rPr>
  </w:style>
  <w:style w:type="character" w:styleId="TextbublinyChar" w:customStyle="1">
    <w:name w:val="Text bubliny Char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uiPriority w:val="99"/>
    <w:qFormat/>
    <w:rsid w:val="00491430"/>
    <w:rPr/>
  </w:style>
  <w:style w:type="character" w:styleId="ZkladntextChar" w:customStyle="1">
    <w:name w:val="Základný text Char"/>
    <w:uiPriority w:val="99"/>
    <w:semiHidden/>
    <w:qFormat/>
    <w:rPr>
      <w:sz w:val="20"/>
      <w:szCs w:val="20"/>
    </w:rPr>
  </w:style>
  <w:style w:type="character" w:styleId="HlavikaChar" w:customStyle="1">
    <w:name w:val="Hlavička Char"/>
    <w:qFormat/>
    <w:rPr>
      <w:sz w:val="20"/>
      <w:szCs w:val="20"/>
    </w:rPr>
  </w:style>
  <w:style w:type="character" w:styleId="Strong">
    <w:name w:val="Strong"/>
    <w:uiPriority w:val="22"/>
    <w:qFormat/>
    <w:rsid w:val="0096070d"/>
    <w:rPr>
      <w:b/>
      <w:bCs/>
    </w:rPr>
  </w:style>
  <w:style w:type="character" w:styleId="Internetovodkaz">
    <w:name w:val="Internetový odkaz"/>
    <w:rsid w:val="000b1485"/>
    <w:rPr>
      <w:color w:val="0000FF"/>
      <w:u w:val="single"/>
    </w:rPr>
  </w:style>
  <w:style w:type="character" w:styleId="Nadpis2Char" w:customStyle="1">
    <w:name w:val="Nadpis 2 Char"/>
    <w:uiPriority w:val="9"/>
    <w:qFormat/>
    <w:rsid w:val="00cf0519"/>
    <w:rPr>
      <w:rFonts w:ascii="Arial" w:hAnsi="Arial" w:cs="Arial"/>
      <w:b/>
      <w:bCs/>
      <w:iCs/>
      <w:sz w:val="22"/>
      <w:szCs w:val="22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c5302"/>
    <w:pPr>
      <w:ind w:left="426" w:hanging="0"/>
      <w:jc w:val="both"/>
    </w:pPr>
    <w:rPr>
      <w:sz w:val="18"/>
      <w:szCs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uiPriority w:val="99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  <w:bCs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Odstavec" w:customStyle="1">
    <w:name w:val="odstavec"/>
    <w:basedOn w:val="Normal"/>
    <w:autoRedefine/>
    <w:qFormat/>
    <w:rsid w:val="005931f2"/>
    <w:pPr>
      <w:ind w:right="-79" w:hanging="0"/>
      <w:jc w:val="both"/>
    </w:pPr>
    <w:rPr>
      <w:rFonts w:ascii="Arial" w:hAnsi="Arial" w:cs="Arial"/>
    </w:rPr>
  </w:style>
  <w:style w:type="paragraph" w:styleId="Abc" w:customStyle="1">
    <w:name w:val="abc"/>
    <w:basedOn w:val="Normal"/>
    <w:autoRedefine/>
    <w:qFormat/>
    <w:rsid w:val="002978b4"/>
    <w:pPr>
      <w:numPr>
        <w:ilvl w:val="0"/>
        <w:numId w:val="11"/>
      </w:numPr>
      <w:spacing w:before="60" w:after="120"/>
      <w:jc w:val="both"/>
    </w:pPr>
    <w:rPr>
      <w:rFonts w:ascii="Arial" w:hAnsi="Arial" w:cs="Arial"/>
    </w:rPr>
  </w:style>
  <w:style w:type="paragraph" w:styleId="ListParagraph">
    <w:name w:val="List Paragraph"/>
    <w:basedOn w:val="Normal"/>
    <w:uiPriority w:val="34"/>
    <w:qFormat/>
    <w:rsid w:val="001f42ea"/>
    <w:pPr>
      <w:spacing w:before="0" w:after="0"/>
      <w:ind w:left="720" w:hanging="0"/>
      <w:contextualSpacing/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Application>LibreOffice/7.3.2.2$Windows_X86_64 LibreOffice_project/49f2b1bff42cfccbd8f788c8dc32c1c309559be0</Application>
  <AppVersion>15.0000</AppVersion>
  <Pages>7</Pages>
  <Words>2146</Words>
  <Characters>12693</Characters>
  <CharactersWithSpaces>14723</CharactersWithSpaces>
  <Paragraphs>331</Paragraphs>
  <Company>Hewlett-Packard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2016-06-17T06:46:00Z</dcterms:created>
  <dc:creator>admin</dc:creator>
  <dc:description/>
  <dc:language>sk-SK</dc:language>
  <cp:lastModifiedBy/>
  <cp:lastPrinted>2020-06-17T11:00:00Z</cp:lastPrinted>
  <dcterms:modified xsi:type="dcterms:W3CDTF">2023-06-05T13:18:39Z</dcterms:modified>
  <cp:revision>25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