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202</w:t>
      </w:r>
      <w:r>
        <w:rPr>
          <w:b/>
          <w:bCs/>
          <w:sz w:val="32"/>
          <w:szCs w:val="32"/>
        </w:rPr>
        <w:t>2</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b/>
          <w:b/>
          <w:i/>
          <w:i/>
        </w:rPr>
      </w:pPr>
      <w:r>
        <w:rPr>
          <w:b/>
          <w:i/>
        </w:rPr>
      </w:r>
    </w:p>
    <w:p>
      <w:pPr>
        <w:pStyle w:val="Normal"/>
        <w:jc w:val="both"/>
        <w:rPr/>
      </w:pPr>
      <w:r>
        <w:rPr/>
        <w:t>Konsolidovaný celok Obce sa v roku 202</w:t>
      </w:r>
      <w:r>
        <w:rPr/>
        <w:t>2</w:t>
      </w:r>
      <w:r>
        <w:rPr/>
        <w:t xml:space="preserve">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w:t>
      </w:r>
      <w:r>
        <w:rPr/>
        <w:t>22</w:t>
      </w:r>
      <w:r>
        <w:rPr/>
        <w:t xml:space="preserve"> je zostavená ako riadna konsolidovaná účtovná závierka podľa zákona č. 431/2002 Z. z. o   účtovníctve v  znení neskorších predpisov, za   účtovné  obdobie   od  1. januára 202</w:t>
      </w:r>
      <w:r>
        <w:rPr/>
        <w:t>2</w:t>
      </w:r>
      <w:r>
        <w:rPr/>
        <w:t xml:space="preserve"> do 31. decembra 202</w:t>
      </w:r>
      <w:r>
        <w:rPr/>
        <w:t>2</w:t>
      </w:r>
      <w:r>
        <w:rPr/>
        <w:t>.</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2"/>
        <w:gridCol w:w="3542"/>
      </w:tblGrid>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Zástupca starostu</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auto"/>
              </w:rPr>
            </w:pPr>
            <w:r>
              <w:rPr>
                <w:i/>
                <w:color w:val="auto"/>
              </w:rPr>
              <w:t>Milan Galica</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rPr>
              <w:t>Ing. Marcela Jašková</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t>V roku 202,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nehmotný majetok a dlhodobý hmotný majetok</w:t>
      </w:r>
    </w:p>
    <w:p>
      <w:pPr>
        <w:pStyle w:val="Odstavec"/>
        <w:rPr/>
      </w:pPr>
      <w:r>
        <w:rPr>
          <w:color w:val="auto"/>
        </w:rPr>
        <w:t xml:space="preserve">Prehľad pohybu dlhodobého nehmotného a dlhodobého hmotného majetku od 1. januára 2021 do 31. decembra 2021 je uvedený v tabuľkovej časti </w:t>
      </w:r>
      <w:r>
        <w:rPr>
          <w:i/>
          <w:color w:val="auto"/>
        </w:rPr>
        <w:t>Prehľad o pohybe dlhodobého majetku.</w:t>
      </w:r>
    </w:p>
    <w:p>
      <w:pPr>
        <w:pStyle w:val="Odstavec"/>
        <w:rPr>
          <w:color w:val="CE181E"/>
        </w:rPr>
      </w:pPr>
      <w:r>
        <w:rPr>
          <w:color w:val="CE181E"/>
        </w:rPr>
      </w:r>
    </w:p>
    <w:p>
      <w:pPr>
        <w:pStyle w:val="Odstavec"/>
        <w:rPr>
          <w:color w:val="auto"/>
        </w:rPr>
      </w:pPr>
      <w:r>
        <w:rPr>
          <w:color w:val="auto"/>
        </w:rPr>
        <w:t>Dlhodobý nehmotný a hmotný majetok je poistený pre prípad škôd spôsobených krádežou, vandalizmom a živelnou pohromou.</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finančný majetok</w:t>
      </w:r>
    </w:p>
    <w:p>
      <w:pPr>
        <w:pStyle w:val="Odstavec"/>
        <w:rPr/>
      </w:pPr>
      <w:r>
        <w:rPr>
          <w:color w:val="auto"/>
        </w:rPr>
        <w:t>Prehľad dlhodobého finančného majetku účtovnej jednotky od 1. januára 202</w:t>
      </w:r>
      <w:r>
        <w:rPr>
          <w:color w:val="auto"/>
        </w:rPr>
        <w:t>2</w:t>
      </w:r>
      <w:r>
        <w:rPr>
          <w:color w:val="auto"/>
        </w:rPr>
        <w:t xml:space="preserve"> do                        31. decembra 202</w:t>
      </w:r>
      <w:r>
        <w:rPr>
          <w:color w:val="auto"/>
        </w:rPr>
        <w:t>2</w:t>
      </w:r>
      <w:r>
        <w:rPr>
          <w:color w:val="auto"/>
        </w:rPr>
        <w:t xml:space="preserve"> je uvedený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Obec vlastní akcie v Liptovskej vodárenskej spoločnosti, a. s.</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Pohľadávky</w:t>
      </w:r>
    </w:p>
    <w:p>
      <w:pPr>
        <w:pStyle w:val="Odstavec"/>
        <w:rPr>
          <w:color w:val="auto"/>
        </w:rPr>
      </w:pPr>
      <w:r>
        <w:rPr>
          <w:color w:val="auto"/>
        </w:rPr>
        <w:t>Vývoj opravných položiek k pohľadávkam ako aj rozdelenie pohľadávok podľa splatnosti sú uvedené v tabuľkovej časti.</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Finančný majetok</w:t>
      </w:r>
    </w:p>
    <w:p>
      <w:pPr>
        <w:pStyle w:val="Telotextu"/>
        <w:spacing w:before="0" w:after="0"/>
        <w:jc w:val="both"/>
        <w:rPr>
          <w:color w:val="auto"/>
        </w:rPr>
      </w:pPr>
      <w:r>
        <w:rPr>
          <w:color w:val="auto"/>
        </w:rPr>
        <w:t>Ako finančný majetok sú vykázané peňažné prostriedky v pokladnici a účty v bankách. Účtami v bankách môže účtovná jednotka voľne disponovať.</w:t>
      </w:r>
    </w:p>
    <w:p>
      <w:pPr>
        <w:pStyle w:val="Nadpis2"/>
        <w:spacing w:before="0" w:after="0"/>
        <w:rPr>
          <w:color w:val="auto"/>
          <w:highlight w:val="yellow"/>
        </w:rPr>
      </w:pPr>
      <w:r>
        <w:rPr>
          <w:color w:val="auto"/>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Poskytnuté návratné finančné výpomoci</w:t>
      </w:r>
    </w:p>
    <w:p>
      <w:pPr>
        <w:pStyle w:val="Telotextu"/>
        <w:spacing w:before="0" w:after="0"/>
        <w:jc w:val="both"/>
        <w:rPr/>
      </w:pPr>
      <w:r>
        <w:rPr>
          <w:color w:val="auto"/>
        </w:rPr>
        <w:t>Obec v roku 2021 neposkytla návratnú finančnú výpomoc.</w:t>
      </w:r>
    </w:p>
    <w:p>
      <w:pPr>
        <w:pStyle w:val="Normal"/>
        <w:jc w:val="both"/>
        <w:rPr>
          <w:b/>
          <w:b/>
          <w:i/>
          <w:i/>
          <w:color w:val="CE181E"/>
        </w:rPr>
      </w:pPr>
      <w:r>
        <w:rPr>
          <w:b/>
          <w:i/>
          <w:color w:val="CE181E"/>
        </w:rPr>
      </w:r>
    </w:p>
    <w:p>
      <w:pPr>
        <w:pStyle w:val="Nadpis1"/>
        <w:spacing w:before="0" w:after="0"/>
        <w:rPr>
          <w:color w:val="CE181E"/>
        </w:rPr>
      </w:pPr>
      <w:r>
        <w:rPr>
          <w:color w:val="CE181E"/>
        </w:rPr>
      </w:r>
    </w:p>
    <w:p>
      <w:pPr>
        <w:pStyle w:val="Nadpis1"/>
        <w:spacing w:before="0" w:after="0"/>
        <w:rPr>
          <w:color w:val="auto"/>
        </w:rPr>
      </w:pPr>
      <w:r>
        <w:rPr>
          <w:color w:val="auto"/>
        </w:rPr>
        <w:t>INFORMÁCIE O ÚDAJOCH NA STRANE PASÍV SÚVAHY</w:t>
      </w:r>
    </w:p>
    <w:p>
      <w:pPr>
        <w:pStyle w:val="Normal"/>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Vlastné imanie</w:t>
      </w:r>
    </w:p>
    <w:p>
      <w:pPr>
        <w:pStyle w:val="Odstavec"/>
        <w:rPr/>
      </w:pPr>
      <w:r>
        <w:rPr>
          <w:color w:val="auto"/>
        </w:rPr>
        <w:t>Prehľad vlastného imania konsolidovaného celku od 1. januára 202</w:t>
      </w:r>
      <w:r>
        <w:rPr>
          <w:color w:val="auto"/>
        </w:rPr>
        <w:t>2</w:t>
      </w:r>
      <w:r>
        <w:rPr>
          <w:color w:val="auto"/>
        </w:rPr>
        <w:t xml:space="preserve"> do 31. decembra 202</w:t>
      </w:r>
      <w:r>
        <w:rPr>
          <w:color w:val="auto"/>
        </w:rPr>
        <w:t>2</w:t>
      </w:r>
      <w:r>
        <w:rPr>
          <w:color w:val="auto"/>
        </w:rPr>
        <w:t xml:space="preserve"> je uvedený v tabuľkovej časti.</w:t>
      </w:r>
    </w:p>
    <w:p>
      <w:pPr>
        <w:pStyle w:val="Odstavec"/>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Rezervy</w:t>
      </w:r>
    </w:p>
    <w:p>
      <w:pPr>
        <w:pStyle w:val="Odstavec"/>
        <w:rPr/>
      </w:pPr>
      <w:r>
        <w:rPr>
          <w:color w:val="auto"/>
        </w:rPr>
        <w:t>Prehľad rezerv konsolidovaného celku od 1. januára 202</w:t>
      </w:r>
      <w:r>
        <w:rPr>
          <w:color w:val="auto"/>
        </w:rPr>
        <w:t>2</w:t>
      </w:r>
      <w:r>
        <w:rPr>
          <w:color w:val="auto"/>
        </w:rPr>
        <w:t xml:space="preserve"> do  31. decembra 202</w:t>
      </w:r>
      <w:r>
        <w:rPr>
          <w:color w:val="auto"/>
        </w:rPr>
        <w:t>2</w:t>
      </w:r>
      <w:r>
        <w:rPr>
          <w:color w:val="auto"/>
        </w:rPr>
        <w:t xml:space="preserve"> je uvedený je uvedený v tabuľkovej časti.</w:t>
      </w:r>
    </w:p>
    <w:p>
      <w:pPr>
        <w:pStyle w:val="Pismenka"/>
        <w:ind w:left="0" w:hanging="0"/>
        <w:rPr>
          <w:b w:val="false"/>
          <w:b w:val="false"/>
          <w:bCs w:val="false"/>
          <w:sz w:val="24"/>
          <w:szCs w:val="24"/>
          <w:lang w:eastAsia="sk-SK"/>
        </w:rPr>
      </w:pPr>
      <w:r>
        <w:rPr>
          <w:b w:val="false"/>
          <w:bCs w:val="false"/>
          <w:color w:val="auto"/>
          <w:sz w:val="24"/>
          <w:szCs w:val="24"/>
          <w:lang w:eastAsia="sk-SK"/>
        </w:rPr>
        <w:t>Obec vykazuje rezervu na vykonanie auditu účtovných závierok</w:t>
      </w:r>
    </w:p>
    <w:p>
      <w:pPr>
        <w:pStyle w:val="Normal"/>
        <w:ind w:left="426" w:hanging="0"/>
        <w:jc w:val="both"/>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Záväzky</w:t>
      </w:r>
    </w:p>
    <w:p>
      <w:pPr>
        <w:pStyle w:val="Normal"/>
        <w:jc w:val="both"/>
        <w:rPr>
          <w:color w:val="auto"/>
        </w:rPr>
      </w:pPr>
      <w:r>
        <w:rPr>
          <w:color w:val="auto"/>
        </w:rPr>
        <w:t>Prehľad záväzkov podľa splatnosti je uvedený v tabuľkovej časti.</w:t>
      </w:r>
    </w:p>
    <w:p>
      <w:pPr>
        <w:pStyle w:val="Normal"/>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Bankové úvery a ostatné prijaté návratné finančné výpomoci</w:t>
      </w:r>
    </w:p>
    <w:p>
      <w:pPr>
        <w:pStyle w:val="Normal"/>
        <w:jc w:val="both"/>
        <w:rPr/>
      </w:pPr>
      <w:r>
        <w:rPr>
          <w:color w:val="auto"/>
        </w:rPr>
        <w:t>Obec nemá k 31.12.202</w:t>
      </w:r>
      <w:r>
        <w:rPr>
          <w:color w:val="auto"/>
        </w:rPr>
        <w:t>2</w:t>
      </w:r>
      <w:r>
        <w:rPr>
          <w:color w:val="auto"/>
        </w:rPr>
        <w:t xml:space="preserve"> žiadny bankový úver.</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tabs>
          <w:tab w:val="left" w:pos="0" w:leader="none"/>
          <w:tab w:val="left" w:pos="360" w:leader="none"/>
          <w:tab w:val="left" w:pos="420" w:leader="none"/>
        </w:tabs>
        <w:ind w:left="-14" w:firstLine="14"/>
        <w:rPr>
          <w:b/>
          <w:b/>
          <w:caps/>
        </w:rPr>
      </w:pPr>
      <w:r>
        <w:rPr>
          <w:b/>
          <w:caps/>
          <w:color w:val="auto"/>
        </w:rPr>
        <w:t>Informácie o výnosoch a nákladoch</w:t>
      </w:r>
    </w:p>
    <w:p>
      <w:pPr>
        <w:pStyle w:val="Normal"/>
        <w:rPr>
          <w:color w:val="auto"/>
        </w:rPr>
      </w:pPr>
      <w:r>
        <w:rPr>
          <w:color w:val="auto"/>
        </w:rPr>
      </w:r>
    </w:p>
    <w:p>
      <w:pPr>
        <w:pStyle w:val="Normal"/>
        <w:rPr>
          <w:i/>
          <w:i/>
          <w:u w:val="single"/>
        </w:rPr>
      </w:pPr>
      <w:r>
        <w:rPr>
          <w:i/>
          <w:color w:val="auto"/>
          <w:u w:val="single"/>
        </w:rPr>
        <w:t>Prehľad o daňových výnosov samosprávy:</w:t>
      </w:r>
    </w:p>
    <w:p>
      <w:pPr>
        <w:pStyle w:val="Normal"/>
        <w:ind w:left="426" w:hanging="0"/>
        <w:jc w:val="right"/>
        <w:rPr>
          <w:i/>
          <w:i/>
          <w:sz w:val="22"/>
          <w:szCs w:val="22"/>
        </w:rPr>
      </w:pPr>
      <w:r>
        <w:rPr>
          <w:i/>
          <w:color w:val="auto"/>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08"/>
        <w:gridCol w:w="1844"/>
        <w:gridCol w:w="1846"/>
      </w:tblGrid>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color w:val="auto"/>
              </w:rPr>
            </w:pPr>
            <w:r>
              <w:rPr>
                <w:b/>
                <w:color w:val="auto"/>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31.12.2021</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31.12.202</w:t>
            </w:r>
            <w:r>
              <w:rPr>
                <w:i/>
                <w:color w:val="auto"/>
                <w:sz w:val="20"/>
                <w:szCs w:val="20"/>
              </w:rPr>
              <w:t>2</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Poukázaný podiel na dani z príjmov zo štátneho rozpočtu</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297.995,90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331.148,46</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psa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539,00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511,00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ubytovanie</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734,25</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198,33</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užívania verejného priestranstva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0,00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0,00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 xml:space="preserve">Daň z nehnuteľností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12.521,77</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11.632,12</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color w:val="auto"/>
                <w:sz w:val="20"/>
              </w:rPr>
              <w:t xml:space="preserve">Daňové výnosy samosprávy spolu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auto"/>
                <w:sz w:val="20"/>
                <w:szCs w:val="20"/>
              </w:rPr>
              <w:t>311.790,92</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auto"/>
                <w:sz w:val="20"/>
                <w:szCs w:val="20"/>
              </w:rPr>
              <w:t>343.489,91</w:t>
            </w:r>
          </w:p>
        </w:tc>
      </w:tr>
    </w:tbl>
    <w:p>
      <w:pPr>
        <w:pStyle w:val="Normal"/>
        <w:tabs>
          <w:tab w:val="left" w:pos="0" w:leader="none"/>
          <w:tab w:val="left" w:pos="360" w:leader="none"/>
          <w:tab w:val="left" w:pos="420" w:leader="none"/>
        </w:tabs>
        <w:ind w:left="-14" w:hanging="70"/>
        <w:rPr>
          <w:b/>
          <w:b/>
          <w:color w:val="auto"/>
          <w:sz w:val="22"/>
          <w:szCs w:val="22"/>
        </w:rPr>
      </w:pPr>
      <w:r>
        <w:rPr>
          <w:b/>
          <w:color w:val="auto"/>
          <w:sz w:val="22"/>
          <w:szCs w:val="22"/>
        </w:rPr>
      </w:r>
    </w:p>
    <w:p>
      <w:pPr>
        <w:pStyle w:val="Normal"/>
        <w:rPr>
          <w:sz w:val="22"/>
          <w:szCs w:val="22"/>
        </w:rPr>
      </w:pPr>
      <w:r>
        <w:rPr>
          <w:color w:val="auto"/>
          <w:sz w:val="22"/>
          <w:szCs w:val="22"/>
        </w:rPr>
        <w:t>Ďalšie podrobnejšie informácie k nákladom a výnosom sú uvedené v tabuľkovej časti</w:t>
      </w:r>
    </w:p>
    <w:p>
      <w:pPr>
        <w:pStyle w:val="Normal"/>
        <w:tabs>
          <w:tab w:val="left" w:pos="462" w:leader="none"/>
        </w:tabs>
        <w:rPr>
          <w:b/>
          <w:b/>
          <w:color w:val="auto"/>
        </w:rPr>
      </w:pPr>
      <w:r>
        <w:rPr>
          <w:b/>
          <w:color w:val="auto"/>
        </w:rPr>
      </w:r>
    </w:p>
    <w:p>
      <w:pPr>
        <w:pStyle w:val="Normal"/>
        <w:tabs>
          <w:tab w:val="left" w:pos="462" w:leader="none"/>
        </w:tabs>
        <w:rPr>
          <w:b/>
          <w:b/>
          <w:color w:val="CE181E"/>
        </w:rPr>
      </w:pPr>
      <w:r>
        <w:rPr>
          <w:b/>
          <w:color w:val="CE181E"/>
        </w:rPr>
      </w:r>
    </w:p>
    <w:p>
      <w:pPr>
        <w:pStyle w:val="Normal"/>
        <w:tabs>
          <w:tab w:val="left" w:pos="462" w:leader="none"/>
        </w:tabs>
        <w:rPr>
          <w:b/>
          <w:b/>
        </w:rPr>
      </w:pPr>
      <w:r>
        <w:rPr>
          <w:b/>
          <w:color w:val="auto"/>
        </w:rPr>
        <w:t>INFORMÁCIE NA PODSÚVAHOVÝCH ÚČTOCH</w:t>
      </w:r>
    </w:p>
    <w:p>
      <w:pPr>
        <w:pStyle w:val="Normal"/>
        <w:jc w:val="both"/>
        <w:rPr>
          <w:color w:val="auto"/>
        </w:rPr>
      </w:pPr>
      <w:r>
        <w:rPr>
          <w:color w:val="auto"/>
        </w:rPr>
      </w:r>
    </w:p>
    <w:p>
      <w:pPr>
        <w:pStyle w:val="Telotextu"/>
        <w:jc w:val="both"/>
        <w:rPr/>
      </w:pPr>
      <w:r>
        <w:rPr>
          <w:color w:val="auto"/>
        </w:rPr>
        <w:t>Prehľad o iných aktívach a iných pasívach a o kultúrnych pamiatkach konsolidovaného celku je uvedený v tabuľkovej časti.</w:t>
      </w:r>
    </w:p>
    <w:p>
      <w:pPr>
        <w:pStyle w:val="Telotextu"/>
        <w:jc w:val="both"/>
        <w:rPr/>
      </w:pPr>
      <w:r>
        <w:rPr>
          <w:color w:val="auto"/>
        </w:rPr>
        <w:t>Účtovná jednotka eviduje na podsúvahových účtoch nasledovné položky:</w:t>
      </w:r>
    </w:p>
    <w:p>
      <w:pPr>
        <w:pStyle w:val="Telotextu"/>
        <w:jc w:val="both"/>
        <w:rPr/>
      </w:pPr>
      <w:r>
        <w:rPr>
          <w:color w:val="auto"/>
        </w:rPr>
        <w:t>- prenajaté pozemky vo výške 755,33 EUR (pozemok strelnica, verejné priestranstvá, bytovka)</w:t>
      </w:r>
    </w:p>
    <w:p>
      <w:pPr>
        <w:pStyle w:val="Telotextu"/>
        <w:jc w:val="both"/>
        <w:rPr/>
      </w:pPr>
      <w:r>
        <w:rPr>
          <w:color w:val="auto"/>
        </w:rPr>
        <w:t>- drobný majetok OTE vo výške 12.901,58 EUR</w:t>
      </w:r>
    </w:p>
    <w:p>
      <w:pPr>
        <w:pStyle w:val="Telotextu"/>
        <w:jc w:val="both"/>
        <w:rPr/>
      </w:pPr>
      <w:r>
        <w:rPr>
          <w:color w:val="auto"/>
        </w:rPr>
        <w:t xml:space="preserve">- </w:t>
      </w:r>
      <w:r>
        <w:rPr>
          <w:color w:val="auto"/>
        </w:rPr>
        <w:t>majetok vo výpožičke vo výške 128.359,00 EUR</w:t>
      </w:r>
    </w:p>
    <w:p>
      <w:pPr>
        <w:pStyle w:val="Normal"/>
        <w:tabs>
          <w:tab w:val="left" w:pos="462" w:leader="none"/>
        </w:tabs>
        <w:rPr>
          <w:b/>
          <w:b/>
          <w:color w:val="auto"/>
          <w:sz w:val="22"/>
          <w:szCs w:val="22"/>
          <w:highlight w:val="red"/>
        </w:rPr>
      </w:pPr>
      <w:r>
        <w:rPr>
          <w:b/>
          <w:color w:val="auto"/>
          <w:sz w:val="22"/>
          <w:szCs w:val="22"/>
          <w:highlight w:val="red"/>
        </w:rPr>
      </w:r>
    </w:p>
    <w:p>
      <w:pPr>
        <w:pStyle w:val="Normal"/>
        <w:tabs>
          <w:tab w:val="left" w:pos="448" w:leader="none"/>
        </w:tabs>
        <w:ind w:left="425" w:hanging="425"/>
        <w:rPr>
          <w:b/>
          <w:b/>
        </w:rPr>
      </w:pPr>
      <w:r>
        <w:rPr>
          <w:b/>
          <w:color w:val="auto"/>
        </w:rPr>
        <w:t>SKUTOČNOSTI, KTORÉ NASTALI PO DNI, KU KTORÉMU SA ZOSTAVUJE</w:t>
      </w:r>
    </w:p>
    <w:p>
      <w:pPr>
        <w:pStyle w:val="Normal"/>
        <w:tabs>
          <w:tab w:val="left" w:pos="448" w:leader="none"/>
        </w:tabs>
        <w:ind w:left="425" w:hanging="425"/>
        <w:rPr>
          <w:b/>
          <w:b/>
        </w:rPr>
      </w:pPr>
      <w:r>
        <w:rPr>
          <w:b/>
          <w:color w:val="auto"/>
        </w:rPr>
        <w:t>KONSOLIDOVANA ÚČTOVNÁ ZÁVIERKA, DO DŇA JEJ ZOSTAVENIA</w:t>
      </w:r>
    </w:p>
    <w:p>
      <w:pPr>
        <w:pStyle w:val="Odstavec"/>
        <w:rPr>
          <w:color w:val="CE181E"/>
        </w:rPr>
      </w:pPr>
      <w:r>
        <w:rPr>
          <w:color w:val="CE181E"/>
        </w:rPr>
      </w:r>
    </w:p>
    <w:p>
      <w:pPr>
        <w:pStyle w:val="Odstavec"/>
        <w:rPr/>
      </w:pPr>
      <w:r>
        <w:rPr>
          <w:color w:val="auto"/>
        </w:rPr>
        <w:t xml:space="preserve">Po 31. decembri </w:t>
      </w:r>
      <w:r>
        <w:rPr>
          <w:iCs/>
          <w:color w:val="auto"/>
        </w:rPr>
        <w:t>202</w:t>
      </w:r>
      <w:r>
        <w:rPr>
          <w:iCs/>
          <w:color w:val="auto"/>
        </w:rPr>
        <w:t>2</w:t>
      </w:r>
      <w:r>
        <w:rPr>
          <w:color w:val="auto"/>
        </w:rPr>
        <w:t xml:space="preserve"> nenastali také udalosti, ktoré by si vyžadovali zverejnenie alebo vykázanie v konsolidovanej účtovnej závierke za rok 202</w:t>
      </w:r>
      <w:r>
        <w:rPr>
          <w:color w:val="auto"/>
        </w:rPr>
        <w:t>2</w:t>
      </w:r>
      <w:r>
        <w:rPr>
          <w:color w:val="auto"/>
        </w:rPr>
        <w:t>.</w:t>
      </w:r>
    </w:p>
    <w:p>
      <w:pPr>
        <w:pStyle w:val="Normal"/>
        <w:rPr>
          <w:b/>
          <w:b/>
          <w:i/>
          <w:i/>
          <w:color w:val="auto"/>
        </w:rPr>
      </w:pPr>
      <w:r>
        <w:rPr>
          <w:b/>
          <w:i/>
          <w:color w:val="auto"/>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3</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Application>LibreOffice/6.0.4.2$Windows_X86_64 LibreOffice_project/9b0d9b32d5dcda91d2f1a96dc04c645c450872bf</Application>
  <Pages>5</Pages>
  <Words>1290</Words>
  <Characters>8165</Characters>
  <CharactersWithSpaces>9407</CharactersWithSpaces>
  <Paragraphs>127</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2023-06-09T13:17:35Z</dcterms:modified>
  <cp:revision>27</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