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Poznámky konsolidovanej účtovnej závierky obce Gôtovany</w:t>
      </w:r>
    </w:p>
    <w:p>
      <w:pPr>
        <w:pStyle w:val="Normal"/>
        <w:spacing w:lineRule="atLeast" w:line="100" w:before="0" w:after="0"/>
        <w:jc w:val="center"/>
        <w:rPr/>
      </w:pPr>
      <w:r>
        <w:rPr>
          <w:rFonts w:cs="Times New Roman" w:ascii="Times New Roman" w:hAnsi="Times New Roman"/>
          <w:b/>
          <w:bCs/>
          <w:sz w:val="24"/>
          <w:szCs w:val="24"/>
        </w:rPr>
        <w:t>zostavenej k 31. decembru 202</w:t>
      </w:r>
      <w:r>
        <w:rPr>
          <w:rFonts w:cs="Times New Roman" w:ascii="Times New Roman" w:hAnsi="Times New Roman"/>
          <w:b/>
          <w:bCs/>
          <w:sz w:val="24"/>
          <w:szCs w:val="24"/>
        </w:rPr>
        <w:t>2</w:t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Čl. I.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i/>
          <w:i/>
          <w:i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VŠEOBECNÉ ÚDAJE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sz w:val="20"/>
          <w:szCs w:val="24"/>
        </w:rPr>
      </w:pPr>
      <w:r>
        <w:rPr>
          <w:rFonts w:cs="Times New Roman" w:ascii="Times New Roman" w:hAnsi="Times New Roman"/>
          <w:b/>
          <w:bCs/>
          <w:i/>
          <w:iCs/>
          <w:sz w:val="24"/>
          <w:szCs w:val="24"/>
        </w:rPr>
        <w:t>Identifikačné údaje konsolidujúcej účtovnej jednotky</w:t>
      </w:r>
    </w:p>
    <w:tbl>
      <w:tblPr>
        <w:tblW w:w="9189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5637"/>
        <w:gridCol w:w="3551"/>
      </w:tblGrid>
      <w:tr>
        <w:trPr/>
        <w:tc>
          <w:tcPr>
            <w:tcW w:w="5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9D9D9" w:val="clear"/>
          </w:tcPr>
          <w:p>
            <w:pPr>
              <w:pStyle w:val="Normal"/>
              <w:spacing w:lineRule="atLeast" w:line="100" w:before="0" w:after="0"/>
              <w:rPr>
                <w:rFonts w:ascii="Times New Roman" w:hAnsi="Times New Roman" w:cs="Times New Roman"/>
                <w:b/>
                <w:b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4"/>
              </w:rPr>
              <w:t>Názov konsolidujúcej účtovnej jednotky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spacing w:lineRule="atLeast" w:line="100" w:before="0" w:after="0"/>
              <w:ind w:left="-109" w:hanging="0"/>
              <w:rPr/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 xml:space="preserve">   </w:t>
            </w: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Obec Gôtovany</w:t>
            </w:r>
          </w:p>
        </w:tc>
      </w:tr>
      <w:tr>
        <w:trPr/>
        <w:tc>
          <w:tcPr>
            <w:tcW w:w="5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4"/>
              </w:rPr>
              <w:t>Sídlo konsolidujúcej účtovnej jednotky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ind w:left="741" w:hanging="709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Gôtovany 45, 032 14</w:t>
            </w:r>
          </w:p>
        </w:tc>
      </w:tr>
      <w:tr>
        <w:trPr/>
        <w:tc>
          <w:tcPr>
            <w:tcW w:w="5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4"/>
              </w:rPr>
              <w:t>IČO konsolidujúcej účtovnej jednotky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ind w:left="741" w:hanging="709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00315192</w:t>
            </w:r>
          </w:p>
        </w:tc>
      </w:tr>
      <w:tr>
        <w:trPr/>
        <w:tc>
          <w:tcPr>
            <w:tcW w:w="5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4"/>
              </w:rPr>
              <w:t xml:space="preserve">Dátum založenia, vzniku konsolidujúcej účtovnej jednotky                            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ind w:left="741" w:hanging="709"/>
              <w:rPr/>
            </w:pPr>
            <w:r>
              <w:rPr>
                <w:rFonts w:cs="Times New Roman" w:ascii="Times New Roman" w:hAnsi="Times New Roman"/>
                <w:bCs/>
                <w:sz w:val="24"/>
                <w:szCs w:val="24"/>
              </w:rPr>
              <w:t>01.01.1990</w:t>
            </w:r>
          </w:p>
        </w:tc>
      </w:tr>
    </w:tbl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i/>
          <w:i/>
          <w:iCs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iCs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iCs/>
          <w:sz w:val="24"/>
          <w:szCs w:val="24"/>
        </w:rPr>
        <w:t>Identifikačné údaje o konsolidovaných účtovných jednotkách</w:t>
      </w:r>
    </w:p>
    <w:p>
      <w:pPr>
        <w:pStyle w:val="Normal"/>
        <w:spacing w:lineRule="atLeast" w:line="100" w:before="0" w:after="0"/>
        <w:rPr/>
      </w:pPr>
      <w:r>
        <w:rPr>
          <w:rFonts w:cs="Times New Roman" w:ascii="Times New Roman" w:hAnsi="Times New Roman"/>
          <w:sz w:val="24"/>
          <w:szCs w:val="24"/>
        </w:rPr>
        <w:t>Konsolidovaný celok Obce Gôtovany sa v roku 202</w:t>
      </w:r>
      <w:r>
        <w:rPr>
          <w:rFonts w:cs="Times New Roman" w:ascii="Times New Roman" w:hAnsi="Times New Roman"/>
          <w:sz w:val="24"/>
          <w:szCs w:val="24"/>
        </w:rPr>
        <w:t>2</w:t>
      </w:r>
      <w:r>
        <w:rPr>
          <w:rFonts w:cs="Times New Roman" w:ascii="Times New Roman" w:hAnsi="Times New Roman"/>
          <w:sz w:val="24"/>
          <w:szCs w:val="24"/>
        </w:rPr>
        <w:t xml:space="preserve"> oproti minulým účtovným obdobiam nezmenil.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Obec Gôtovany má v zriaďovateľskej pôsobnosti rozpočtovú organizáciu (RO):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W w:w="9221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5635"/>
        <w:gridCol w:w="3585"/>
      </w:tblGrid>
      <w:tr>
        <w:trPr/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D9D9D9" w:val="clear"/>
          </w:tcPr>
          <w:p>
            <w:pPr>
              <w:pStyle w:val="Normal"/>
              <w:spacing w:lineRule="atLeast" w:line="100" w:before="0" w:after="0"/>
              <w:rPr>
                <w:rFonts w:ascii="Times New Roman" w:hAnsi="Times New Roman" w:cs="Times New Roman"/>
                <w:b/>
                <w:b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4"/>
              </w:rPr>
              <w:t xml:space="preserve">Názov konsolidovanej účtovnej jednotky 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D9D9D9" w:val="clear"/>
          </w:tcPr>
          <w:p>
            <w:pPr>
              <w:pStyle w:val="Normal"/>
              <w:spacing w:lineRule="atLeast" w:line="100" w:before="0" w:after="0"/>
              <w:rPr/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MŠ Gôtovany</w:t>
            </w:r>
          </w:p>
        </w:tc>
      </w:tr>
      <w:tr>
        <w:trPr/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4"/>
              </w:rPr>
              <w:t xml:space="preserve">Sídlo konsolidovanej účtovnej jednotky 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Gôtovany 60, 032 14</w:t>
            </w:r>
          </w:p>
        </w:tc>
      </w:tr>
      <w:tr>
        <w:trPr/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4"/>
              </w:rPr>
              <w:t xml:space="preserve">IČO konsolidovanej účtovnej jednotky 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42213894</w:t>
            </w:r>
          </w:p>
        </w:tc>
      </w:tr>
      <w:tr>
        <w:trPr/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4"/>
              </w:rPr>
              <w:t xml:space="preserve">Dátum založenia, vzniku konsolidovanej účtovnej jednotky 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1.4.2002 (delimitáciou)</w:t>
            </w:r>
          </w:p>
        </w:tc>
      </w:tr>
    </w:tbl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i/>
          <w:i/>
          <w:iCs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Prehľad o účtovných jednotkách konsolidovaného celku je uvedený v prílohe č. 1, v tabuľkovej časti</w:t>
      </w:r>
    </w:p>
    <w:p>
      <w:pPr>
        <w:pStyle w:val="Normal"/>
        <w:jc w:val="both"/>
        <w:rPr>
          <w:rFonts w:ascii="Times New Roman" w:hAnsi="Times New Roman" w:cs="Times New Roman"/>
          <w:i/>
          <w:i/>
          <w:iCs/>
          <w:sz w:val="24"/>
          <w:szCs w:val="24"/>
        </w:rPr>
      </w:pPr>
      <w:r>
        <w:rPr>
          <w:rFonts w:cs="Times New Roman" w:ascii="Times New Roman" w:hAnsi="Times New Roman"/>
          <w:i/>
          <w:iCs/>
          <w:sz w:val="24"/>
          <w:szCs w:val="24"/>
        </w:rPr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i/>
          <w:iCs/>
          <w:sz w:val="24"/>
          <w:szCs w:val="24"/>
        </w:rPr>
        <w:t>Údaje o konsolidovanom celku</w:t>
      </w:r>
    </w:p>
    <w:p>
      <w:pPr>
        <w:pStyle w:val="Normal"/>
        <w:spacing w:lineRule="atLeast" w:line="100"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Konsolidovaná účtovná závierka konsolidovaného celku Obce Gôtovany k 31. decembru 202</w:t>
      </w:r>
      <w:r>
        <w:rPr>
          <w:rFonts w:cs="Times New Roman" w:ascii="Times New Roman" w:hAnsi="Times New Roman"/>
          <w:sz w:val="24"/>
          <w:szCs w:val="24"/>
        </w:rPr>
        <w:t>2</w:t>
      </w:r>
      <w:r>
        <w:rPr>
          <w:rFonts w:cs="Times New Roman" w:ascii="Times New Roman" w:hAnsi="Times New Roman"/>
          <w:sz w:val="24"/>
          <w:szCs w:val="24"/>
        </w:rPr>
        <w:t xml:space="preserve"> je zostavená ako 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riadna konsolidovaná účtovná závierka </w:t>
      </w:r>
      <w:r>
        <w:rPr>
          <w:rFonts w:cs="Times New Roman" w:ascii="Times New Roman" w:hAnsi="Times New Roman"/>
          <w:sz w:val="24"/>
          <w:szCs w:val="24"/>
        </w:rPr>
        <w:t xml:space="preserve">podľa zákona č. 431/2002 Z. z. o účtovníctve v znení neskorších predpisov, </w:t>
      </w:r>
      <w:r>
        <w:rPr>
          <w:rFonts w:cs="Times New Roman" w:ascii="Times New Roman" w:hAnsi="Times New Roman"/>
          <w:b/>
          <w:bCs/>
          <w:sz w:val="24"/>
          <w:szCs w:val="24"/>
        </w:rPr>
        <w:t>za účtovné obdobie od 1. januára 202</w:t>
      </w:r>
      <w:r>
        <w:rPr>
          <w:rFonts w:cs="Times New Roman" w:ascii="Times New Roman" w:hAnsi="Times New Roman"/>
          <w:b/>
          <w:bCs/>
          <w:sz w:val="24"/>
          <w:szCs w:val="24"/>
        </w:rPr>
        <w:t>2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 do 31. decembra 202</w:t>
      </w:r>
      <w:r>
        <w:rPr>
          <w:rFonts w:cs="Times New Roman" w:ascii="Times New Roman" w:hAnsi="Times New Roman"/>
          <w:b/>
          <w:bCs/>
          <w:sz w:val="24"/>
          <w:szCs w:val="24"/>
        </w:rPr>
        <w:t>2</w:t>
      </w:r>
      <w:r>
        <w:rPr>
          <w:rFonts w:cs="Times New Roman" w:ascii="Times New Roman" w:hAnsi="Times New Roman"/>
          <w:b/>
          <w:bCs/>
          <w:sz w:val="24"/>
          <w:szCs w:val="24"/>
        </w:rPr>
        <w:t>.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b/>
          <w:b/>
          <w:bCs/>
          <w:i/>
          <w:i/>
          <w:iCs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Obec je súčasťou súhrnného celku verejnej správy Slovenskej republiky.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i/>
          <w:i/>
          <w:iCs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iCs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iCs/>
          <w:sz w:val="24"/>
          <w:szCs w:val="24"/>
        </w:rPr>
        <w:t>Informácie o vedúcich predstaviteľoch a o zamestnancoch konsolidovaného celku</w:t>
      </w:r>
    </w:p>
    <w:tbl>
      <w:tblPr>
        <w:tblW w:w="6240" w:type="dxa"/>
        <w:jc w:val="left"/>
        <w:tblInd w:w="11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502"/>
        <w:gridCol w:w="3738"/>
      </w:tblGrid>
      <w:tr>
        <w:trPr/>
        <w:tc>
          <w:tcPr>
            <w:tcW w:w="2502" w:type="dxa"/>
            <w:tcBorders/>
            <w:shd w:fill="auto" w:val="clear"/>
          </w:tcPr>
          <w:p>
            <w:pPr>
              <w:pStyle w:val="Normal"/>
              <w:spacing w:lineRule="atLeast" w:line="10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Starosta obce: </w:t>
            </w:r>
          </w:p>
        </w:tc>
        <w:tc>
          <w:tcPr>
            <w:tcW w:w="3738" w:type="dxa"/>
            <w:tcBorders/>
            <w:shd w:fill="auto" w:val="clear"/>
          </w:tcPr>
          <w:p>
            <w:pPr>
              <w:pStyle w:val="Normal"/>
              <w:spacing w:lineRule="atLeast" w:line="100" w:before="0" w:after="0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Mgr. Andrea Adamčiaková</w:t>
            </w:r>
          </w:p>
        </w:tc>
      </w:tr>
      <w:tr>
        <w:trPr/>
        <w:tc>
          <w:tcPr>
            <w:tcW w:w="2502" w:type="dxa"/>
            <w:tcBorders/>
            <w:shd w:fill="auto" w:val="clear"/>
          </w:tcPr>
          <w:p>
            <w:pPr>
              <w:pStyle w:val="Normal"/>
              <w:spacing w:lineRule="atLeast" w:line="10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Zástupca starostu: </w:t>
            </w:r>
          </w:p>
        </w:tc>
        <w:tc>
          <w:tcPr>
            <w:tcW w:w="3738" w:type="dxa"/>
            <w:tcBorders/>
            <w:shd w:fill="auto" w:val="clear"/>
          </w:tcPr>
          <w:p>
            <w:pPr>
              <w:pStyle w:val="Normal"/>
              <w:spacing w:lineRule="atLeast" w:line="100" w:before="0" w:after="0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Ing. Andrej Lúčan</w:t>
            </w:r>
          </w:p>
        </w:tc>
      </w:tr>
      <w:tr>
        <w:trPr/>
        <w:tc>
          <w:tcPr>
            <w:tcW w:w="2502" w:type="dxa"/>
            <w:tcBorders/>
            <w:shd w:fill="auto" w:val="clear"/>
          </w:tcPr>
          <w:p>
            <w:pPr>
              <w:pStyle w:val="Normal"/>
              <w:spacing w:lineRule="atLeast" w:line="10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Hlavný kontrolór obce </w:t>
            </w:r>
          </w:p>
        </w:tc>
        <w:tc>
          <w:tcPr>
            <w:tcW w:w="3738" w:type="dxa"/>
            <w:tcBorders/>
            <w:shd w:fill="auto" w:val="clear"/>
          </w:tcPr>
          <w:p>
            <w:pPr>
              <w:pStyle w:val="Normal"/>
              <w:spacing w:lineRule="atLeast" w:line="100" w:before="0" w:after="0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PhDr. Desana Stromková</w:t>
            </w:r>
          </w:p>
          <w:p>
            <w:pPr>
              <w:pStyle w:val="Normal"/>
              <w:spacing w:lineRule="atLeast" w:line="10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lineRule="atLeast" w:line="100" w:before="0" w:after="0"/>
              <w:rPr/>
            </w:pPr>
            <w:r>
              <w:rPr/>
            </w:r>
          </w:p>
        </w:tc>
      </w:tr>
      <w:tr>
        <w:trPr/>
        <w:tc>
          <w:tcPr>
            <w:tcW w:w="2502" w:type="dxa"/>
            <w:tcBorders/>
            <w:shd w:fill="auto" w:val="clear"/>
          </w:tcPr>
          <w:p>
            <w:pPr>
              <w:pStyle w:val="Normal"/>
              <w:snapToGrid w:val="false"/>
              <w:spacing w:lineRule="atLeast" w:line="10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738" w:type="dxa"/>
            <w:tcBorders/>
            <w:shd w:fill="auto" w:val="clear"/>
          </w:tcPr>
          <w:p>
            <w:pPr>
              <w:pStyle w:val="Normal"/>
              <w:snapToGrid w:val="false"/>
              <w:spacing w:lineRule="atLeast" w:line="10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keepNext w:val="true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Materská škola </w:t>
      </w:r>
      <w:r>
        <w:rPr>
          <w:rFonts w:cs="Times New Roman" w:ascii="Times New Roman" w:hAnsi="Times New Roman"/>
          <w:bCs/>
          <w:sz w:val="24"/>
          <w:szCs w:val="24"/>
        </w:rPr>
        <w:t>s právnou subjektivitou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bCs/>
          <w:iCs/>
          <w:sz w:val="24"/>
          <w:szCs w:val="24"/>
        </w:rPr>
      </w:pPr>
      <w:r>
        <w:rPr>
          <w:rFonts w:cs="Times New Roman" w:ascii="Times New Roman" w:hAnsi="Times New Roman"/>
          <w:b/>
          <w:bCs/>
          <w:iCs/>
          <w:sz w:val="24"/>
          <w:szCs w:val="24"/>
        </w:rPr>
        <w:t>Riaditeľka</w:t>
      </w:r>
      <w:r>
        <w:rPr>
          <w:rFonts w:cs="Times New Roman" w:ascii="Times New Roman" w:hAnsi="Times New Roman"/>
          <w:b/>
          <w:bCs/>
          <w:i/>
          <w:iCs/>
          <w:sz w:val="24"/>
          <w:szCs w:val="24"/>
        </w:rPr>
        <w:t>:</w:t>
      </w:r>
      <w:r>
        <w:rPr>
          <w:rFonts w:cs="Times New Roman" w:ascii="Times New Roman" w:hAnsi="Times New Roman"/>
          <w:i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Mgr. Miriam Čupková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iCs/>
          <w:sz w:val="24"/>
          <w:szCs w:val="24"/>
        </w:rPr>
        <w:t>Počet žiakov: 34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Materská škola v Gôtovanoch hospodári s vlastnými  finančnými prostriedkami a je napojená na rozpočet obce.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W w:w="9401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661"/>
        <w:gridCol w:w="3626"/>
        <w:gridCol w:w="2114"/>
      </w:tblGrid>
      <w:tr>
        <w:trPr>
          <w:trHeight w:val="753" w:hRule="atLeast"/>
        </w:trPr>
        <w:tc>
          <w:tcPr>
            <w:tcW w:w="3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tLeast" w:line="10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18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18"/>
                <w:szCs w:val="24"/>
              </w:rPr>
            </w:r>
          </w:p>
          <w:p>
            <w:pPr>
              <w:pStyle w:val="Normal"/>
              <w:spacing w:lineRule="atLeast" w:line="10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18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18"/>
                <w:szCs w:val="24"/>
              </w:rPr>
              <w:t>Organizácia – účtovná jednotka</w:t>
            </w:r>
          </w:p>
          <w:p>
            <w:pPr>
              <w:pStyle w:val="Normal"/>
              <w:spacing w:lineRule="atLeast" w:line="10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18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18"/>
                <w:szCs w:val="24"/>
              </w:rPr>
            </w:r>
          </w:p>
          <w:p>
            <w:pPr>
              <w:pStyle w:val="Normal"/>
              <w:spacing w:lineRule="atLeast" w:line="10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18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18"/>
                <w:szCs w:val="24"/>
              </w:rPr>
            </w:r>
          </w:p>
        </w:tc>
        <w:tc>
          <w:tcPr>
            <w:tcW w:w="3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ind w:left="400" w:hanging="0"/>
              <w:jc w:val="center"/>
              <w:rPr>
                <w:rFonts w:ascii="Times New Roman" w:hAnsi="Times New Roman" w:cs="Times New Roman"/>
                <w:b/>
                <w:b/>
                <w:bCs/>
                <w:sz w:val="18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18"/>
                <w:szCs w:val="24"/>
              </w:rPr>
              <w:t>priemerný počet zamestnancov</w:t>
            </w:r>
          </w:p>
          <w:p>
            <w:pPr>
              <w:pStyle w:val="Normal"/>
              <w:spacing w:lineRule="atLeast" w:line="100" w:before="0" w:after="0"/>
              <w:ind w:left="373" w:hanging="0"/>
              <w:jc w:val="center"/>
              <w:rPr>
                <w:rFonts w:ascii="Times New Roman" w:hAnsi="Times New Roman" w:cs="Times New Roman"/>
                <w:b/>
                <w:b/>
                <w:bCs/>
                <w:sz w:val="18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18"/>
                <w:szCs w:val="24"/>
              </w:rPr>
              <w:t>konsolidovaného celku počas</w:t>
            </w:r>
          </w:p>
          <w:p>
            <w:pPr>
              <w:pStyle w:val="Normal"/>
              <w:spacing w:lineRule="atLeast" w:line="100" w:before="0" w:after="0"/>
              <w:ind w:left="373" w:hanging="0"/>
              <w:jc w:val="center"/>
              <w:rPr>
                <w:rFonts w:ascii="Times New Roman" w:hAnsi="Times New Roman" w:cs="Times New Roman"/>
                <w:b/>
                <w:b/>
                <w:bCs/>
                <w:sz w:val="18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18"/>
                <w:szCs w:val="24"/>
              </w:rPr>
              <w:t>účtovného obdobia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tLeast" w:line="100" w:before="0" w:after="0"/>
              <w:ind w:left="579" w:hanging="0"/>
              <w:jc w:val="center"/>
              <w:rPr>
                <w:rFonts w:ascii="Times New Roman" w:hAnsi="Times New Roman" w:cs="Times New Roman"/>
                <w:b/>
                <w:b/>
                <w:bCs/>
                <w:sz w:val="18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18"/>
                <w:szCs w:val="24"/>
              </w:rPr>
            </w:r>
          </w:p>
          <w:p>
            <w:pPr>
              <w:pStyle w:val="Normal"/>
              <w:spacing w:lineRule="atLeast" w:line="10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bCs/>
                <w:sz w:val="18"/>
                <w:szCs w:val="24"/>
              </w:rPr>
              <w:t>Z toho riadiacich</w:t>
            </w:r>
          </w:p>
        </w:tc>
      </w:tr>
      <w:tr>
        <w:trPr/>
        <w:tc>
          <w:tcPr>
            <w:tcW w:w="3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rFonts w:ascii="Times New Roman" w:hAnsi="Times New Roman" w:cs="Times New Roman"/>
                <w:b/>
                <w:b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Obec Gôtovany</w:t>
            </w:r>
          </w:p>
        </w:tc>
        <w:tc>
          <w:tcPr>
            <w:tcW w:w="3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1</w:t>
            </w:r>
          </w:p>
        </w:tc>
      </w:tr>
      <w:tr>
        <w:trPr>
          <w:trHeight w:val="121" w:hRule="atLeast"/>
        </w:trPr>
        <w:tc>
          <w:tcPr>
            <w:tcW w:w="3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rFonts w:ascii="Times New Roman" w:hAnsi="Times New Roman" w:cs="Times New Roman"/>
                <w:b/>
                <w:b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Materská škola</w:t>
            </w:r>
          </w:p>
        </w:tc>
        <w:tc>
          <w:tcPr>
            <w:tcW w:w="3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1</w:t>
            </w:r>
          </w:p>
        </w:tc>
      </w:tr>
      <w:tr>
        <w:trPr>
          <w:trHeight w:val="121" w:hRule="atLeast"/>
        </w:trPr>
        <w:tc>
          <w:tcPr>
            <w:tcW w:w="3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rFonts w:ascii="Times New Roman" w:hAnsi="Times New Roman" w:cs="Times New Roman"/>
                <w:b/>
                <w:b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</w:r>
          </w:p>
          <w:p>
            <w:pPr>
              <w:pStyle w:val="Normal"/>
              <w:spacing w:lineRule="atLeast" w:line="100" w:before="0" w:after="0"/>
              <w:rPr>
                <w:rFonts w:ascii="Times New Roman" w:hAnsi="Times New Roman" w:cs="Times New Roman"/>
                <w:b/>
                <w:b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Celkom</w:t>
            </w:r>
          </w:p>
        </w:tc>
        <w:tc>
          <w:tcPr>
            <w:tcW w:w="3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i/>
          <w:i/>
          <w:iCs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iCs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iCs/>
          <w:sz w:val="24"/>
          <w:szCs w:val="24"/>
        </w:rPr>
        <w:t>Informácia o splnení predpokladu nepretržitého pokračovania v činnosti účtovnej jednotky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Konsolidovaná účtovná závierka Obce bola zostavená za predpokladu nepretržitého trvania činnosti v súlade so zákonom o účtovníctve a nadväzujúcimi právnymi predpismi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b/>
          <w:b/>
          <w:bCs/>
          <w:i/>
          <w:i/>
          <w:iCs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.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iCs/>
          <w:sz w:val="24"/>
          <w:szCs w:val="24"/>
        </w:rPr>
        <w:t>Informácie o metódach oceňovania použitých pri ocenení jednotlivých položiek konsolidovanej účtovnej závierky obce Gôtovany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Pri oceňovaní majetku a záväzkov sa uplatňuje zásada opatrnosti. Za základ sa berú všetky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riziká, straty a zníženia hodnoty, ktoré sa týkajú majetku a záväzkov a sú známe ku dňu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zostavenia účtovnej závierky.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Dlhodobý nehmotný a hmotný majetok nakupovaný </w:t>
      </w:r>
      <w:r>
        <w:rPr>
          <w:rFonts w:cs="Times New Roman" w:ascii="Times New Roman" w:hAnsi="Times New Roman"/>
          <w:sz w:val="24"/>
          <w:szCs w:val="24"/>
        </w:rPr>
        <w:t>sa oceňuje obstarávacou cenou, ktorá zahrňuje cenu, za ktorú sa majetok obstaral ako aj náklady súvisiace s jeho obstaraním (dopravné, montáž a pod.).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Dlhodobý majetok vytvorený vlastnou činnosťou </w:t>
      </w:r>
      <w:r>
        <w:rPr>
          <w:rFonts w:cs="Times New Roman" w:ascii="Times New Roman" w:hAnsi="Times New Roman"/>
          <w:sz w:val="24"/>
          <w:szCs w:val="24"/>
        </w:rPr>
        <w:t>sa oceňuje vlastnými nákladmi, ktoré predstavujú všetky priame náklady vynaložené na výrobu alebo inú činnosť a všetky</w:t>
      </w:r>
    </w:p>
    <w:p>
      <w:pPr>
        <w:pStyle w:val="Normal"/>
        <w:spacing w:lineRule="atLeast" w:line="100" w:before="0" w:after="0"/>
        <w:ind w:left="360" w:hanging="0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nepriame náklady vzťahujúce sa na výrobu alebo inú činnosť.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Dlhodobý nehmotný a hmotný majetok získaný bezodplatne </w:t>
      </w:r>
      <w:r>
        <w:rPr>
          <w:rFonts w:cs="Times New Roman" w:ascii="Times New Roman" w:hAnsi="Times New Roman"/>
          <w:sz w:val="24"/>
          <w:szCs w:val="24"/>
        </w:rPr>
        <w:t>sa oceňuje reprodukčnou</w:t>
      </w:r>
    </w:p>
    <w:p>
      <w:pPr>
        <w:pStyle w:val="Normal"/>
        <w:spacing w:lineRule="atLeast" w:line="100" w:before="0" w:after="0"/>
        <w:ind w:left="36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obstarávacou cenou, teda cenou, za ktorú by sa majetok obstaral v čase, keď sa o ňom</w:t>
      </w:r>
    </w:p>
    <w:p>
      <w:pPr>
        <w:pStyle w:val="Normal"/>
        <w:spacing w:lineRule="atLeast" w:line="100" w:before="0" w:after="0"/>
        <w:ind w:left="360" w:hanging="0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účtuje.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Dlhodobý majetok nadobudnutý prevodom správy </w:t>
      </w:r>
      <w:r>
        <w:rPr>
          <w:rFonts w:cs="Times New Roman" w:ascii="Times New Roman" w:hAnsi="Times New Roman"/>
          <w:sz w:val="24"/>
          <w:szCs w:val="24"/>
        </w:rPr>
        <w:t>sa oceňuje cenou, v ktorej sa doteraz viedol v účtovníctve.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Dlhodobý finančný majetok </w:t>
      </w:r>
      <w:r>
        <w:rPr>
          <w:rFonts w:cs="Times New Roman" w:ascii="Times New Roman" w:hAnsi="Times New Roman"/>
          <w:sz w:val="24"/>
          <w:szCs w:val="24"/>
        </w:rPr>
        <w:t>sa oceňuje obstarávacou cenou.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Nakupované zásoby </w:t>
      </w:r>
      <w:r>
        <w:rPr>
          <w:rFonts w:cs="Times New Roman" w:ascii="Times New Roman" w:hAnsi="Times New Roman"/>
          <w:sz w:val="24"/>
          <w:szCs w:val="24"/>
        </w:rPr>
        <w:t>sa oceňujú obstarávacou cenou, ktorá zahrňuje cenu, za ktorú sa</w:t>
      </w:r>
    </w:p>
    <w:p>
      <w:pPr>
        <w:pStyle w:val="Normal"/>
        <w:spacing w:lineRule="atLeast" w:line="100" w:before="0" w:after="0"/>
        <w:ind w:left="36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majetok obstaral ako aj náklady súvisiace s jeho obstaraním (napr.: prepravné,  provízia,</w:t>
      </w:r>
    </w:p>
    <w:p>
      <w:pPr>
        <w:pStyle w:val="Normal"/>
        <w:spacing w:lineRule="atLeast" w:line="100" w:before="0" w:after="0"/>
        <w:ind w:left="360" w:hanging="0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poistné a zľavy).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Zásoby vytvorené vlastnou činnosťou </w:t>
      </w:r>
      <w:r>
        <w:rPr>
          <w:rFonts w:cs="Times New Roman" w:ascii="Times New Roman" w:hAnsi="Times New Roman"/>
          <w:sz w:val="24"/>
          <w:szCs w:val="24"/>
        </w:rPr>
        <w:t>sa oceňujú vlastnými nákladmi, ktoré predstavujú všetky priame náklady vynaložené na tvorbu zásob ako aj časťou nepriamych nákladov, ktoré sa k tvorbe zásob vzťahujú.</w:t>
      </w:r>
    </w:p>
    <w:p>
      <w:pPr>
        <w:pStyle w:val="Odstavecseseznamem1"/>
        <w:spacing w:lineRule="atLeast" w:line="100" w:before="0" w:after="0"/>
        <w:ind w:left="0" w:hanging="0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Odstavecseseznamem1"/>
        <w:spacing w:lineRule="atLeast" w:line="100" w:before="0" w:after="0"/>
        <w:ind w:left="0" w:hanging="0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Odstavecseseznamem1"/>
        <w:spacing w:lineRule="atLeast" w:line="100" w:before="0" w:after="0"/>
        <w:ind w:left="0" w:hanging="0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Cenné papiere a podiely </w:t>
      </w:r>
      <w:r>
        <w:rPr>
          <w:rFonts w:cs="Times New Roman" w:ascii="Times New Roman" w:hAnsi="Times New Roman"/>
          <w:sz w:val="24"/>
          <w:szCs w:val="24"/>
        </w:rPr>
        <w:t>sa oceňujú obstarávacími cenami, vrátane nákladov súvisiacich  s obstaraním.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Pohľadávky </w:t>
      </w:r>
      <w:r>
        <w:rPr>
          <w:rFonts w:cs="Times New Roman" w:ascii="Times New Roman" w:hAnsi="Times New Roman"/>
          <w:sz w:val="24"/>
          <w:szCs w:val="24"/>
        </w:rPr>
        <w:t>sa pri ich vzniku sa oceňujú menovitou hodnotou.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Krátkodobý finančný majetok - peňažné prostriedky a ceniny </w:t>
      </w:r>
      <w:r>
        <w:rPr>
          <w:rFonts w:cs="Times New Roman" w:ascii="Times New Roman" w:hAnsi="Times New Roman"/>
          <w:sz w:val="24"/>
          <w:szCs w:val="24"/>
        </w:rPr>
        <w:t xml:space="preserve">sa oceňujú ich    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menovitou hodnotou.</w:t>
      </w:r>
    </w:p>
    <w:p>
      <w:pPr>
        <w:pStyle w:val="Odstavecseseznamem1"/>
        <w:numPr>
          <w:ilvl w:val="0"/>
          <w:numId w:val="1"/>
        </w:numPr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Záväzky </w:t>
      </w:r>
      <w:r>
        <w:rPr>
          <w:rFonts w:cs="Times New Roman" w:ascii="Times New Roman" w:hAnsi="Times New Roman"/>
          <w:sz w:val="24"/>
          <w:szCs w:val="24"/>
        </w:rPr>
        <w:t>sa pri ich vzniku sa oceňujú menovitou hodnotou.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Záväzky </w:t>
      </w:r>
      <w:r>
        <w:rPr>
          <w:rFonts w:cs="Times New Roman" w:ascii="Times New Roman" w:hAnsi="Times New Roman"/>
          <w:sz w:val="24"/>
          <w:szCs w:val="24"/>
        </w:rPr>
        <w:t>sa pri ich prevzatí oceňujú obstarávacou cenou.</w:t>
      </w:r>
    </w:p>
    <w:p>
      <w:pPr>
        <w:pStyle w:val="Normal"/>
        <w:spacing w:lineRule="atLeast" w:line="100" w:before="0" w:after="0"/>
        <w:ind w:left="36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Ak sa pri inventarizácii zistí, že suma záväzkov je iná ako ich výška v účtovníctve, uvedú </w:t>
      </w:r>
    </w:p>
    <w:p>
      <w:pPr>
        <w:pStyle w:val="Normal"/>
        <w:spacing w:lineRule="atLeast" w:line="100" w:before="0" w:after="0"/>
        <w:ind w:left="360" w:hanging="0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sa záväzky v účtovníctve a v účtovnej závierke v tomto zistenom ocenení.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Majetok obstaraný z transferov </w:t>
      </w:r>
      <w:r>
        <w:rPr>
          <w:rFonts w:cs="Times New Roman" w:ascii="Times New Roman" w:hAnsi="Times New Roman"/>
          <w:sz w:val="24"/>
          <w:szCs w:val="24"/>
        </w:rPr>
        <w:t>sa oceňuje obstarávacou cenou.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Čl. II.</w:t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INFORMÁCIE O METÓDACH A POSTUPOCH KONSOLIDÁCIE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Konsolidovaná účtovná závierka Obce bola zostavená v súlade so zákonom č. 431/2002 Z. z.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 účtovníctve v znení neskorších predpisov a v súlade s Opatrením Ministerstva financií Slovenskej republiky zo dňa 17. decembra 2008 č. MF/27526/2008 – 31, ktorým sa ustanovujú podrobnosti o metódach a postupoch konsolidácie vo verejnej správe a podrobnosti o usporiadaní a označovaní položiek konsolidovanej účtovnej závierky vo verejnej správe v znení neskorších predpisov.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b/>
          <w:b/>
          <w:bCs/>
          <w:i/>
          <w:i/>
          <w:iCs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 rámci konsolidácie konsolidovaného celku obce Gôtovany boli eliminované vzájomné pohľadávky, záväzky, náklady a výnosy.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i/>
          <w:i/>
          <w:iCs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iCs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iCs/>
          <w:sz w:val="24"/>
          <w:szCs w:val="24"/>
        </w:rPr>
        <w:t>Zahrnutie konsolidovaných účtovných jednotiek do konsolidovanej účtovnej závierky</w:t>
      </w:r>
    </w:p>
    <w:tbl>
      <w:tblPr>
        <w:tblW w:w="9220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700"/>
        <w:gridCol w:w="1701"/>
        <w:gridCol w:w="1600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Názov resp. obchodné meno konsolidovanej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Metóda úplnej konsolidácie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Metóda podielovej konsolidácie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Metóda vlastného imania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Obec Gôtovany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áno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Materská škola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áno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</w:t>
            </w:r>
          </w:p>
        </w:tc>
      </w:tr>
    </w:tbl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Pri dcérskych účtovných jednotkách bola použitá metóda úplnej konsolidácie.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rPr/>
      </w:pPr>
      <w:r>
        <w:rPr>
          <w:rFonts w:cs="Times New Roman" w:ascii="Times New Roman" w:hAnsi="Times New Roman"/>
          <w:sz w:val="24"/>
          <w:szCs w:val="24"/>
        </w:rPr>
        <w:t>V roku 202</w:t>
      </w:r>
      <w:r>
        <w:rPr>
          <w:rFonts w:cs="Times New Roman" w:ascii="Times New Roman" w:hAnsi="Times New Roman"/>
          <w:sz w:val="24"/>
          <w:szCs w:val="24"/>
        </w:rPr>
        <w:t>2</w:t>
      </w:r>
      <w:r>
        <w:rPr>
          <w:rFonts w:cs="Times New Roman" w:ascii="Times New Roman" w:hAnsi="Times New Roman"/>
          <w:sz w:val="24"/>
          <w:szCs w:val="24"/>
        </w:rPr>
        <w:t>, rovnako ako v predchádzajúcich účtovných obdobiach, sa medzi účtovnými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jednotkami konsolidovaného celku Obce Gôtovany neuskutočnil nákup, resp. predaj majetku, preto nebolo potrebné vykonať konsolidáciu medzivýsledku.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Čl. III.</w:t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INFORMÁCIE O ÚDAJOCH AKTÍV A PASÍV</w:t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a) Konsolidovaný celok verejnej správy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- uvedené v tabuľke č. 1 – </w:t>
      </w:r>
      <w:r>
        <w:rPr>
          <w:rFonts w:cs="Times New Roman" w:ascii="Times New Roman" w:hAnsi="Times New Roman"/>
          <w:i/>
          <w:iCs/>
          <w:sz w:val="24"/>
          <w:szCs w:val="24"/>
        </w:rPr>
        <w:t>Údaje o konsolidovanom celku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rPr/>
      </w:pPr>
      <w:r>
        <w:rPr>
          <w:rFonts w:cs="Times New Roman" w:ascii="Times New Roman" w:hAnsi="Times New Roman"/>
          <w:b/>
          <w:bCs/>
          <w:sz w:val="24"/>
          <w:szCs w:val="24"/>
        </w:rPr>
        <w:t>b) Aktíva a pasíva za konsolidovaný celok: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V konsolidovanej súvahe k 31.12.202</w:t>
      </w:r>
      <w:r>
        <w:rPr>
          <w:rFonts w:cs="Times New Roman" w:ascii="Times New Roman" w:hAnsi="Times New Roman"/>
          <w:color w:val="auto"/>
          <w:sz w:val="24"/>
          <w:szCs w:val="24"/>
        </w:rPr>
        <w:t>2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je na strane aktív vykázaný majetok spolu vo výške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netto 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1.160.735,63 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Eur, z toho neobežný majetok predstavuje </w:t>
      </w:r>
      <w:r>
        <w:rPr>
          <w:rFonts w:cs="Times New Roman" w:ascii="Times New Roman" w:hAnsi="Times New Roman"/>
          <w:color w:val="auto"/>
          <w:sz w:val="24"/>
          <w:szCs w:val="24"/>
        </w:rPr>
        <w:t>977.481,90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 a obežný</w:t>
      </w:r>
    </w:p>
    <w:p>
      <w:pPr>
        <w:pStyle w:val="Normal"/>
        <w:spacing w:lineRule="atLeast" w:line="100" w:before="0" w:after="0"/>
        <w:rPr>
          <w:color w:val="CE181E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majetok </w:t>
      </w:r>
      <w:r>
        <w:rPr>
          <w:rFonts w:cs="Times New Roman" w:ascii="Times New Roman" w:hAnsi="Times New Roman"/>
          <w:color w:val="auto"/>
          <w:sz w:val="24"/>
          <w:szCs w:val="24"/>
        </w:rPr>
        <w:t>182.358,48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 Eur. Časové rozlíšenie na strane aktív – náklady a príjmy budúcich období činí 1.</w:t>
      </w:r>
      <w:r>
        <w:rPr>
          <w:rFonts w:cs="Times New Roman" w:ascii="Times New Roman" w:hAnsi="Times New Roman"/>
          <w:color w:val="auto"/>
          <w:sz w:val="24"/>
          <w:szCs w:val="24"/>
        </w:rPr>
        <w:t>496,28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Eur. V porovnaní s rokom 202</w:t>
      </w:r>
      <w:r>
        <w:rPr>
          <w:rFonts w:cs="Times New Roman" w:ascii="Times New Roman" w:hAnsi="Times New Roman"/>
          <w:color w:val="auto"/>
          <w:sz w:val="24"/>
          <w:szCs w:val="24"/>
        </w:rPr>
        <w:t>1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došlo k zníženiu celkovej hodnoty majetku o </w:t>
      </w:r>
      <w:r>
        <w:rPr>
          <w:rFonts w:cs="Times New Roman" w:ascii="Times New Roman" w:hAnsi="Times New Roman"/>
          <w:color w:val="auto"/>
          <w:sz w:val="24"/>
          <w:szCs w:val="24"/>
        </w:rPr>
        <w:t>18.427,99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 a to znížením neobežného majetku o </w:t>
      </w:r>
      <w:r>
        <w:rPr>
          <w:rFonts w:cs="Times New Roman" w:ascii="Times New Roman" w:hAnsi="Times New Roman"/>
          <w:color w:val="auto"/>
          <w:sz w:val="24"/>
          <w:szCs w:val="24"/>
        </w:rPr>
        <w:t>7.510,45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Eur, </w:t>
      </w:r>
      <w:r>
        <w:rPr>
          <w:rFonts w:cs="Times New Roman" w:ascii="Times New Roman" w:hAnsi="Times New Roman"/>
          <w:color w:val="auto"/>
          <w:sz w:val="24"/>
          <w:szCs w:val="24"/>
        </w:rPr>
        <w:t>znížením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obežného majetku o </w:t>
      </w:r>
      <w:r>
        <w:rPr>
          <w:rFonts w:cs="Times New Roman" w:ascii="Times New Roman" w:hAnsi="Times New Roman"/>
          <w:color w:val="auto"/>
          <w:sz w:val="24"/>
          <w:szCs w:val="24"/>
        </w:rPr>
        <w:t>10.329,45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 a </w:t>
      </w:r>
      <w:r>
        <w:rPr>
          <w:rFonts w:cs="Times New Roman" w:ascii="Times New Roman" w:hAnsi="Times New Roman"/>
          <w:color w:val="auto"/>
          <w:sz w:val="24"/>
          <w:szCs w:val="24"/>
        </w:rPr>
        <w:t>znížením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časového rozlíšenia o </w:t>
      </w:r>
      <w:r>
        <w:rPr>
          <w:rFonts w:cs="Times New Roman" w:ascii="Times New Roman" w:hAnsi="Times New Roman"/>
          <w:color w:val="auto"/>
          <w:sz w:val="24"/>
          <w:szCs w:val="24"/>
        </w:rPr>
        <w:t>588,09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Eur.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Vlastné imanie a záväzky na strane pasív súhlasia s výškou aktív v hodnote 1.</w:t>
      </w:r>
      <w:r>
        <w:rPr>
          <w:rFonts w:cs="Times New Roman" w:ascii="Times New Roman" w:hAnsi="Times New Roman"/>
          <w:color w:val="auto"/>
          <w:sz w:val="24"/>
          <w:szCs w:val="24"/>
        </w:rPr>
        <w:t>160.735,63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Eur.</w:t>
      </w:r>
    </w:p>
    <w:p>
      <w:pPr>
        <w:pStyle w:val="Normal"/>
        <w:rPr>
          <w:color w:val="CE181E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Vlastné imanie je vykázané vo výške </w:t>
      </w:r>
      <w:r>
        <w:rPr>
          <w:rFonts w:cs="Times New Roman" w:ascii="Times New Roman" w:hAnsi="Times New Roman"/>
          <w:color w:val="auto"/>
          <w:sz w:val="24"/>
          <w:szCs w:val="24"/>
        </w:rPr>
        <w:t>435.988,23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 a záväzky v hodnote 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485.661,70 </w:t>
      </w:r>
      <w:r>
        <w:rPr>
          <w:rFonts w:cs="Times New Roman" w:ascii="Times New Roman" w:hAnsi="Times New Roman"/>
          <w:color w:val="auto"/>
          <w:sz w:val="24"/>
          <w:szCs w:val="24"/>
        </w:rPr>
        <w:t>Eur</w:t>
      </w:r>
      <w:r>
        <w:rPr>
          <w:rFonts w:cs="Times New Roman" w:ascii="Times New Roman" w:hAnsi="Times New Roman"/>
          <w:color w:val="CE181E"/>
          <w:sz w:val="24"/>
          <w:szCs w:val="24"/>
        </w:rPr>
        <w:t>.</w:t>
      </w:r>
    </w:p>
    <w:p>
      <w:pPr>
        <w:pStyle w:val="Normal"/>
        <w:spacing w:lineRule="atLeast" w:line="100" w:before="0" w:after="0"/>
        <w:rPr/>
      </w:pPr>
      <w:r>
        <w:rPr>
          <w:rFonts w:cs="Times New Roman" w:ascii="Times New Roman" w:hAnsi="Times New Roman"/>
          <w:sz w:val="24"/>
          <w:szCs w:val="24"/>
          <w:u w:val="single"/>
        </w:rPr>
        <w:t>Časové rozlíšenie na strane pasív - výdavky a výnosy budúcich ob</w:t>
      </w:r>
      <w:r>
        <w:rPr>
          <w:rFonts w:cs="Times New Roman" w:ascii="Times New Roman" w:hAnsi="Times New Roman"/>
          <w:color w:val="auto"/>
          <w:sz w:val="24"/>
          <w:szCs w:val="24"/>
          <w:u w:val="single"/>
        </w:rPr>
        <w:t xml:space="preserve">dobí - činí </w:t>
      </w:r>
      <w:r>
        <w:rPr>
          <w:rFonts w:cs="Times New Roman" w:ascii="Times New Roman" w:hAnsi="Times New Roman"/>
          <w:color w:val="auto"/>
          <w:sz w:val="24"/>
          <w:szCs w:val="24"/>
          <w:u w:val="single"/>
        </w:rPr>
        <w:t>239.085,70</w:t>
      </w:r>
      <w:r>
        <w:rPr>
          <w:rFonts w:cs="Times New Roman" w:ascii="Times New Roman" w:hAnsi="Times New Roman"/>
          <w:color w:val="auto"/>
          <w:sz w:val="24"/>
          <w:szCs w:val="24"/>
          <w:u w:val="single"/>
        </w:rPr>
        <w:t xml:space="preserve"> Eur.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c) Prehľad a pohybe vlastného imania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Po agregácii činí vlastné imanie za konsolidovaný celok k 31.12.202</w:t>
      </w:r>
      <w:r>
        <w:rPr>
          <w:rFonts w:cs="Times New Roman" w:ascii="Times New Roman" w:hAnsi="Times New Roman"/>
          <w:color w:val="auto"/>
          <w:sz w:val="24"/>
          <w:szCs w:val="24"/>
        </w:rPr>
        <w:t>2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sumu </w:t>
      </w:r>
      <w:r>
        <w:rPr>
          <w:rFonts w:cs="Times New Roman" w:ascii="Times New Roman" w:hAnsi="Times New Roman"/>
          <w:color w:val="auto"/>
          <w:sz w:val="24"/>
          <w:szCs w:val="24"/>
        </w:rPr>
        <w:t>435.988,23</w:t>
      </w:r>
      <w:r>
        <w:rPr>
          <w:rFonts w:cs="Times New Roman" w:ascii="Times New Roman" w:hAnsi="Times New Roman"/>
          <w:color w:val="auto"/>
          <w:sz w:val="24"/>
          <w:szCs w:val="24"/>
        </w:rPr>
        <w:t>Eur.</w:t>
      </w:r>
    </w:p>
    <w:p>
      <w:pPr>
        <w:pStyle w:val="Normal"/>
        <w:spacing w:lineRule="atLeast" w:line="100" w:before="0" w:after="0"/>
        <w:rPr>
          <w:color w:val="CE181E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V porovnaní s rokom 202</w:t>
      </w:r>
      <w:r>
        <w:rPr>
          <w:rFonts w:cs="Times New Roman" w:ascii="Times New Roman" w:hAnsi="Times New Roman"/>
          <w:color w:val="auto"/>
          <w:sz w:val="24"/>
          <w:szCs w:val="24"/>
        </w:rPr>
        <w:t>1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došlo k jeho zvýšeniu o sumu </w:t>
      </w:r>
      <w:r>
        <w:rPr>
          <w:rFonts w:cs="Times New Roman" w:ascii="Times New Roman" w:hAnsi="Times New Roman"/>
          <w:color w:val="auto"/>
          <w:sz w:val="24"/>
          <w:szCs w:val="24"/>
        </w:rPr>
        <w:t>20.644,27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Eur, pričom výsledok hospodárenia za konsolidovaný celok bol vykázaný vo výške </w:t>
      </w:r>
      <w:r>
        <w:rPr>
          <w:rFonts w:cs="Times New Roman" w:ascii="Times New Roman" w:hAnsi="Times New Roman"/>
          <w:color w:val="auto"/>
          <w:sz w:val="24"/>
          <w:szCs w:val="24"/>
        </w:rPr>
        <w:t>20.644,27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 - podrobnejšie údaje uvedené v tabuľke č. 12 – </w:t>
      </w:r>
      <w:r>
        <w:rPr>
          <w:rFonts w:cs="Times New Roman" w:ascii="Times New Roman" w:hAnsi="Times New Roman"/>
          <w:i/>
          <w:iCs/>
          <w:color w:val="auto"/>
          <w:sz w:val="24"/>
          <w:szCs w:val="24"/>
        </w:rPr>
        <w:t>Vlastné imanie</w:t>
      </w:r>
    </w:p>
    <w:p>
      <w:pPr>
        <w:pStyle w:val="Normal"/>
        <w:spacing w:lineRule="atLeast" w:line="100" w:before="0" w:after="0"/>
        <w:rPr/>
      </w:pPr>
      <w:r>
        <w:rPr/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d) Prehľad o pohybe rezerv</w:t>
      </w:r>
    </w:p>
    <w:p>
      <w:pPr>
        <w:pStyle w:val="Normal"/>
        <w:spacing w:lineRule="atLeast" w:line="100" w:before="0" w:after="0"/>
        <w:rPr/>
      </w:pPr>
      <w:r>
        <w:rPr>
          <w:rFonts w:cs="Times New Roman" w:ascii="Times New Roman" w:hAnsi="Times New Roman"/>
          <w:sz w:val="24"/>
          <w:szCs w:val="24"/>
        </w:rPr>
        <w:t xml:space="preserve">Konsolidovaný celok vykazuje tvorenie rezerv na audit v tabuľke č. 13 – </w:t>
      </w:r>
      <w:r>
        <w:rPr>
          <w:rFonts w:cs="Times New Roman" w:ascii="Times New Roman" w:hAnsi="Times New Roman"/>
          <w:i/>
          <w:sz w:val="24"/>
          <w:szCs w:val="24"/>
        </w:rPr>
        <w:t>Rezervy zákonné</w:t>
      </w:r>
      <w:r>
        <w:rPr>
          <w:rFonts w:cs="Times New Roman" w:ascii="Times New Roman" w:hAnsi="Times New Roman"/>
          <w:b/>
          <w:bCs/>
          <w:i/>
          <w:iCs/>
          <w:sz w:val="24"/>
          <w:szCs w:val="24"/>
        </w:rPr>
        <w:t>.</w:t>
      </w:r>
    </w:p>
    <w:p>
      <w:pPr>
        <w:pStyle w:val="Normal"/>
        <w:spacing w:lineRule="atLeast" w:line="100" w:before="0" w:after="0"/>
        <w:rPr/>
      </w:pPr>
      <w:r>
        <w:rPr/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e) Prehľad o pohybe dlhodobého hmotného a nehmotného majetku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Zostatková cena dlhodobého majetku </w:t>
      </w:r>
      <w:r>
        <w:rPr>
          <w:rFonts w:cs="Times New Roman" w:ascii="Times New Roman" w:hAnsi="Times New Roman"/>
          <w:color w:val="auto"/>
          <w:sz w:val="24"/>
          <w:szCs w:val="24"/>
        </w:rPr>
        <w:t>977.481,90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Eur. Z tejto sumy je dlhodobý nehmotný majetok 1.659,70 Eur a dlhodobý hmotný majetok v zostatkovej hodnote </w:t>
      </w:r>
      <w:r>
        <w:rPr>
          <w:rFonts w:cs="Times New Roman" w:ascii="Times New Roman" w:hAnsi="Times New Roman"/>
          <w:color w:val="auto"/>
          <w:sz w:val="24"/>
          <w:szCs w:val="24"/>
        </w:rPr>
        <w:t>883.692,20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Eur. Podrobnejšie údaje uvedené v tabuľke č. 2 – </w:t>
      </w:r>
      <w:r>
        <w:rPr>
          <w:rFonts w:cs="Times New Roman" w:ascii="Times New Roman" w:hAnsi="Times New Roman"/>
          <w:i/>
          <w:iCs/>
          <w:color w:val="auto"/>
          <w:sz w:val="24"/>
          <w:szCs w:val="24"/>
        </w:rPr>
        <w:t xml:space="preserve">Neobežný majetok </w:t>
      </w:r>
      <w:r>
        <w:rPr>
          <w:rFonts w:cs="Times New Roman" w:ascii="Times New Roman" w:hAnsi="Times New Roman"/>
          <w:color w:val="auto"/>
          <w:sz w:val="24"/>
          <w:szCs w:val="24"/>
        </w:rPr>
        <w:t>(r. 9, r. 22 a r. 32)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f) Dlhodobý finančný majetok</w:t>
      </w:r>
    </w:p>
    <w:p>
      <w:pPr>
        <w:pStyle w:val="Normal"/>
        <w:spacing w:lineRule="atLeast" w:line="100" w:before="0" w:after="0"/>
        <w:rPr/>
      </w:pPr>
      <w:r>
        <w:rPr>
          <w:rFonts w:cs="Times New Roman" w:ascii="Times New Roman" w:hAnsi="Times New Roman"/>
          <w:sz w:val="24"/>
          <w:szCs w:val="24"/>
        </w:rPr>
        <w:t>Hodnota dlhodobého finančného majetku v obstarávacej cene bola k 31.12.202</w:t>
      </w:r>
      <w:r>
        <w:rPr>
          <w:rFonts w:cs="Times New Roman" w:ascii="Times New Roman" w:hAnsi="Times New Roman"/>
          <w:sz w:val="24"/>
          <w:szCs w:val="24"/>
        </w:rPr>
        <w:t>2</w:t>
      </w:r>
      <w:r>
        <w:rPr>
          <w:rFonts w:cs="Times New Roman" w:ascii="Times New Roman" w:hAnsi="Times New Roman"/>
          <w:sz w:val="24"/>
          <w:szCs w:val="24"/>
        </w:rPr>
        <w:t xml:space="preserve"> vo výške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92.130,00 Eur. Jedná sa o realizovateľné cenné papiere vo vzťahu k eminentovi - Liptovská vodárenská spoločnosť a.s.. - podrobnejšie údaje uvedené v tabuľke č. 2 – </w:t>
      </w:r>
      <w:r>
        <w:rPr>
          <w:rFonts w:cs="Times New Roman" w:ascii="Times New Roman" w:hAnsi="Times New Roman"/>
          <w:i/>
          <w:iCs/>
          <w:sz w:val="24"/>
          <w:szCs w:val="24"/>
        </w:rPr>
        <w:t xml:space="preserve">Neobežný majetok </w:t>
      </w:r>
      <w:r>
        <w:rPr>
          <w:rFonts w:cs="Times New Roman" w:ascii="Times New Roman" w:hAnsi="Times New Roman"/>
          <w:sz w:val="24"/>
          <w:szCs w:val="24"/>
        </w:rPr>
        <w:t>(r. 25 a 31)                                          )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g) Zásoby</w:t>
      </w:r>
    </w:p>
    <w:p>
      <w:pPr>
        <w:pStyle w:val="Normal"/>
        <w:spacing w:lineRule="atLeast" w:line="100" w:before="0" w:after="0"/>
        <w:rPr/>
      </w:pPr>
      <w:r>
        <w:rPr>
          <w:rFonts w:cs="Times New Roman" w:ascii="Times New Roman" w:hAnsi="Times New Roman"/>
          <w:sz w:val="24"/>
          <w:szCs w:val="24"/>
        </w:rPr>
        <w:t>Zásoby sú v konsolidovanej súvahe vykázané spolu vo výške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</w:t>
      </w:r>
      <w:r>
        <w:rPr>
          <w:rFonts w:cs="Times New Roman" w:ascii="Times New Roman" w:hAnsi="Times New Roman"/>
          <w:color w:val="auto"/>
          <w:sz w:val="24"/>
          <w:szCs w:val="24"/>
        </w:rPr>
        <w:t>0,00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Eur. V ú</w:t>
      </w:r>
      <w:r>
        <w:rPr>
          <w:rFonts w:cs="Times New Roman" w:ascii="Times New Roman" w:hAnsi="Times New Roman"/>
          <w:sz w:val="24"/>
          <w:szCs w:val="24"/>
        </w:rPr>
        <w:t>čtovnom období zároveň konsolidovaný celok nevykazuje tvorbu, zníženie ani zrušenie opravnej položky k zásobám.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h) Dlhodobé pohľadávky</w:t>
      </w:r>
    </w:p>
    <w:p>
      <w:pPr>
        <w:pStyle w:val="Normal"/>
        <w:spacing w:lineRule="atLeast" w:line="100" w:before="0" w:after="0"/>
        <w:rPr/>
      </w:pPr>
      <w:r>
        <w:rPr>
          <w:rFonts w:cs="Times New Roman" w:ascii="Times New Roman" w:hAnsi="Times New Roman"/>
          <w:sz w:val="24"/>
          <w:szCs w:val="24"/>
        </w:rPr>
        <w:t>Konsolidovaný celok vykazuje dlhodobé pohľadávky vo výšk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e </w:t>
      </w:r>
      <w:r>
        <w:rPr>
          <w:rFonts w:cs="Times New Roman" w:ascii="Times New Roman" w:hAnsi="Times New Roman"/>
          <w:color w:val="auto"/>
          <w:sz w:val="24"/>
          <w:szCs w:val="24"/>
        </w:rPr>
        <w:t>64,28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Eur. Jedná sa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vystavené faktúry a ostatné pohľadávky.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i) Krátkodobé pohľadávky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V súvahe za konsolidovaný celok sú vykázané krátkodobé pohľadávky vo výške </w:t>
      </w:r>
      <w:r>
        <w:rPr>
          <w:rFonts w:cs="Times New Roman" w:ascii="Times New Roman" w:hAnsi="Times New Roman"/>
          <w:color w:val="auto"/>
          <w:sz w:val="24"/>
          <w:szCs w:val="24"/>
        </w:rPr>
        <w:t>2.597,89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Eur, ktoré v celom podiele zúčtovala obec Gôtovany.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315- Ostatné pohľadávky </w:t>
      </w: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657,94 </w:t>
      </w:r>
      <w:r>
        <w:rPr>
          <w:rFonts w:cs="Times New Roman" w:ascii="Times New Roman" w:hAnsi="Times New Roman"/>
          <w:color w:val="auto"/>
          <w:sz w:val="24"/>
          <w:szCs w:val="24"/>
        </w:rPr>
        <w:t>EUR (vyúčtovanie elektriky a vodného)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318– Pohľadávka z nedaňových príjmov  </w:t>
      </w:r>
      <w:r>
        <w:rPr>
          <w:rFonts w:cs="Times New Roman" w:ascii="Times New Roman" w:hAnsi="Times New Roman"/>
          <w:b/>
          <w:color w:val="auto"/>
          <w:sz w:val="24"/>
          <w:szCs w:val="24"/>
        </w:rPr>
        <w:t>1.496,28</w:t>
      </w: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 </w:t>
      </w:r>
      <w:r>
        <w:rPr>
          <w:rFonts w:cs="Times New Roman" w:ascii="Times New Roman" w:hAnsi="Times New Roman"/>
          <w:color w:val="auto"/>
          <w:sz w:val="24"/>
          <w:szCs w:val="24"/>
        </w:rPr>
        <w:t>EUR</w:t>
      </w: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 </w:t>
      </w:r>
      <w:r>
        <w:rPr>
          <w:rFonts w:cs="Times New Roman" w:ascii="Times New Roman" w:hAnsi="Times New Roman"/>
          <w:color w:val="auto"/>
          <w:sz w:val="24"/>
          <w:szCs w:val="24"/>
        </w:rPr>
        <w:t>(nájomné, komunálny odpad, ČOV..)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319- Pohľadávky z daňových príjmov </w:t>
      </w: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362,92 </w:t>
      </w:r>
      <w:r>
        <w:rPr>
          <w:rFonts w:cs="Times New Roman" w:ascii="Times New Roman" w:hAnsi="Times New Roman"/>
          <w:color w:val="auto"/>
          <w:sz w:val="24"/>
          <w:szCs w:val="24"/>
        </w:rPr>
        <w:t>EUR (daň z nehnuteľnosti, daň za psa )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335 – Pohľadávky voči zamestnancom </w:t>
      </w: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80,75 </w:t>
      </w:r>
      <w:r>
        <w:rPr>
          <w:rFonts w:cs="Times New Roman" w:ascii="Times New Roman" w:hAnsi="Times New Roman"/>
          <w:color w:val="auto"/>
          <w:sz w:val="24"/>
          <w:szCs w:val="24"/>
        </w:rPr>
        <w:t>EUR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V účtovnom období zároveň konsolidovaný celok nevykazuje tvorbu, zníženie ani zrušenie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opravnej položky ku krátkodobým pohľadávkam.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j) Finančné účty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Hodnota finančných účtov obce a materskej školy (RO) je </w:t>
      </w:r>
      <w:r>
        <w:rPr>
          <w:rFonts w:cs="Times New Roman" w:ascii="Times New Roman" w:hAnsi="Times New Roman"/>
          <w:color w:val="auto"/>
          <w:sz w:val="24"/>
          <w:szCs w:val="24"/>
        </w:rPr>
        <w:t>179.696,31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CE181E"/>
          <w:sz w:val="24"/>
          <w:szCs w:val="24"/>
        </w:rPr>
      </w:pPr>
      <w:r>
        <w:rPr>
          <w:rFonts w:cs="Times New Roman" w:ascii="Times New Roman" w:hAnsi="Times New Roman"/>
          <w:color w:val="CE181E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k) Poskytnuté finančné výpomoci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Konsolidovaný celok nevykazuje žiadne poskytnuté finančné výpomoci.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l) Časové rozlíšenie na strane aktív</w:t>
      </w:r>
    </w:p>
    <w:p>
      <w:pPr>
        <w:pStyle w:val="Normal"/>
        <w:spacing w:lineRule="atLeast" w:line="100" w:before="0" w:after="0"/>
        <w:rPr/>
      </w:pPr>
      <w:r>
        <w:rPr>
          <w:rFonts w:cs="Times New Roman" w:ascii="Times New Roman" w:hAnsi="Times New Roman"/>
          <w:sz w:val="24"/>
          <w:szCs w:val="24"/>
        </w:rPr>
        <w:t xml:space="preserve">Časové rozlíšenie je za celý konsolidovaný celok vo výške </w:t>
      </w:r>
      <w:r>
        <w:rPr>
          <w:rFonts w:cs="Times New Roman" w:ascii="Times New Roman" w:hAnsi="Times New Roman"/>
          <w:sz w:val="24"/>
          <w:szCs w:val="24"/>
        </w:rPr>
        <w:t>895,25</w:t>
      </w:r>
      <w:r>
        <w:rPr>
          <w:rFonts w:cs="Times New Roman" w:ascii="Times New Roman" w:hAnsi="Times New Roman"/>
          <w:color w:val="CE181E"/>
          <w:sz w:val="24"/>
          <w:szCs w:val="24"/>
        </w:rPr>
        <w:t xml:space="preserve"> </w:t>
      </w:r>
      <w:r>
        <w:rPr>
          <w:rFonts w:cs="Times New Roman" w:ascii="Times New Roman" w:hAnsi="Times New Roman"/>
          <w:color w:val="auto"/>
          <w:sz w:val="24"/>
          <w:szCs w:val="24"/>
        </w:rPr>
        <w:t>Eur. Celú sumu tvoria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náklady budúcich období. 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Viď. tabuľka č. 10 – </w:t>
      </w:r>
      <w:r>
        <w:rPr>
          <w:rFonts w:cs="Times New Roman" w:ascii="Times New Roman" w:hAnsi="Times New Roman"/>
          <w:i/>
          <w:iCs/>
          <w:sz w:val="24"/>
          <w:szCs w:val="24"/>
        </w:rPr>
        <w:t>Časové rozlíšenie na strane aktív – náklady budúcich období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m) Dlhodobé záväzky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Záväzky za celý konsolidovaný celok činia </w:t>
      </w:r>
      <w:r>
        <w:rPr>
          <w:rFonts w:cs="Times New Roman" w:ascii="Times New Roman" w:hAnsi="Times New Roman"/>
          <w:color w:val="auto"/>
          <w:sz w:val="24"/>
          <w:szCs w:val="24"/>
        </w:rPr>
        <w:t>467.241,88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Eur. Z toho </w:t>
      </w:r>
      <w:r>
        <w:rPr>
          <w:rFonts w:cs="Times New Roman" w:ascii="Times New Roman" w:hAnsi="Times New Roman"/>
          <w:color w:val="auto"/>
          <w:sz w:val="24"/>
          <w:szCs w:val="24"/>
        </w:rPr>
        <w:t>2.740,98</w:t>
      </w:r>
      <w:r>
        <w:rPr>
          <w:rFonts w:cs="Times New Roman" w:ascii="Times New Roman" w:hAnsi="Times New Roman"/>
          <w:color w:val="auto"/>
          <w:sz w:val="24"/>
          <w:szCs w:val="24"/>
        </w:rPr>
        <w:t>Eur sú záväzky zo sociálneho fondu (472 - zostatok FP na účte SF), </w:t>
      </w:r>
      <w:r>
        <w:rPr>
          <w:rFonts w:cs="Times New Roman" w:ascii="Times New Roman" w:hAnsi="Times New Roman"/>
          <w:color w:val="auto"/>
          <w:sz w:val="24"/>
          <w:szCs w:val="24"/>
        </w:rPr>
        <w:t>443.225,74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 sú záväzky voči ŠFRB a 21.275,16 Eur sú záväzky Garančného fondu.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Vykazované dlhodobé záväzky sú všetky v lehote splatnosti, so zostatkovou dobou splatnosti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Viď. tabuľka č. 15 – </w:t>
      </w:r>
      <w:r>
        <w:rPr>
          <w:rFonts w:cs="Times New Roman" w:ascii="Times New Roman" w:hAnsi="Times New Roman"/>
          <w:i/>
          <w:iCs/>
          <w:color w:val="auto"/>
          <w:sz w:val="24"/>
          <w:szCs w:val="24"/>
        </w:rPr>
        <w:t>Záväzky podľa doby splatnosti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n) Krátkodobé záväzky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V súvahe za konsolidovaný celok sú vykázané krátkodobé záväzky spolu vo výške </w:t>
      </w:r>
      <w:r>
        <w:rPr>
          <w:rFonts w:cs="Times New Roman" w:ascii="Times New Roman" w:hAnsi="Times New Roman"/>
          <w:color w:val="auto"/>
          <w:sz w:val="24"/>
          <w:szCs w:val="24"/>
        </w:rPr>
        <w:t>17.459,82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Eur, z toho záväzky voči dodávateľom tvoria </w:t>
      </w:r>
      <w:r>
        <w:rPr>
          <w:rFonts w:cs="Times New Roman" w:ascii="Times New Roman" w:hAnsi="Times New Roman"/>
          <w:color w:val="auto"/>
          <w:sz w:val="24"/>
          <w:szCs w:val="24"/>
        </w:rPr>
        <w:t>2.468,76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Eur,  záväzky voči zamestnancom vo výške </w:t>
      </w:r>
      <w:r>
        <w:rPr>
          <w:rFonts w:cs="Times New Roman" w:ascii="Times New Roman" w:hAnsi="Times New Roman"/>
          <w:color w:val="auto"/>
          <w:sz w:val="24"/>
          <w:szCs w:val="24"/>
        </w:rPr>
        <w:t>9.446,31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Eur, voči orgánom sociálneho poistenia a zdravotného poistenia vo výške </w:t>
      </w:r>
      <w:r>
        <w:rPr>
          <w:rFonts w:cs="Times New Roman" w:ascii="Times New Roman" w:hAnsi="Times New Roman"/>
          <w:color w:val="auto"/>
          <w:sz w:val="24"/>
          <w:szCs w:val="24"/>
        </w:rPr>
        <w:t>4.455,13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 a voči daňovému úradu </w:t>
      </w:r>
      <w:r>
        <w:rPr>
          <w:rFonts w:cs="Times New Roman" w:ascii="Times New Roman" w:hAnsi="Times New Roman"/>
          <w:color w:val="auto"/>
          <w:sz w:val="24"/>
          <w:szCs w:val="24"/>
        </w:rPr>
        <w:t>1.089,62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Eur. Celá suma záväzkov predstavuje plnenie z bežnej činnosti za mesiac december 202</w:t>
      </w:r>
      <w:r>
        <w:rPr>
          <w:rFonts w:cs="Times New Roman" w:ascii="Times New Roman" w:hAnsi="Times New Roman"/>
          <w:color w:val="auto"/>
          <w:sz w:val="24"/>
          <w:szCs w:val="24"/>
        </w:rPr>
        <w:t>2</w:t>
      </w:r>
      <w:r>
        <w:rPr>
          <w:rFonts w:cs="Times New Roman" w:ascii="Times New Roman" w:hAnsi="Times New Roman"/>
          <w:color w:val="auto"/>
          <w:sz w:val="24"/>
          <w:szCs w:val="24"/>
        </w:rPr>
        <w:t>. Vykazované krátkodobé záväzky sú všetky v lehote splatnosti, so zostatkovou dobou splatnosti do jedného roka</w:t>
      </w: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. 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Viď. tabuľka č. 15 – </w:t>
      </w:r>
      <w:r>
        <w:rPr>
          <w:rFonts w:cs="Times New Roman" w:ascii="Times New Roman" w:hAnsi="Times New Roman"/>
          <w:i/>
          <w:iCs/>
          <w:color w:val="auto"/>
          <w:sz w:val="24"/>
          <w:szCs w:val="24"/>
        </w:rPr>
        <w:t>Záväzky podľa doby splatnosti</w:t>
      </w:r>
      <w:r>
        <w:rPr>
          <w:rFonts w:cs="Times New Roman" w:ascii="Times New Roman" w:hAnsi="Times New Roman"/>
          <w:color w:val="auto"/>
          <w:sz w:val="24"/>
          <w:szCs w:val="24"/>
        </w:rPr>
        <w:t>.</w:t>
      </w:r>
    </w:p>
    <w:p>
      <w:pPr>
        <w:pStyle w:val="Normal"/>
        <w:spacing w:lineRule="atLeast" w:line="100" w:before="0" w:after="0"/>
        <w:rPr/>
      </w:pPr>
      <w:r>
        <w:rPr/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o) Vydané dlhopisy</w:t>
      </w:r>
    </w:p>
    <w:p>
      <w:pPr>
        <w:pStyle w:val="Normal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 účtovnom období neboli v rámci konsolidovaného celku vydané žiadne dlhopisy.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p) Bankové úvery a návratné výpomoci</w:t>
      </w:r>
    </w:p>
    <w:p>
      <w:pPr>
        <w:pStyle w:val="Normal"/>
        <w:spacing w:lineRule="atLeast" w:line="100" w:before="0" w:after="0"/>
        <w:rPr/>
      </w:pPr>
      <w:r>
        <w:rPr>
          <w:rFonts w:cs="Times New Roman" w:ascii="Times New Roman" w:hAnsi="Times New Roman"/>
          <w:sz w:val="24"/>
          <w:szCs w:val="24"/>
        </w:rPr>
        <w:t>V rámci konsolidovaného neboli prijaté žiadne bankové úvery a návratné výpomoci.</w:t>
      </w:r>
    </w:p>
    <w:p>
      <w:pPr>
        <w:pStyle w:val="Normal"/>
        <w:spacing w:lineRule="atLeast" w:line="100" w:before="0" w:after="0"/>
        <w:rPr/>
      </w:pPr>
      <w:r>
        <w:rPr/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q) Časové rozlíšenie na strane pasív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Časové rozlíšenie je za celý konsolidovaný celok vo výške </w:t>
      </w:r>
      <w:r>
        <w:rPr>
          <w:rFonts w:cs="Times New Roman" w:ascii="Times New Roman" w:hAnsi="Times New Roman"/>
          <w:color w:val="auto"/>
          <w:sz w:val="24"/>
          <w:szCs w:val="24"/>
        </w:rPr>
        <w:t>239.085,70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Eur. Celú sumu tvoria výnosy budúcich období.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Viď. tabuľka č. 18 – </w:t>
      </w:r>
      <w:r>
        <w:rPr>
          <w:rFonts w:cs="Times New Roman" w:ascii="Times New Roman" w:hAnsi="Times New Roman"/>
          <w:i/>
          <w:iCs/>
          <w:sz w:val="24"/>
          <w:szCs w:val="24"/>
        </w:rPr>
        <w:t>Časové rozlíšenie na strane pasív – Výnosy budúcich období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Čl. IV.</w:t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INFORMÁCIE O ÚDAJOCH NÁKLADOV A VÝNOSOV</w:t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a) Náklady na služby a ostatné finančné náklady</w:t>
      </w:r>
    </w:p>
    <w:p>
      <w:pPr>
        <w:pStyle w:val="Normal"/>
        <w:spacing w:lineRule="atLeast" w:line="100" w:before="0" w:after="0"/>
        <w:rPr/>
      </w:pPr>
      <w:r>
        <w:rPr>
          <w:rFonts w:cs="Times New Roman" w:ascii="Times New Roman" w:hAnsi="Times New Roman"/>
          <w:sz w:val="24"/>
          <w:szCs w:val="24"/>
        </w:rPr>
        <w:t xml:space="preserve">Náklady spolu za konsolidovaný celok činia </w:t>
      </w:r>
      <w:r>
        <w:rPr>
          <w:rFonts w:cs="Times New Roman" w:ascii="Times New Roman" w:hAnsi="Times New Roman"/>
          <w:sz w:val="24"/>
          <w:szCs w:val="24"/>
        </w:rPr>
        <w:t>333.694,09</w:t>
      </w:r>
      <w:r>
        <w:rPr>
          <w:rFonts w:cs="Times New Roman" w:ascii="Times New Roman" w:hAnsi="Times New Roman"/>
          <w:sz w:val="24"/>
          <w:szCs w:val="24"/>
        </w:rPr>
        <w:t xml:space="preserve"> Eur, pričom celá vykázaná suma je za hlavnú činnosť. 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rPr/>
      </w:pPr>
      <w:r>
        <w:rPr>
          <w:rFonts w:cs="Times New Roman" w:ascii="Times New Roman" w:hAnsi="Times New Roman"/>
          <w:sz w:val="24"/>
          <w:szCs w:val="24"/>
        </w:rPr>
        <w:t xml:space="preserve">Náklady na ostatné služby vo výške </w:t>
      </w:r>
      <w:r>
        <w:rPr>
          <w:rFonts w:cs="Times New Roman" w:ascii="Times New Roman" w:hAnsi="Times New Roman"/>
          <w:sz w:val="24"/>
          <w:szCs w:val="24"/>
        </w:rPr>
        <w:t>34.386,84</w:t>
      </w:r>
      <w:r>
        <w:rPr>
          <w:rFonts w:cs="Times New Roman" w:ascii="Times New Roman" w:hAnsi="Times New Roman"/>
          <w:sz w:val="24"/>
          <w:szCs w:val="24"/>
        </w:rPr>
        <w:t xml:space="preserve"> Eur,  viď. tabuľka č. 19, ostatné náklady na prevádzkovú činnosť vo výške </w:t>
      </w:r>
      <w:r>
        <w:rPr>
          <w:rFonts w:cs="Times New Roman" w:ascii="Times New Roman" w:hAnsi="Times New Roman"/>
          <w:sz w:val="24"/>
          <w:szCs w:val="24"/>
        </w:rPr>
        <w:t>9.565,12</w:t>
      </w:r>
      <w:r>
        <w:rPr>
          <w:rFonts w:cs="Times New Roman" w:ascii="Times New Roman" w:hAnsi="Times New Roman"/>
          <w:sz w:val="24"/>
          <w:szCs w:val="24"/>
        </w:rPr>
        <w:t xml:space="preserve"> Eur, viď. Tabuľka 20, ostatné finančné náklady vo výške </w:t>
      </w:r>
      <w:r>
        <w:rPr>
          <w:rFonts w:cs="Times New Roman" w:ascii="Times New Roman" w:hAnsi="Times New Roman"/>
          <w:sz w:val="24"/>
          <w:szCs w:val="24"/>
        </w:rPr>
        <w:t>5.461,59</w:t>
      </w:r>
      <w:r>
        <w:rPr>
          <w:rFonts w:cs="Times New Roman" w:ascii="Times New Roman" w:hAnsi="Times New Roman"/>
          <w:sz w:val="24"/>
          <w:szCs w:val="24"/>
        </w:rPr>
        <w:t xml:space="preserve"> Eur, vidˇ. tabuľka č. 21. 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b) Výnosy</w:t>
      </w:r>
    </w:p>
    <w:p>
      <w:pPr>
        <w:pStyle w:val="Normal"/>
        <w:spacing w:lineRule="atLeast" w:line="100" w:before="0" w:after="0"/>
        <w:rPr/>
      </w:pPr>
      <w:r>
        <w:rPr>
          <w:rFonts w:cs="Times New Roman" w:ascii="Times New Roman" w:hAnsi="Times New Roman"/>
          <w:sz w:val="24"/>
          <w:szCs w:val="24"/>
        </w:rPr>
        <w:t xml:space="preserve">Výnosy spolu za konsolidovaný celok činia </w:t>
      </w:r>
      <w:r>
        <w:rPr>
          <w:rFonts w:cs="Times New Roman" w:ascii="Times New Roman" w:hAnsi="Times New Roman"/>
          <w:sz w:val="24"/>
          <w:szCs w:val="24"/>
        </w:rPr>
        <w:t>354.338,36</w:t>
      </w:r>
      <w:r>
        <w:rPr>
          <w:rFonts w:cs="Times New Roman" w:ascii="Times New Roman" w:hAnsi="Times New Roman"/>
          <w:sz w:val="24"/>
          <w:szCs w:val="24"/>
        </w:rPr>
        <w:t xml:space="preserve"> Eur, pričom celá vykázaná suma je za</w:t>
      </w:r>
    </w:p>
    <w:p>
      <w:pPr>
        <w:pStyle w:val="Normal"/>
        <w:spacing w:lineRule="atLeast" w:line="100" w:before="0" w:after="0"/>
        <w:rPr/>
      </w:pPr>
      <w:r>
        <w:rPr>
          <w:rFonts w:cs="Times New Roman" w:ascii="Times New Roman" w:hAnsi="Times New Roman"/>
          <w:sz w:val="24"/>
          <w:szCs w:val="24"/>
        </w:rPr>
        <w:t xml:space="preserve">hlavnú činnosť. Ostatné výnosy z prevádzkovej činnosti sú vo výške </w:t>
      </w:r>
      <w:r>
        <w:rPr>
          <w:rFonts w:cs="Times New Roman" w:ascii="Times New Roman" w:hAnsi="Times New Roman"/>
          <w:sz w:val="24"/>
          <w:szCs w:val="24"/>
        </w:rPr>
        <w:t>587,56</w:t>
      </w:r>
      <w:r>
        <w:rPr>
          <w:rFonts w:cs="Times New Roman" w:ascii="Times New Roman" w:hAnsi="Times New Roman"/>
          <w:sz w:val="24"/>
          <w:szCs w:val="24"/>
        </w:rPr>
        <w:t xml:space="preserve"> Eur viď. tabuľka č. 22. </w:t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Čl. V.</w:t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INFORMÁCIE O OSTATNÝCH SKUTOČNOSTIACH</w:t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tLeast" w:line="100" w:before="0" w:after="0"/>
        <w:rPr/>
      </w:pPr>
      <w:r>
        <w:rPr>
          <w:rFonts w:cs="Times New Roman" w:ascii="Times New Roman" w:hAnsi="Times New Roman"/>
          <w:sz w:val="24"/>
          <w:szCs w:val="24"/>
        </w:rPr>
        <w:t>K 31.12.202</w:t>
      </w:r>
      <w:r>
        <w:rPr>
          <w:rFonts w:cs="Times New Roman" w:ascii="Times New Roman" w:hAnsi="Times New Roman"/>
          <w:sz w:val="24"/>
          <w:szCs w:val="24"/>
        </w:rPr>
        <w:t>2</w:t>
      </w:r>
      <w:r>
        <w:rPr>
          <w:rFonts w:cs="Times New Roman" w:ascii="Times New Roman" w:hAnsi="Times New Roman"/>
          <w:sz w:val="24"/>
          <w:szCs w:val="24"/>
        </w:rPr>
        <w:t xml:space="preserve"> do dňa zostavenia konsolidovanej účtovnej závierky nedošlo k takým skutočnostiam, ktoré by ovplyvnili, resp. zmenili výsledky vykázané v účtovnej evidencii a v účtovných výkazoch konsolidovaných účtovných jednotiek k 31.12.202</w:t>
      </w:r>
      <w:r>
        <w:rPr>
          <w:rFonts w:cs="Times New Roman" w:ascii="Times New Roman" w:hAnsi="Times New Roman"/>
          <w:sz w:val="24"/>
          <w:szCs w:val="24"/>
        </w:rPr>
        <w:t>2</w:t>
      </w:r>
      <w:r>
        <w:rPr>
          <w:rFonts w:cs="Times New Roman" w:ascii="Times New Roman" w:hAnsi="Times New Roman"/>
          <w:sz w:val="24"/>
          <w:szCs w:val="24"/>
        </w:rPr>
        <w:t>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rPr/>
      </w:pPr>
      <w:r>
        <w:rPr>
          <w:rFonts w:cs="Times New Roman" w:ascii="Times New Roman" w:hAnsi="Times New Roman"/>
          <w:sz w:val="24"/>
          <w:szCs w:val="24"/>
        </w:rPr>
        <w:t xml:space="preserve">V Gôtovanoch, dňa </w:t>
      </w:r>
      <w:r>
        <w:rPr>
          <w:rFonts w:cs="Times New Roman" w:ascii="Times New Roman" w:hAnsi="Times New Roman"/>
          <w:sz w:val="24"/>
          <w:szCs w:val="24"/>
        </w:rPr>
        <w:t>16</w:t>
      </w:r>
      <w:r>
        <w:rPr>
          <w:rFonts w:cs="Times New Roman" w:ascii="Times New Roman" w:hAnsi="Times New Roman"/>
          <w:sz w:val="24"/>
          <w:szCs w:val="24"/>
        </w:rPr>
        <w:t>.06.202</w:t>
      </w:r>
      <w:r>
        <w:rPr>
          <w:rFonts w:cs="Times New Roman" w:ascii="Times New Roman" w:hAnsi="Times New Roman"/>
          <w:sz w:val="24"/>
          <w:szCs w:val="24"/>
        </w:rPr>
        <w:t>3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rPr/>
      </w:pPr>
      <w:r>
        <w:rPr>
          <w:rFonts w:cs="Times New Roman" w:ascii="Times New Roman" w:hAnsi="Times New Roman"/>
          <w:sz w:val="24"/>
          <w:szCs w:val="24"/>
        </w:rPr>
        <w:t xml:space="preserve">Vypracovala:    </w:t>
      </w:r>
      <w:r>
        <w:rPr>
          <w:rFonts w:cs="Times New Roman" w:ascii="Times New Roman" w:hAnsi="Times New Roman"/>
          <w:sz w:val="24"/>
          <w:szCs w:val="24"/>
        </w:rPr>
        <w:t>Ing. Juraj Brziak</w:t>
      </w:r>
    </w:p>
    <w:p>
      <w:pPr>
        <w:pStyle w:val="Normal"/>
        <w:spacing w:lineRule="atLeast" w:line="100" w:before="0" w:after="0"/>
        <w:rPr/>
      </w:pPr>
      <w:r>
        <w:rPr>
          <w:rFonts w:cs="Times New Roman" w:ascii="Times New Roman" w:hAnsi="Times New Roman"/>
          <w:sz w:val="24"/>
          <w:szCs w:val="24"/>
        </w:rPr>
        <w:t xml:space="preserve">                          </w:t>
      </w:r>
      <w:r>
        <w:rPr>
          <w:rFonts w:cs="Times New Roman" w:ascii="Times New Roman" w:hAnsi="Times New Roman"/>
          <w:sz w:val="24"/>
          <w:szCs w:val="24"/>
        </w:rPr>
        <w:t>externý účtovník obce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/>
      </w:pPr>
      <w:r>
        <w:rPr>
          <w:rFonts w:cs="Times New Roman" w:ascii="Times New Roman" w:hAnsi="Times New Roman"/>
          <w:sz w:val="24"/>
          <w:szCs w:val="24"/>
        </w:rPr>
        <w:t xml:space="preserve">Schválil:           </w:t>
      </w:r>
      <w:r>
        <w:rPr>
          <w:rFonts w:cs="Times New Roman" w:ascii="Times New Roman" w:hAnsi="Times New Roman"/>
          <w:sz w:val="24"/>
          <w:szCs w:val="24"/>
        </w:rPr>
        <w:t>Mgr. Andrea Adamčiaková</w:t>
      </w:r>
    </w:p>
    <w:p>
      <w:pPr>
        <w:pStyle w:val="Normal"/>
        <w:spacing w:lineRule="auto" w:line="240" w:before="0" w:after="0"/>
        <w:rPr/>
      </w:pPr>
      <w:r>
        <w:rPr>
          <w:rFonts w:cs="Times New Roman" w:ascii="Times New Roman" w:hAnsi="Times New Roman"/>
          <w:sz w:val="24"/>
          <w:szCs w:val="24"/>
        </w:rPr>
        <w:t xml:space="preserve">                         </w:t>
      </w:r>
      <w:r>
        <w:rPr>
          <w:rFonts w:cs="Times New Roman" w:ascii="Times New Roman" w:hAnsi="Times New Roman"/>
          <w:sz w:val="24"/>
          <w:szCs w:val="24"/>
        </w:rPr>
        <w:t>starost</w:t>
      </w:r>
      <w:r>
        <w:rPr>
          <w:rFonts w:cs="Times New Roman" w:ascii="Times New Roman" w:hAnsi="Times New Roman"/>
          <w:sz w:val="24"/>
          <w:szCs w:val="24"/>
        </w:rPr>
        <w:t>k</w:t>
      </w:r>
      <w:r>
        <w:rPr>
          <w:rFonts w:cs="Times New Roman" w:ascii="Times New Roman" w:hAnsi="Times New Roman"/>
          <w:sz w:val="24"/>
          <w:szCs w:val="24"/>
        </w:rPr>
        <w:t>a obce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600" w:charSpace="3686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Symbol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Segoe UI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jc w:val="center"/>
      <w:rPr>
        <w:rFonts w:ascii="Times New Roman" w:hAnsi="Times New Roman" w:cs="Times New Roman"/>
        <w:sz w:val="20"/>
        <w:szCs w:val="20"/>
      </w:rPr>
    </w:pPr>
    <w:r>
      <w:rPr>
        <w:rFonts w:cs="Times New Roman" w:ascii="Times New Roman" w:hAnsi="Times New Roman"/>
        <w:sz w:val="20"/>
        <w:szCs w:val="20"/>
      </w:rPr>
      <w:t>Obec Gôtovany</w:t>
    </w:r>
  </w:p>
  <w:p>
    <w:pPr>
      <w:pStyle w:val="Hlavika"/>
      <w:jc w:val="center"/>
      <w:rPr/>
    </w:pPr>
    <w:r>
      <w:rPr>
        <w:rFonts w:cs="Times New Roman" w:ascii="Times New Roman" w:hAnsi="Times New Roman"/>
        <w:sz w:val="20"/>
        <w:szCs w:val="20"/>
      </w:rPr>
      <w:t>Poznámky konsolidovanej účtovnej závierky zostavenej k 31.12.202</w:t>
    </w:r>
    <w:r>
      <w:rPr>
        <w:rFonts w:cs="Times New Roman" w:ascii="Times New Roman" w:hAnsi="Times New Roman"/>
        <w:sz w:val="20"/>
        <w:szCs w:val="20"/>
      </w:rPr>
      <w:t>2</w:t>
    </w:r>
  </w:p>
  <w:p>
    <w:pPr>
      <w:pStyle w:val="Hlavika"/>
      <w:jc w:val="center"/>
      <w:rPr>
        <w:rFonts w:ascii="Times New Roman" w:hAnsi="Times New Roman" w:cs="Times New Roman"/>
        <w:sz w:val="20"/>
        <w:szCs w:val="20"/>
      </w:rPr>
    </w:pPr>
    <w:r>
      <w:rPr>
        <w:rFonts w:cs="Times New Roman" w:ascii="Times New Roman" w:hAnsi="Times New Roman"/>
        <w:sz w:val="20"/>
        <w:szCs w:val="20"/>
      </w:rPr>
    </w:r>
  </w:p>
  <w:p>
    <w:pPr>
      <w:pStyle w:val="Hlavika"/>
      <w:jc w:val="center"/>
      <w:rPr/>
    </w:pPr>
    <w:r>
      <w:rPr>
        <w:rFonts w:cs="Times New Roman" w:ascii="Times New Roman" w:hAnsi="Times New Roman"/>
        <w:sz w:val="20"/>
        <w:szCs w:val="20"/>
      </w:rPr>
      <w:t>________________________________________________________________________________________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24"/>
        <w:b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autoHyphenation w:val="fals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be201a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SimSun" w:cs="font307"/>
      <w:color w:val="auto"/>
      <w:kern w:val="0"/>
      <w:sz w:val="22"/>
      <w:szCs w:val="22"/>
      <w:lang w:eastAsia="ar-SA" w:val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sid w:val="00be201a"/>
    <w:rPr>
      <w:rFonts w:ascii="Symbol" w:hAnsi="Symbol" w:cs="Symbol"/>
    </w:rPr>
  </w:style>
  <w:style w:type="character" w:styleId="WW8Num1z1" w:customStyle="1">
    <w:name w:val="WW8Num1z1"/>
    <w:qFormat/>
    <w:rsid w:val="00be201a"/>
    <w:rPr>
      <w:rFonts w:ascii="Courier New" w:hAnsi="Courier New" w:cs="Courier New"/>
    </w:rPr>
  </w:style>
  <w:style w:type="character" w:styleId="WW8Num1z2" w:customStyle="1">
    <w:name w:val="WW8Num1z2"/>
    <w:qFormat/>
    <w:rsid w:val="00be201a"/>
    <w:rPr>
      <w:rFonts w:ascii="Wingdings" w:hAnsi="Wingdings" w:cs="Wingdings"/>
    </w:rPr>
  </w:style>
  <w:style w:type="character" w:styleId="WW8Num2z0" w:customStyle="1">
    <w:name w:val="WW8Num2z0"/>
    <w:qFormat/>
    <w:rsid w:val="00be201a"/>
    <w:rPr/>
  </w:style>
  <w:style w:type="character" w:styleId="WW8Num2z1" w:customStyle="1">
    <w:name w:val="WW8Num2z1"/>
    <w:qFormat/>
    <w:rsid w:val="00be201a"/>
    <w:rPr/>
  </w:style>
  <w:style w:type="character" w:styleId="WW8Num2z2" w:customStyle="1">
    <w:name w:val="WW8Num2z2"/>
    <w:qFormat/>
    <w:rsid w:val="00be201a"/>
    <w:rPr/>
  </w:style>
  <w:style w:type="character" w:styleId="WW8Num2z3" w:customStyle="1">
    <w:name w:val="WW8Num2z3"/>
    <w:qFormat/>
    <w:rsid w:val="00be201a"/>
    <w:rPr/>
  </w:style>
  <w:style w:type="character" w:styleId="WW8Num2z4" w:customStyle="1">
    <w:name w:val="WW8Num2z4"/>
    <w:qFormat/>
    <w:rsid w:val="00be201a"/>
    <w:rPr/>
  </w:style>
  <w:style w:type="character" w:styleId="WW8Num2z5" w:customStyle="1">
    <w:name w:val="WW8Num2z5"/>
    <w:qFormat/>
    <w:rsid w:val="00be201a"/>
    <w:rPr/>
  </w:style>
  <w:style w:type="character" w:styleId="WW8Num2z6" w:customStyle="1">
    <w:name w:val="WW8Num2z6"/>
    <w:qFormat/>
    <w:rsid w:val="00be201a"/>
    <w:rPr/>
  </w:style>
  <w:style w:type="character" w:styleId="WW8Num2z7" w:customStyle="1">
    <w:name w:val="WW8Num2z7"/>
    <w:qFormat/>
    <w:rsid w:val="00be201a"/>
    <w:rPr/>
  </w:style>
  <w:style w:type="character" w:styleId="WW8Num2z8" w:customStyle="1">
    <w:name w:val="WW8Num2z8"/>
    <w:qFormat/>
    <w:rsid w:val="00be201a"/>
    <w:rPr/>
  </w:style>
  <w:style w:type="character" w:styleId="Standardnpsmoodstavce1" w:customStyle="1">
    <w:name w:val="Standardní písmo odstavce1"/>
    <w:qFormat/>
    <w:rsid w:val="00be201a"/>
    <w:rPr/>
  </w:style>
  <w:style w:type="character" w:styleId="ZhlavChar" w:customStyle="1">
    <w:name w:val="Záhlaví Char"/>
    <w:basedOn w:val="Standardnpsmoodstavce1"/>
    <w:qFormat/>
    <w:rsid w:val="00be201a"/>
    <w:rPr/>
  </w:style>
  <w:style w:type="character" w:styleId="ZpatChar" w:customStyle="1">
    <w:name w:val="Zápatí Char"/>
    <w:basedOn w:val="Standardnpsmoodstavce1"/>
    <w:qFormat/>
    <w:rsid w:val="00be201a"/>
    <w:rPr/>
  </w:style>
  <w:style w:type="character" w:styleId="ListLabel1" w:customStyle="1">
    <w:name w:val="ListLabel 1"/>
    <w:qFormat/>
    <w:rsid w:val="00be201a"/>
    <w:rPr>
      <w:rFonts w:cs="Courier New"/>
    </w:rPr>
  </w:style>
  <w:style w:type="character" w:styleId="Odrky" w:customStyle="1">
    <w:name w:val="Odrážky"/>
    <w:qFormat/>
    <w:rsid w:val="00be201a"/>
    <w:rPr>
      <w:rFonts w:ascii="OpenSymbol" w:hAnsi="OpenSymbol" w:eastAsia="OpenSymbol" w:cs="OpenSymbol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011f48"/>
    <w:rPr>
      <w:rFonts w:ascii="Segoe UI" w:hAnsi="Segoe UI" w:eastAsia="SimSun" w:cs="Segoe UI"/>
      <w:sz w:val="18"/>
      <w:szCs w:val="18"/>
      <w:lang w:eastAsia="ar-SA"/>
    </w:rPr>
  </w:style>
  <w:style w:type="character" w:styleId="ListLabel2">
    <w:name w:val="ListLabel 2"/>
    <w:qFormat/>
    <w:rPr>
      <w:rFonts w:ascii="Times New Roman" w:hAnsi="Times New Roman" w:cs="Symbol"/>
      <w:b/>
      <w:sz w:val="24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Wingdings"/>
    </w:rPr>
  </w:style>
  <w:style w:type="character" w:styleId="ListLabel5">
    <w:name w:val="ListLabel 5"/>
    <w:qFormat/>
    <w:rPr>
      <w:rFonts w:cs="Symbol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rFonts w:cs="Wingdings"/>
    </w:rPr>
  </w:style>
  <w:style w:type="character" w:styleId="ListLabel8">
    <w:name w:val="ListLabel 8"/>
    <w:qFormat/>
    <w:rPr>
      <w:rFonts w:cs="Symbol"/>
    </w:rPr>
  </w:style>
  <w:style w:type="character" w:styleId="ListLabel9">
    <w:name w:val="ListLabel 9"/>
    <w:qFormat/>
    <w:rPr>
      <w:rFonts w:cs="Courier New"/>
    </w:rPr>
  </w:style>
  <w:style w:type="character" w:styleId="ListLabel10">
    <w:name w:val="ListLabel 10"/>
    <w:qFormat/>
    <w:rPr>
      <w:rFonts w:cs="Wingdings"/>
    </w:rPr>
  </w:style>
  <w:style w:type="character" w:styleId="ListLabel11">
    <w:name w:val="ListLabel 11"/>
    <w:qFormat/>
    <w:rPr>
      <w:rFonts w:cs="OpenSymbol"/>
    </w:rPr>
  </w:style>
  <w:style w:type="character" w:styleId="ListLabel12">
    <w:name w:val="ListLabel 12"/>
    <w:qFormat/>
    <w:rPr>
      <w:rFonts w:cs="OpenSymbol"/>
    </w:rPr>
  </w:style>
  <w:style w:type="character" w:styleId="ListLabel13">
    <w:name w:val="ListLabel 13"/>
    <w:qFormat/>
    <w:rPr>
      <w:rFonts w:cs="OpenSymbol"/>
    </w:rPr>
  </w:style>
  <w:style w:type="character" w:styleId="ListLabel14">
    <w:name w:val="ListLabel 14"/>
    <w:qFormat/>
    <w:rPr>
      <w:rFonts w:cs="OpenSymbol"/>
    </w:rPr>
  </w:style>
  <w:style w:type="character" w:styleId="ListLabel15">
    <w:name w:val="ListLabel 15"/>
    <w:qFormat/>
    <w:rPr>
      <w:rFonts w:cs="OpenSymbol"/>
    </w:rPr>
  </w:style>
  <w:style w:type="character" w:styleId="ListLabel16">
    <w:name w:val="ListLabel 16"/>
    <w:qFormat/>
    <w:rPr>
      <w:rFonts w:cs="OpenSymbol"/>
    </w:rPr>
  </w:style>
  <w:style w:type="character" w:styleId="ListLabel17">
    <w:name w:val="ListLabel 17"/>
    <w:qFormat/>
    <w:rPr>
      <w:rFonts w:cs="OpenSymbol"/>
    </w:rPr>
  </w:style>
  <w:style w:type="character" w:styleId="ListLabel18">
    <w:name w:val="ListLabel 18"/>
    <w:qFormat/>
    <w:rPr>
      <w:rFonts w:cs="OpenSymbol"/>
    </w:rPr>
  </w:style>
  <w:style w:type="character" w:styleId="ListLabel19">
    <w:name w:val="ListLabel 19"/>
    <w:qFormat/>
    <w:rPr>
      <w:rFonts w:cs="OpenSymbol"/>
    </w:rPr>
  </w:style>
  <w:style w:type="character" w:styleId="ListLabel20">
    <w:name w:val="ListLabel 20"/>
    <w:qFormat/>
    <w:rPr>
      <w:rFonts w:cs="OpenSymbol"/>
    </w:rPr>
  </w:style>
  <w:style w:type="character" w:styleId="ListLabel21">
    <w:name w:val="ListLabel 21"/>
    <w:qFormat/>
    <w:rPr>
      <w:rFonts w:cs="OpenSymbol"/>
    </w:rPr>
  </w:style>
  <w:style w:type="character" w:styleId="ListLabel22">
    <w:name w:val="ListLabel 22"/>
    <w:qFormat/>
    <w:rPr>
      <w:rFonts w:cs="OpenSymbol"/>
    </w:rPr>
  </w:style>
  <w:style w:type="character" w:styleId="ListLabel23">
    <w:name w:val="ListLabel 23"/>
    <w:qFormat/>
    <w:rPr>
      <w:rFonts w:cs="OpenSymbol"/>
    </w:rPr>
  </w:style>
  <w:style w:type="character" w:styleId="ListLabel24">
    <w:name w:val="ListLabel 24"/>
    <w:qFormat/>
    <w:rPr>
      <w:rFonts w:cs="OpenSymbol"/>
    </w:rPr>
  </w:style>
  <w:style w:type="character" w:styleId="ListLabel25">
    <w:name w:val="ListLabel 25"/>
    <w:qFormat/>
    <w:rPr>
      <w:rFonts w:cs="OpenSymbol"/>
    </w:rPr>
  </w:style>
  <w:style w:type="character" w:styleId="ListLabel26">
    <w:name w:val="ListLabel 26"/>
    <w:qFormat/>
    <w:rPr>
      <w:rFonts w:cs="OpenSymbol"/>
    </w:rPr>
  </w:style>
  <w:style w:type="character" w:styleId="ListLabel27">
    <w:name w:val="ListLabel 27"/>
    <w:qFormat/>
    <w:rPr>
      <w:rFonts w:cs="OpenSymbol"/>
    </w:rPr>
  </w:style>
  <w:style w:type="character" w:styleId="ListLabel28">
    <w:name w:val="ListLabel 28"/>
    <w:qFormat/>
    <w:rPr>
      <w:rFonts w:cs="OpenSymbol"/>
    </w:rPr>
  </w:style>
  <w:style w:type="paragraph" w:styleId="Nadpis" w:customStyle="1">
    <w:name w:val="Nadpis"/>
    <w:basedOn w:val="Normal"/>
    <w:next w:val="Telotextu"/>
    <w:qFormat/>
    <w:rsid w:val="00be201a"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Telotextu">
    <w:name w:val="Body Text"/>
    <w:basedOn w:val="Normal"/>
    <w:rsid w:val="00be201a"/>
    <w:pPr>
      <w:spacing w:before="0" w:after="120"/>
    </w:pPr>
    <w:rPr/>
  </w:style>
  <w:style w:type="paragraph" w:styleId="Zoznam">
    <w:name w:val="List"/>
    <w:basedOn w:val="Telotextu"/>
    <w:rsid w:val="00be201a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rsid w:val="00be201a"/>
    <w:pPr>
      <w:suppressLineNumbers/>
    </w:pPr>
    <w:rPr>
      <w:rFonts w:cs="Mangal"/>
    </w:rPr>
  </w:style>
  <w:style w:type="paragraph" w:styleId="Popisok" w:customStyle="1">
    <w:name w:val="Popisok"/>
    <w:basedOn w:val="Normal"/>
    <w:qFormat/>
    <w:rsid w:val="00be201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Hlavika">
    <w:name w:val="Header"/>
    <w:basedOn w:val="Normal"/>
    <w:rsid w:val="00be201a"/>
    <w:pPr>
      <w:suppressLineNumbers/>
      <w:tabs>
        <w:tab w:val="center" w:pos="4536" w:leader="none"/>
        <w:tab w:val="right" w:pos="9072" w:leader="none"/>
      </w:tabs>
      <w:spacing w:lineRule="atLeast" w:line="100" w:before="0" w:after="0"/>
    </w:pPr>
    <w:rPr/>
  </w:style>
  <w:style w:type="paragraph" w:styleId="Pta">
    <w:name w:val="Footer"/>
    <w:basedOn w:val="Normal"/>
    <w:rsid w:val="00be201a"/>
    <w:pPr>
      <w:suppressLineNumbers/>
      <w:tabs>
        <w:tab w:val="center" w:pos="4536" w:leader="none"/>
        <w:tab w:val="right" w:pos="9072" w:leader="none"/>
      </w:tabs>
      <w:spacing w:lineRule="atLeast" w:line="100" w:before="0" w:after="0"/>
    </w:pPr>
    <w:rPr/>
  </w:style>
  <w:style w:type="paragraph" w:styleId="Odstavecseseznamem1" w:customStyle="1">
    <w:name w:val="Odstavec se seznamem1"/>
    <w:basedOn w:val="Normal"/>
    <w:qFormat/>
    <w:rsid w:val="00be201a"/>
    <w:pPr>
      <w:ind w:left="720" w:hanging="0"/>
    </w:pPr>
    <w:rPr/>
  </w:style>
  <w:style w:type="paragraph" w:styleId="Obsahtabuky" w:customStyle="1">
    <w:name w:val="Obsah tabuľky"/>
    <w:basedOn w:val="Normal"/>
    <w:qFormat/>
    <w:rsid w:val="00be201a"/>
    <w:pPr>
      <w:suppressLineNumbers/>
    </w:pPr>
    <w:rPr/>
  </w:style>
  <w:style w:type="paragraph" w:styleId="Nadpistabuky" w:customStyle="1">
    <w:name w:val="Nadpis tabuľky"/>
    <w:basedOn w:val="Obsahtabuky"/>
    <w:qFormat/>
    <w:rsid w:val="00be201a"/>
    <w:pPr>
      <w:jc w:val="center"/>
    </w:pPr>
    <w:rPr>
      <w:b/>
      <w:bCs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11f48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266465-3A04-445A-A0D1-9B36488042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1210</TotalTime>
  <Application>LibreOffice/6.0.4.2$Windows_X86_64 LibreOffice_project/9b0d9b32d5dcda91d2f1a96dc04c645c450872bf</Application>
  <Pages>6</Pages>
  <Words>1629</Words>
  <Characters>9806</Characters>
  <CharactersWithSpaces>11418</CharactersWithSpaces>
  <Paragraphs>177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2016-06-14T09:44:00Z</dcterms:created>
  <dc:creator>PC</dc:creator>
  <dc:description/>
  <dc:language>sk-SK</dc:language>
  <cp:lastModifiedBy/>
  <cp:lastPrinted>2022-06-09T07:29:00Z</cp:lastPrinted>
  <dcterms:modified xsi:type="dcterms:W3CDTF">2023-06-19T12:53:09Z</dcterms:modified>
  <cp:revision>76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