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CA9" w:rsidRDefault="00000000">
      <w:pPr>
        <w:spacing w:after="0" w:line="239" w:lineRule="auto"/>
        <w:ind w:left="2937" w:hanging="1462"/>
        <w:jc w:val="left"/>
      </w:pPr>
      <w:r>
        <w:rPr>
          <w:b/>
          <w:sz w:val="28"/>
        </w:rPr>
        <w:t>Poznámky konsolidovanej účtovnej závierky obce Orlov zostavenej k 31. decembru 202</w:t>
      </w:r>
      <w:r w:rsidR="001B63D5">
        <w:rPr>
          <w:b/>
          <w:sz w:val="28"/>
        </w:rPr>
        <w:t>2</w:t>
      </w:r>
      <w:r>
        <w:rPr>
          <w:b/>
          <w:sz w:val="28"/>
        </w:rPr>
        <w:t xml:space="preserve"> </w:t>
      </w:r>
      <w:r>
        <w:rPr>
          <w:sz w:val="28"/>
        </w:rPr>
        <w:t xml:space="preserve"> </w:t>
      </w:r>
    </w:p>
    <w:p w:rsidR="008D0CA9" w:rsidRDefault="00000000">
      <w:pPr>
        <w:spacing w:after="0" w:line="259" w:lineRule="auto"/>
        <w:ind w:left="295" w:firstLine="0"/>
        <w:jc w:val="left"/>
      </w:pPr>
      <w:r>
        <w:t xml:space="preserve"> </w:t>
      </w:r>
    </w:p>
    <w:p w:rsidR="008D0CA9" w:rsidRDefault="00000000">
      <w:pPr>
        <w:spacing w:after="49" w:line="259" w:lineRule="auto"/>
        <w:ind w:left="295" w:firstLine="0"/>
        <w:jc w:val="left"/>
      </w:pPr>
      <w:r>
        <w:t xml:space="preserve"> </w:t>
      </w:r>
    </w:p>
    <w:p w:rsidR="008D0CA9" w:rsidRDefault="00000000">
      <w:pPr>
        <w:pStyle w:val="Nadpis1"/>
        <w:spacing w:after="230"/>
        <w:ind w:left="986" w:hanging="720"/>
      </w:pPr>
      <w:r>
        <w:t xml:space="preserve">VŠEOBECNÉ ÚDAJE </w:t>
      </w:r>
    </w:p>
    <w:p w:rsidR="008D0CA9" w:rsidRDefault="00000000">
      <w:pPr>
        <w:pStyle w:val="Nadpis2"/>
        <w:ind w:left="290"/>
      </w:pPr>
      <w:r>
        <w:t>Identifikačné údaje konsolidujúcej</w:t>
      </w:r>
      <w:r>
        <w:rPr>
          <w:rFonts w:ascii="Arial" w:eastAsia="Arial" w:hAnsi="Arial" w:cs="Arial"/>
          <w:vertAlign w:val="subscript"/>
        </w:rPr>
        <w:t xml:space="preserve">  </w:t>
      </w:r>
      <w:r>
        <w:t>účtovnej jednotky</w:t>
      </w:r>
      <w:r>
        <w:rPr>
          <w:u w:val="none"/>
        </w:rPr>
        <w:t xml:space="preserve"> </w:t>
      </w:r>
    </w:p>
    <w:p w:rsidR="008D0CA9" w:rsidRDefault="00000000">
      <w:pPr>
        <w:ind w:left="290"/>
      </w:pPr>
      <w:r>
        <w:t xml:space="preserve">Obec Orlov </w:t>
      </w:r>
    </w:p>
    <w:p w:rsidR="008D0CA9" w:rsidRDefault="00000000">
      <w:pPr>
        <w:ind w:left="290"/>
      </w:pPr>
      <w:r>
        <w:t xml:space="preserve">Orlov 119 </w:t>
      </w:r>
    </w:p>
    <w:p w:rsidR="008D0CA9" w:rsidRDefault="00000000">
      <w:pPr>
        <w:ind w:left="290"/>
      </w:pPr>
      <w:r>
        <w:t xml:space="preserve">065 43 Orlov </w:t>
      </w:r>
    </w:p>
    <w:p w:rsidR="008D0CA9" w:rsidRDefault="00000000">
      <w:pPr>
        <w:spacing w:after="0" w:line="238" w:lineRule="auto"/>
        <w:ind w:left="295" w:right="6504" w:firstLine="0"/>
        <w:jc w:val="left"/>
      </w:pPr>
      <w:r>
        <w:t xml:space="preserve">IČO: 00330108 Tel: 052 492 13 21 e-mail: </w:t>
      </w:r>
      <w:r>
        <w:rPr>
          <w:color w:val="0463C1"/>
          <w:u w:val="single" w:color="0463C1"/>
        </w:rPr>
        <w:t>obecorlov@slnet.sk</w:t>
      </w:r>
      <w:r>
        <w:t xml:space="preserve"> </w:t>
      </w:r>
    </w:p>
    <w:p w:rsidR="008D0CA9" w:rsidRDefault="00000000">
      <w:pPr>
        <w:ind w:left="290"/>
      </w:pPr>
      <w:r>
        <w:t xml:space="preserve">Obec Orlov (v ďalšom texte len „Obec“) bola založená zákonom č. 369/1990 Zb. o obecnom zriadení.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Identifikačné údaje konsolidovaných účtovných jednotiek</w:t>
      </w:r>
      <w:r>
        <w:rPr>
          <w:u w:val="none"/>
        </w:rPr>
        <w:t xml:space="preserve"> </w:t>
      </w:r>
    </w:p>
    <w:p w:rsidR="008D0CA9" w:rsidRDefault="00000000">
      <w:pPr>
        <w:ind w:left="290"/>
      </w:pPr>
      <w:r>
        <w:t xml:space="preserve">Obec má v zriaďovateľskej pôsobnosti 1 rozpočtovú organizáciu, a to Základnú školu s materskou školou Orlov.  </w:t>
      </w:r>
    </w:p>
    <w:p w:rsidR="008D0CA9" w:rsidRDefault="00000000">
      <w:pPr>
        <w:spacing w:after="0" w:line="259" w:lineRule="auto"/>
        <w:ind w:left="295" w:firstLine="0"/>
        <w:jc w:val="left"/>
      </w:pPr>
      <w:r>
        <w:t xml:space="preserve"> </w:t>
      </w:r>
    </w:p>
    <w:tbl>
      <w:tblPr>
        <w:tblStyle w:val="TableGrid"/>
        <w:tblW w:w="9497" w:type="dxa"/>
        <w:tblInd w:w="296" w:type="dxa"/>
        <w:tblCellMar>
          <w:top w:w="12" w:type="dxa"/>
          <w:left w:w="106" w:type="dxa"/>
          <w:right w:w="115" w:type="dxa"/>
        </w:tblCellMar>
        <w:tblLook w:val="04A0" w:firstRow="1" w:lastRow="0" w:firstColumn="1" w:lastColumn="0" w:noHBand="0" w:noVBand="1"/>
      </w:tblPr>
      <w:tblGrid>
        <w:gridCol w:w="4679"/>
        <w:gridCol w:w="4818"/>
      </w:tblGrid>
      <w:tr w:rsidR="008D0CA9">
        <w:trPr>
          <w:trHeight w:val="420"/>
        </w:trPr>
        <w:tc>
          <w:tcPr>
            <w:tcW w:w="4679"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4" w:firstLine="0"/>
              <w:jc w:val="left"/>
            </w:pPr>
            <w:r>
              <w:t xml:space="preserve">Názov konsolidovanej účtovnej jednotky </w:t>
            </w:r>
          </w:p>
        </w:tc>
        <w:tc>
          <w:tcPr>
            <w:tcW w:w="4818"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left"/>
            </w:pPr>
            <w:r>
              <w:t xml:space="preserve">Sídlo konsolidovanej účtovnej jednotky </w:t>
            </w:r>
          </w:p>
        </w:tc>
      </w:tr>
      <w:tr w:rsidR="008D0CA9">
        <w:trPr>
          <w:trHeight w:val="289"/>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Obec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119, 065 43 Orlov </w:t>
            </w:r>
          </w:p>
        </w:tc>
      </w:tr>
      <w:tr w:rsidR="008D0CA9">
        <w:trPr>
          <w:trHeight w:val="283"/>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Základná škola s materskou školou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5, 065 43 Orlov </w:t>
            </w:r>
          </w:p>
        </w:tc>
      </w:tr>
      <w:tr w:rsidR="008D0CA9">
        <w:trPr>
          <w:trHeight w:val="288"/>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Konsolidovaný celok Obce Orlov sa v roku 202</w:t>
      </w:r>
      <w:r w:rsidR="001B63D5">
        <w:t>2</w:t>
      </w:r>
      <w:r>
        <w:t xml:space="preserve"> oproti minulým účtovným obdobiam nezmenil. </w:t>
      </w:r>
    </w:p>
    <w:p w:rsidR="008D0CA9" w:rsidRDefault="00000000">
      <w:pPr>
        <w:spacing w:after="0" w:line="259" w:lineRule="auto"/>
        <w:ind w:left="295" w:firstLine="0"/>
        <w:jc w:val="left"/>
      </w:pPr>
      <w:r>
        <w:t xml:space="preserve"> </w:t>
      </w:r>
    </w:p>
    <w:p w:rsidR="008D0CA9" w:rsidRDefault="00000000">
      <w:pPr>
        <w:ind w:left="290"/>
      </w:pPr>
      <w:r>
        <w:t xml:space="preserve">Prehľad o účtovných jednotkách konsolidovaného celku je uvedený,  v tabuľkovej časti konsolidovaných poznámok </w:t>
      </w:r>
      <w:r>
        <w:rPr>
          <w:i/>
        </w:rPr>
        <w:t>(tabuľka č. 1 -</w:t>
      </w:r>
      <w:r>
        <w:t xml:space="preserve"> </w:t>
      </w:r>
      <w:r>
        <w:rPr>
          <w:i/>
        </w:rPr>
        <w:t>Údaje o konsolidovanom celku)</w:t>
      </w:r>
      <w:r>
        <w:t xml:space="preserve">.  </w:t>
      </w:r>
    </w:p>
    <w:p w:rsidR="008D0CA9" w:rsidRDefault="00000000">
      <w:pPr>
        <w:spacing w:after="0" w:line="259" w:lineRule="auto"/>
        <w:ind w:left="295" w:firstLine="0"/>
        <w:jc w:val="left"/>
      </w:pPr>
      <w:r>
        <w:t xml:space="preserve"> </w:t>
      </w:r>
    </w:p>
    <w:p w:rsidR="008D0CA9" w:rsidRDefault="00000000">
      <w:pPr>
        <w:ind w:left="290"/>
      </w:pPr>
      <w:r>
        <w:t>Konsolidovaná účtovná závierka konsolidovaného celku Obce Orlov k 31. decembru 202</w:t>
      </w:r>
      <w:r w:rsidR="001B63D5">
        <w:t>2</w:t>
      </w:r>
      <w:r>
        <w:t xml:space="preserve"> je zostavená ako riadna konsolidovaná účtovná závierka podľa zákona č. 431/2002 Z. z. o účtovníctve v znení neskorších predpisov, za účtovné obdobie od 1. januára 202</w:t>
      </w:r>
      <w:r w:rsidR="001B63D5">
        <w:t>2</w:t>
      </w:r>
      <w:r>
        <w:t xml:space="preserve"> do                      31. decembra 202</w:t>
      </w:r>
      <w:r w:rsidR="001B63D5">
        <w:t>2</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je súčasťou súhrnného celku verejnej správy Slovenskej republiky.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Informácie o vedúcich predstaviteľoch a o zamestnancoch konsolidovaného celku</w:t>
      </w:r>
      <w:r>
        <w:rPr>
          <w:u w:val="none"/>
        </w:rPr>
        <w:t xml:space="preserve"> </w:t>
      </w:r>
    </w:p>
    <w:p w:rsidR="008D0CA9" w:rsidRDefault="00000000">
      <w:pPr>
        <w:tabs>
          <w:tab w:val="center" w:pos="971"/>
          <w:tab w:val="center" w:pos="2422"/>
          <w:tab w:val="center" w:pos="4161"/>
        </w:tabs>
        <w:ind w:left="0" w:firstLine="0"/>
        <w:jc w:val="left"/>
      </w:pPr>
      <w:r>
        <w:rPr>
          <w:rFonts w:ascii="Calibri" w:eastAsia="Calibri" w:hAnsi="Calibri" w:cs="Calibri"/>
          <w:sz w:val="22"/>
        </w:rPr>
        <w:tab/>
      </w:r>
      <w:r>
        <w:t xml:space="preserve">Starosta obce:  </w:t>
      </w:r>
      <w:r>
        <w:tab/>
        <w:t xml:space="preserve"> </w:t>
      </w:r>
      <w:r w:rsidR="001B63D5">
        <w:t xml:space="preserve">          Ján </w:t>
      </w:r>
      <w:proofErr w:type="spellStart"/>
      <w:r w:rsidR="001B63D5">
        <w:t>Hnat</w:t>
      </w:r>
      <w:proofErr w:type="spellEnd"/>
      <w:r>
        <w:t xml:space="preserve"> </w:t>
      </w:r>
    </w:p>
    <w:p w:rsidR="008D0CA9" w:rsidRDefault="00000000">
      <w:pPr>
        <w:tabs>
          <w:tab w:val="center" w:pos="1165"/>
          <w:tab w:val="center" w:pos="2422"/>
          <w:tab w:val="center" w:pos="3941"/>
        </w:tabs>
        <w:ind w:left="0" w:firstLine="0"/>
        <w:jc w:val="left"/>
      </w:pPr>
      <w:r>
        <w:rPr>
          <w:rFonts w:ascii="Calibri" w:eastAsia="Calibri" w:hAnsi="Calibri" w:cs="Calibri"/>
          <w:sz w:val="22"/>
        </w:rPr>
        <w:tab/>
      </w:r>
      <w:r>
        <w:t xml:space="preserve">Zástupca starostu: </w:t>
      </w:r>
      <w:r w:rsidR="001B63D5">
        <w:tab/>
      </w:r>
      <w:r>
        <w:tab/>
      </w:r>
      <w:r w:rsidR="001B63D5" w:rsidRPr="001B63D5">
        <w:t xml:space="preserve">Ing. Andrea </w:t>
      </w:r>
      <w:proofErr w:type="spellStart"/>
      <w:r w:rsidR="001B63D5" w:rsidRPr="001B63D5">
        <w:t>Čižiková</w:t>
      </w:r>
      <w:proofErr w:type="spellEnd"/>
      <w:r w:rsidR="001B63D5" w:rsidRPr="001B63D5">
        <w:t xml:space="preserve">, PhD., Ing. </w:t>
      </w:r>
      <w:proofErr w:type="spellStart"/>
      <w:r w:rsidR="001B63D5" w:rsidRPr="001B63D5">
        <w:t>Paed</w:t>
      </w:r>
      <w:proofErr w:type="spellEnd"/>
      <w:r w:rsidR="001B63D5" w:rsidRPr="001B63D5">
        <w:t>. IGIP</w:t>
      </w:r>
    </w:p>
    <w:p w:rsidR="008D0CA9" w:rsidRDefault="00000000">
      <w:pPr>
        <w:tabs>
          <w:tab w:val="center" w:pos="1415"/>
          <w:tab w:val="center" w:pos="3907"/>
        </w:tabs>
        <w:ind w:left="0" w:firstLine="0"/>
        <w:jc w:val="left"/>
      </w:pPr>
      <w:r>
        <w:rPr>
          <w:rFonts w:ascii="Calibri" w:eastAsia="Calibri" w:hAnsi="Calibri" w:cs="Calibri"/>
          <w:sz w:val="22"/>
        </w:rPr>
        <w:lastRenderedPageBreak/>
        <w:tab/>
      </w:r>
      <w:r>
        <w:t xml:space="preserve">Hlavný kontrolór obce: </w:t>
      </w:r>
      <w:r>
        <w:tab/>
        <w:t xml:space="preserve">Mária Tomková </w:t>
      </w:r>
    </w:p>
    <w:p w:rsidR="008D0CA9" w:rsidRDefault="00000000">
      <w:pPr>
        <w:ind w:left="290"/>
      </w:pPr>
      <w:r>
        <w:t>Priemerný počet zamestnancov konsolidovaného celku Obce Orlov bol 31,</w:t>
      </w:r>
      <w:r w:rsidR="001B63D5">
        <w:t>2</w:t>
      </w:r>
      <w:r>
        <w:t xml:space="preserve">; z toho 2 vedúci zamestnanci. </w:t>
      </w:r>
    </w:p>
    <w:p w:rsidR="008D0CA9" w:rsidRDefault="00000000">
      <w:pPr>
        <w:spacing w:after="0" w:line="259" w:lineRule="auto"/>
        <w:ind w:left="295" w:firstLine="0"/>
        <w:jc w:val="left"/>
      </w:pPr>
      <w:r>
        <w:t xml:space="preserve"> </w:t>
      </w:r>
    </w:p>
    <w:p w:rsidR="008D0CA9" w:rsidRDefault="00000000">
      <w:pPr>
        <w:spacing w:after="45" w:line="259" w:lineRule="auto"/>
        <w:ind w:left="295" w:firstLine="0"/>
        <w:jc w:val="left"/>
      </w:pPr>
      <w:r>
        <w:t xml:space="preserve"> </w:t>
      </w:r>
    </w:p>
    <w:p w:rsidR="008D0CA9" w:rsidRDefault="00000000">
      <w:pPr>
        <w:pStyle w:val="Nadpis2"/>
        <w:ind w:left="290"/>
      </w:pPr>
      <w:r>
        <w:t>Informácia o splnení predpokladu nepretržitého pokračovania v činnosti účtovnej jednotky</w:t>
      </w:r>
      <w:r>
        <w:rPr>
          <w:u w:val="none"/>
        </w:rPr>
        <w:t xml:space="preserve">   </w:t>
      </w:r>
    </w:p>
    <w:p w:rsidR="008D0CA9" w:rsidRDefault="00000000">
      <w:pPr>
        <w:spacing w:after="55"/>
        <w:ind w:left="290"/>
      </w:pPr>
      <w:r>
        <w:t xml:space="preserve">Konsolidovaná účtovná závierka Obce Orlov bola zostavená za predpokladu nepretržitého pokračovania v činnosti jednotlivých účtovných jednotiek tvoriacich konsolidovaný celok, a to v súlade so zákonom o účtovníctve a nadväzujúcimi právnymi predpismi. </w:t>
      </w:r>
    </w:p>
    <w:p w:rsidR="008D0CA9" w:rsidRDefault="00000000">
      <w:pPr>
        <w:spacing w:after="213" w:line="259" w:lineRule="auto"/>
        <w:ind w:left="295" w:firstLine="0"/>
        <w:jc w:val="left"/>
      </w:pPr>
      <w:r>
        <w:rPr>
          <w:i/>
        </w:rPr>
        <w:t xml:space="preserve"> </w:t>
      </w:r>
    </w:p>
    <w:p w:rsidR="008D0CA9" w:rsidRDefault="00000000">
      <w:pPr>
        <w:pStyle w:val="Nadpis2"/>
        <w:ind w:left="290"/>
      </w:pPr>
      <w:r>
        <w:t>Zmeny účtovných metód a účtovných zásad</w:t>
      </w:r>
      <w:r>
        <w:rPr>
          <w:u w:val="none"/>
        </w:rPr>
        <w:t xml:space="preserve"> </w:t>
      </w:r>
    </w:p>
    <w:p w:rsidR="008D0CA9" w:rsidRDefault="00000000">
      <w:pPr>
        <w:spacing w:after="60"/>
        <w:ind w:left="290"/>
      </w:pPr>
      <w:r>
        <w:t xml:space="preserve">Účtovné metódy a všeobecné účtovné zásady boli v konsolidovanom celku konzistentne aplikované. </w:t>
      </w:r>
    </w:p>
    <w:p w:rsidR="008D0CA9" w:rsidRDefault="00000000">
      <w:pPr>
        <w:spacing w:after="93" w:line="259" w:lineRule="auto"/>
        <w:ind w:left="760" w:firstLine="0"/>
        <w:jc w:val="left"/>
      </w:pPr>
      <w:r>
        <w:t xml:space="preserve"> </w:t>
      </w:r>
    </w:p>
    <w:p w:rsidR="008D0CA9" w:rsidRDefault="00000000">
      <w:pPr>
        <w:pStyle w:val="Nadpis2"/>
        <w:ind w:left="290"/>
      </w:pPr>
      <w:r>
        <w:t>Spôsob ocenenia jednotlivých zložiek</w:t>
      </w:r>
      <w:r>
        <w:rPr>
          <w:u w:val="none"/>
        </w:rPr>
        <w:t xml:space="preserve"> </w:t>
      </w:r>
    </w:p>
    <w:p w:rsidR="008D0CA9" w:rsidRDefault="00000000">
      <w:pPr>
        <w:ind w:left="290"/>
      </w:pPr>
      <w:r>
        <w:rPr>
          <w:u w:val="single" w:color="000000"/>
        </w:rPr>
        <w:t>Dlhodobý majetok</w:t>
      </w:r>
      <w:r>
        <w:t xml:space="preserve"> obstaraný kúpou sa oceňuje obstarávacou cenou, ktorá zahrňuje cenu obstarania a náklady súvisiace s obstaraním (clo, prepravu, montáž, poistné a pod.). Súčasťou obstarávacej ceny dlhodobého nehmotného  a nehmotného majetku nie sú resp. sú  úroky z úverov do doby zaradenia  majetku. O zľave z ceny, ktorú poskytol dodávateľ k majetku sa následne zníži obstarávacia cena predmetného majetku. </w:t>
      </w:r>
    </w:p>
    <w:p w:rsidR="008D0CA9" w:rsidRDefault="00000000">
      <w:pPr>
        <w:spacing w:after="0" w:line="259" w:lineRule="auto"/>
        <w:ind w:left="295" w:firstLine="0"/>
        <w:jc w:val="left"/>
      </w:pPr>
      <w:r>
        <w:t xml:space="preserve"> </w:t>
      </w:r>
    </w:p>
    <w:p w:rsidR="008D0CA9" w:rsidRDefault="00000000">
      <w:pPr>
        <w:ind w:left="290"/>
      </w:pPr>
      <w:r>
        <w:t xml:space="preserve">Dlhodobý majetok vytvorený vlastnou činnosťou 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 </w:t>
      </w:r>
    </w:p>
    <w:p w:rsidR="008D0CA9" w:rsidRDefault="00000000">
      <w:pPr>
        <w:spacing w:after="0" w:line="259" w:lineRule="auto"/>
        <w:ind w:left="295" w:firstLine="0"/>
        <w:jc w:val="left"/>
      </w:pPr>
      <w:r>
        <w:t xml:space="preserve"> </w:t>
      </w:r>
    </w:p>
    <w:p w:rsidR="008D0CA9" w:rsidRDefault="00000000">
      <w:pPr>
        <w:ind w:left="290" w:right="79"/>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 </w:t>
      </w:r>
    </w:p>
    <w:p w:rsidR="008D0CA9" w:rsidRDefault="00000000">
      <w:pPr>
        <w:spacing w:after="0" w:line="259" w:lineRule="auto"/>
        <w:ind w:left="295" w:firstLine="0"/>
        <w:jc w:val="left"/>
      </w:pPr>
      <w:r>
        <w:t xml:space="preserve"> </w:t>
      </w:r>
    </w:p>
    <w:p w:rsidR="008D0CA9" w:rsidRDefault="00000000">
      <w:pPr>
        <w:ind w:left="290"/>
      </w:pPr>
      <w:r>
        <w:t xml:space="preserve">Predpokladaná doba používania, metóda odpisovania a odpisová sadzba uplatňovaná pri účtovných odpisoch sú uvedené v nasledujúcej tabuľke: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pPr>
      <w:r>
        <w:rPr>
          <w:i/>
        </w:rPr>
        <w:t xml:space="preserve"> </w:t>
      </w:r>
    </w:p>
    <w:p w:rsidR="008D0CA9" w:rsidRDefault="00000000">
      <w:pPr>
        <w:spacing w:after="0" w:line="259" w:lineRule="auto"/>
        <w:ind w:left="295" w:firstLine="0"/>
        <w:jc w:val="left"/>
      </w:pPr>
      <w:r>
        <w:rPr>
          <w:i/>
        </w:rPr>
        <w:lastRenderedPageBreak/>
        <w:t xml:space="preserve"> </w:t>
      </w:r>
    </w:p>
    <w:tbl>
      <w:tblPr>
        <w:tblStyle w:val="TableGrid"/>
        <w:tblW w:w="9245" w:type="dxa"/>
        <w:tblInd w:w="295" w:type="dxa"/>
        <w:tblCellMar>
          <w:top w:w="17" w:type="dxa"/>
          <w:right w:w="61" w:type="dxa"/>
        </w:tblCellMar>
        <w:tblLook w:val="04A0" w:firstRow="1" w:lastRow="0" w:firstColumn="1" w:lastColumn="0" w:noHBand="0" w:noVBand="1"/>
      </w:tblPr>
      <w:tblGrid>
        <w:gridCol w:w="3882"/>
        <w:gridCol w:w="1981"/>
        <w:gridCol w:w="1580"/>
        <w:gridCol w:w="1802"/>
      </w:tblGrid>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 </w:t>
            </w:r>
          </w:p>
        </w:tc>
        <w:tc>
          <w:tcPr>
            <w:tcW w:w="1981" w:type="dxa"/>
            <w:tcBorders>
              <w:top w:val="single" w:sz="4" w:space="0" w:color="000000"/>
              <w:left w:val="nil"/>
              <w:bottom w:val="nil"/>
              <w:right w:val="nil"/>
            </w:tcBorders>
          </w:tcPr>
          <w:p w:rsidR="008D0CA9" w:rsidRDefault="00000000">
            <w:pPr>
              <w:spacing w:after="0" w:line="259" w:lineRule="auto"/>
              <w:ind w:left="0" w:firstLine="0"/>
              <w:jc w:val="left"/>
            </w:pPr>
            <w:r>
              <w:rPr>
                <w:i/>
              </w:rPr>
              <w:t xml:space="preserve">predpokladaná  </w:t>
            </w:r>
          </w:p>
        </w:tc>
        <w:tc>
          <w:tcPr>
            <w:tcW w:w="1580"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802"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652"/>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r>
              <w:rPr>
                <w:i/>
              </w:rPr>
              <w:tab/>
              <w:t xml:space="preserve"> </w:t>
            </w:r>
          </w:p>
        </w:tc>
        <w:tc>
          <w:tcPr>
            <w:tcW w:w="1981" w:type="dxa"/>
            <w:tcBorders>
              <w:top w:val="nil"/>
              <w:left w:val="nil"/>
              <w:bottom w:val="single" w:sz="4" w:space="0" w:color="000000"/>
              <w:right w:val="nil"/>
            </w:tcBorders>
          </w:tcPr>
          <w:p w:rsidR="008D0CA9" w:rsidRDefault="00000000">
            <w:pPr>
              <w:tabs>
                <w:tab w:val="center" w:pos="727"/>
                <w:tab w:val="center" w:pos="1578"/>
              </w:tabs>
              <w:spacing w:after="23" w:line="259" w:lineRule="auto"/>
              <w:ind w:left="0" w:firstLine="0"/>
              <w:jc w:val="left"/>
            </w:pPr>
            <w:r>
              <w:rPr>
                <w:rFonts w:ascii="Calibri" w:eastAsia="Calibri" w:hAnsi="Calibri" w:cs="Calibri"/>
                <w:sz w:val="22"/>
              </w:rPr>
              <w:tab/>
            </w:r>
            <w:r>
              <w:rPr>
                <w:i/>
              </w:rPr>
              <w:t xml:space="preserve">doba </w:t>
            </w:r>
            <w:r>
              <w:rPr>
                <w:i/>
              </w:rPr>
              <w:tab/>
              <w:t xml:space="preserve"> </w:t>
            </w:r>
          </w:p>
          <w:p w:rsidR="008D0CA9" w:rsidRDefault="00000000">
            <w:pPr>
              <w:spacing w:after="0" w:line="259" w:lineRule="auto"/>
              <w:ind w:left="200" w:firstLine="0"/>
              <w:jc w:val="left"/>
            </w:pPr>
            <w:r>
              <w:rPr>
                <w:i/>
              </w:rPr>
              <w:t xml:space="preserve">používania </w:t>
            </w:r>
          </w:p>
        </w:tc>
        <w:tc>
          <w:tcPr>
            <w:tcW w:w="1580"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sadzba v % </w:t>
            </w:r>
          </w:p>
        </w:tc>
      </w:tr>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náklady na vývoj </w:t>
            </w:r>
          </w:p>
        </w:tc>
        <w:tc>
          <w:tcPr>
            <w:tcW w:w="1981" w:type="dxa"/>
            <w:tcBorders>
              <w:top w:val="single" w:sz="4" w:space="0" w:color="000000"/>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single" w:sz="4" w:space="0" w:color="000000"/>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proofErr w:type="spellStart"/>
            <w:r>
              <w:rPr>
                <w:i/>
              </w:rPr>
              <w:t>softvare</w:t>
            </w:r>
            <w:proofErr w:type="spellEnd"/>
            <w:r>
              <w:rPr>
                <w:i/>
              </w:rPr>
              <w:t xml:space="preserv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4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25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oceniteľné práva (licencie)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40"/>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nehmotný majetok </w:t>
            </w:r>
          </w:p>
        </w:tc>
        <w:tc>
          <w:tcPr>
            <w:tcW w:w="1981" w:type="dxa"/>
            <w:tcBorders>
              <w:top w:val="nil"/>
              <w:left w:val="nil"/>
              <w:bottom w:val="single" w:sz="4" w:space="0" w:color="000000"/>
              <w:right w:val="nil"/>
            </w:tcBorders>
          </w:tcPr>
          <w:p w:rsidR="008D0CA9" w:rsidRDefault="00000000">
            <w:pPr>
              <w:spacing w:after="0" w:line="259" w:lineRule="auto"/>
              <w:ind w:left="76" w:firstLine="0"/>
              <w:jc w:val="left"/>
            </w:pPr>
            <w:r>
              <w:rPr>
                <w:i/>
              </w:rPr>
              <w:t xml:space="preserve">rôzna napr. 2  </w:t>
            </w:r>
          </w:p>
        </w:tc>
        <w:tc>
          <w:tcPr>
            <w:tcW w:w="1580"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50 </w:t>
            </w:r>
          </w:p>
        </w:tc>
      </w:tr>
    </w:tbl>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113"/>
        <w:ind w:left="290"/>
      </w:pPr>
      <w:r>
        <w:t xml:space="preserve">Predpokladaná doba používania, metóda odpisovania a odpisová sadzba uplatňovaná pri účtovných odpisoch sú uvedené v nasledujúcej tabuľke: </w:t>
      </w:r>
    </w:p>
    <w:p w:rsidR="008D0CA9" w:rsidRDefault="00000000">
      <w:pPr>
        <w:spacing w:after="0" w:line="259" w:lineRule="auto"/>
        <w:ind w:left="295" w:firstLine="0"/>
        <w:jc w:val="left"/>
      </w:pPr>
      <w:r>
        <w:rPr>
          <w:i/>
        </w:rPr>
        <w:t xml:space="preserve"> </w:t>
      </w:r>
    </w:p>
    <w:tbl>
      <w:tblPr>
        <w:tblStyle w:val="TableGrid"/>
        <w:tblW w:w="9216" w:type="dxa"/>
        <w:tblInd w:w="295" w:type="dxa"/>
        <w:tblCellMar>
          <w:top w:w="17" w:type="dxa"/>
          <w:right w:w="47" w:type="dxa"/>
        </w:tblCellMar>
        <w:tblLook w:val="04A0" w:firstRow="1" w:lastRow="0" w:firstColumn="1" w:lastColumn="0" w:noHBand="0" w:noVBand="1"/>
      </w:tblPr>
      <w:tblGrid>
        <w:gridCol w:w="3433"/>
        <w:gridCol w:w="451"/>
        <w:gridCol w:w="2053"/>
        <w:gridCol w:w="1506"/>
        <w:gridCol w:w="1773"/>
      </w:tblGrid>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spacing w:after="0" w:line="259" w:lineRule="auto"/>
              <w:ind w:left="70" w:firstLine="0"/>
              <w:jc w:val="left"/>
            </w:pPr>
            <w:r>
              <w:rPr>
                <w:i/>
              </w:rPr>
              <w:t xml:space="preserve">predpokladaná  </w:t>
            </w:r>
          </w:p>
        </w:tc>
        <w:tc>
          <w:tcPr>
            <w:tcW w:w="1506"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773"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335"/>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p>
        </w:tc>
        <w:tc>
          <w:tcPr>
            <w:tcW w:w="451"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 </w:t>
            </w:r>
          </w:p>
        </w:tc>
        <w:tc>
          <w:tcPr>
            <w:tcW w:w="2053"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doba používania  </w:t>
            </w:r>
          </w:p>
        </w:tc>
        <w:tc>
          <w:tcPr>
            <w:tcW w:w="1506"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sadzba v % </w:t>
            </w:r>
          </w:p>
        </w:tc>
      </w:tr>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budovy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40 </w:t>
            </w:r>
            <w:r>
              <w:rPr>
                <w:i/>
              </w:rPr>
              <w:tab/>
              <w:t xml:space="preserve"> </w:t>
            </w:r>
          </w:p>
        </w:tc>
        <w:tc>
          <w:tcPr>
            <w:tcW w:w="1506"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single" w:sz="4" w:space="0" w:color="000000"/>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2,5 </w:t>
            </w:r>
          </w:p>
        </w:tc>
      </w:tr>
      <w:tr w:rsidR="008D0CA9">
        <w:trPr>
          <w:trHeight w:val="317"/>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stroje, prístroje a zariadenia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8 až 20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 až 12,5 </w:t>
            </w:r>
          </w:p>
        </w:tc>
      </w:tr>
      <w:tr w:rsidR="008D0CA9">
        <w:trPr>
          <w:trHeight w:val="319"/>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dopravné prostriedky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 až 6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16 až 25 </w:t>
            </w:r>
          </w:p>
        </w:tc>
      </w:tr>
      <w:tr w:rsidR="008D0CA9">
        <w:trPr>
          <w:trHeight w:val="338"/>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hmotný majetok </w:t>
            </w:r>
          </w:p>
        </w:tc>
        <w:tc>
          <w:tcPr>
            <w:tcW w:w="451" w:type="dxa"/>
            <w:tcBorders>
              <w:top w:val="nil"/>
              <w:left w:val="nil"/>
              <w:bottom w:val="single" w:sz="4" w:space="0" w:color="000000"/>
              <w:right w:val="nil"/>
            </w:tcBorders>
          </w:tcPr>
          <w:p w:rsidR="008D0CA9" w:rsidRDefault="008D0CA9">
            <w:pPr>
              <w:spacing w:after="160" w:line="259" w:lineRule="auto"/>
              <w:ind w:left="0" w:firstLine="0"/>
              <w:jc w:val="left"/>
            </w:pPr>
          </w:p>
        </w:tc>
        <w:tc>
          <w:tcPr>
            <w:tcW w:w="2053" w:type="dxa"/>
            <w:tcBorders>
              <w:top w:val="nil"/>
              <w:left w:val="nil"/>
              <w:bottom w:val="single" w:sz="4" w:space="0" w:color="000000"/>
              <w:right w:val="nil"/>
            </w:tcBorders>
          </w:tcPr>
          <w:p w:rsidR="008D0CA9" w:rsidRDefault="00000000">
            <w:pPr>
              <w:tabs>
                <w:tab w:val="center" w:pos="1716"/>
              </w:tabs>
              <w:spacing w:after="0" w:line="259" w:lineRule="auto"/>
              <w:ind w:left="0" w:firstLine="0"/>
              <w:jc w:val="left"/>
            </w:pPr>
            <w:r>
              <w:rPr>
                <w:i/>
              </w:rPr>
              <w:t xml:space="preserve">rôzna napr. 2 </w:t>
            </w:r>
            <w:r>
              <w:rPr>
                <w:i/>
              </w:rPr>
              <w:tab/>
              <w:t xml:space="preserve"> </w:t>
            </w:r>
          </w:p>
        </w:tc>
        <w:tc>
          <w:tcPr>
            <w:tcW w:w="1506"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50 </w:t>
            </w:r>
          </w:p>
        </w:tc>
      </w:tr>
    </w:tbl>
    <w:p w:rsidR="008D0CA9" w:rsidRDefault="00000000">
      <w:pPr>
        <w:spacing w:after="208" w:line="259" w:lineRule="auto"/>
        <w:ind w:left="281" w:firstLine="0"/>
        <w:jc w:val="left"/>
      </w:pPr>
      <w:r>
        <w:rPr>
          <w:b/>
        </w:rPr>
        <w:t xml:space="preserve"> </w:t>
      </w:r>
    </w:p>
    <w:p w:rsidR="008D0CA9" w:rsidRDefault="00000000">
      <w:pPr>
        <w:ind w:left="290"/>
      </w:pPr>
      <w:r>
        <w:rPr>
          <w:u w:val="single" w:color="000000"/>
        </w:rPr>
        <w:t>Cenné papiere a podiely</w:t>
      </w:r>
      <w:r>
        <w:t xml:space="preserve"> sa oceňujú pri ich nadobudnutí obstarávacími cenami, </w:t>
      </w:r>
      <w:proofErr w:type="spellStart"/>
      <w:r>
        <w:t>t.j</w:t>
      </w:r>
      <w:proofErr w:type="spellEnd"/>
      <w:r>
        <w:t xml:space="preserve">. vrátane nákladov súvisiacich s obstaraním.  </w:t>
      </w:r>
    </w:p>
    <w:p w:rsidR="008D0CA9" w:rsidRDefault="00000000">
      <w:pPr>
        <w:spacing w:after="0" w:line="259" w:lineRule="auto"/>
        <w:ind w:left="295" w:firstLine="0"/>
        <w:jc w:val="left"/>
      </w:pPr>
      <w:r>
        <w:t xml:space="preserve"> </w:t>
      </w:r>
      <w:r>
        <w:tab/>
        <w:t xml:space="preserve"> </w:t>
      </w:r>
      <w:r>
        <w:tab/>
        <w:t xml:space="preserve"> </w:t>
      </w:r>
      <w:r>
        <w:tab/>
        <w:t xml:space="preserve"> </w:t>
      </w:r>
    </w:p>
    <w:p w:rsidR="008D0CA9" w:rsidRDefault="00000000">
      <w:pPr>
        <w:ind w:left="290"/>
      </w:pPr>
      <w:r>
        <w:rPr>
          <w:u w:val="single" w:color="000000"/>
        </w:rPr>
        <w:t xml:space="preserve">Zásoby </w:t>
      </w:r>
      <w:r>
        <w:t xml:space="preserve">nakupované 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 </w:t>
      </w:r>
    </w:p>
    <w:p w:rsidR="008D0CA9" w:rsidRDefault="00000000">
      <w:pPr>
        <w:ind w:left="290"/>
      </w:pPr>
      <w: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8D0CA9" w:rsidRDefault="00000000">
      <w:pPr>
        <w:ind w:left="290" w:right="79"/>
      </w:pPr>
      <w:r>
        <w:t xml:space="preserve">Zásoby nadobudnuté bezodplatne (darovaním a delimitáciou), prebytky zásob, odpad a zvyškové produkty  sa oceňujú reprodukčnou obstarávacou cenou, čo  je cena, za ktorú by sa majetok obstaral v čase, keď sa o ňom účtuje.  </w:t>
      </w:r>
    </w:p>
    <w:p w:rsidR="008D0CA9" w:rsidRDefault="00000000">
      <w:pPr>
        <w:ind w:left="290"/>
      </w:pPr>
      <w:r>
        <w:t xml:space="preserve">Novozistené zásoby pri inventarizácii sa oceňujú reprodukčnou obstarávacou cenou. </w:t>
      </w:r>
    </w:p>
    <w:p w:rsidR="008D0CA9" w:rsidRDefault="00000000">
      <w:pPr>
        <w:spacing w:after="0" w:line="259" w:lineRule="auto"/>
        <w:ind w:left="295" w:firstLine="0"/>
        <w:jc w:val="left"/>
      </w:pPr>
      <w:r>
        <w:t xml:space="preserve"> </w:t>
      </w:r>
    </w:p>
    <w:p w:rsidR="008D0CA9" w:rsidRDefault="00000000">
      <w:pPr>
        <w:ind w:left="290"/>
      </w:pPr>
      <w:r>
        <w:rPr>
          <w:u w:val="single" w:color="000000"/>
        </w:rPr>
        <w:lastRenderedPageBreak/>
        <w:t>Pohľadávky</w:t>
      </w:r>
      <w:r>
        <w:t xml:space="preserve"> sa pri ich vzniku oceňujú menovitou hodnotou. Pohľadávky pri odplatnom nadobudnutí sa oceňujú obstarávacou cenou, </w:t>
      </w:r>
      <w:proofErr w:type="spellStart"/>
      <w:r>
        <w:t>t.j</w:t>
      </w:r>
      <w:proofErr w:type="spellEnd"/>
      <w:r>
        <w:t xml:space="preserve">. vrátane nákladov  súvisiacich s obstaraním. Toto ocenenie sa znižuje o pochybné,  nedobytným pohľadávky a o pohľadávky, pri ktorých existuje riziko nevymožiteľnosti. </w:t>
      </w:r>
    </w:p>
    <w:p w:rsidR="008D0CA9" w:rsidRDefault="00000000">
      <w:pPr>
        <w:spacing w:after="0" w:line="259" w:lineRule="auto"/>
        <w:ind w:left="295" w:firstLine="0"/>
        <w:jc w:val="left"/>
      </w:pPr>
      <w:r>
        <w:t xml:space="preserve"> </w:t>
      </w:r>
    </w:p>
    <w:p w:rsidR="008D0CA9" w:rsidRDefault="00000000">
      <w:pPr>
        <w:ind w:left="290"/>
      </w:pPr>
      <w:r>
        <w:rPr>
          <w:u w:val="single" w:color="000000"/>
        </w:rPr>
        <w:t>Peňažné prostriedky a ceniny</w:t>
      </w:r>
      <w:r>
        <w:t xml:space="preserve"> sa oceňujú menovitou hodnotou. </w:t>
      </w:r>
    </w:p>
    <w:p w:rsidR="008D0CA9" w:rsidRDefault="00000000">
      <w:pPr>
        <w:ind w:left="290"/>
      </w:pPr>
      <w:r>
        <w:rPr>
          <w:u w:val="single" w:color="000000"/>
        </w:rPr>
        <w:t>Rezervy</w:t>
      </w:r>
      <w:r>
        <w:t xml:space="preserve"> sú záväzky s neurčitým časovým vymedzením alebo výškou a oceňujú sa v očakávanej výške záväzku. </w:t>
      </w:r>
    </w:p>
    <w:p w:rsidR="008D0CA9" w:rsidRDefault="00000000">
      <w:pPr>
        <w:spacing w:after="0" w:line="259" w:lineRule="auto"/>
        <w:ind w:left="295" w:firstLine="0"/>
        <w:jc w:val="left"/>
      </w:pPr>
      <w:r>
        <w:t xml:space="preserve"> </w:t>
      </w:r>
    </w:p>
    <w:p w:rsidR="008D0CA9" w:rsidRDefault="00000000">
      <w:pPr>
        <w:ind w:left="290"/>
      </w:pPr>
      <w:r>
        <w:rPr>
          <w:u w:val="single" w:color="000000"/>
        </w:rPr>
        <w:t>Záväzky</w:t>
      </w:r>
      <w:r>
        <w:t xml:space="preserve"> sa pri ich vzniku oceňujú menovitou hodnotou a pri ich prevzatí sa oceňujú obstarávacou cenou.  </w:t>
      </w:r>
    </w:p>
    <w:p w:rsidR="008D0CA9" w:rsidRDefault="00000000">
      <w:pPr>
        <w:spacing w:after="0" w:line="259" w:lineRule="auto"/>
        <w:ind w:left="295" w:firstLine="0"/>
        <w:jc w:val="left"/>
      </w:pPr>
      <w:r>
        <w:t xml:space="preserve"> </w:t>
      </w:r>
    </w:p>
    <w:p w:rsidR="008D0CA9" w:rsidRDefault="00000000">
      <w:pPr>
        <w:spacing w:after="60"/>
        <w:ind w:left="290"/>
      </w:pPr>
      <w:r>
        <w:t xml:space="preserve">Účty </w:t>
      </w:r>
      <w:r>
        <w:rPr>
          <w:u w:val="single" w:color="000000"/>
        </w:rPr>
        <w:t>časového rozlíšenia aktív a pasív</w:t>
      </w:r>
      <w:r>
        <w:t xml:space="preserve"> sú vykázané vo výške, ktorá je potrebná  na dodržanie zásady vecnej a časovej súvislosti s účtovným obdobím. </w:t>
      </w:r>
    </w:p>
    <w:p w:rsidR="008D0CA9" w:rsidRDefault="00000000">
      <w:pPr>
        <w:spacing w:after="208"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pStyle w:val="Nadpis1"/>
        <w:ind w:left="986" w:hanging="720"/>
      </w:pPr>
      <w:r>
        <w:t xml:space="preserve">INFORMÁCIE O METÓDACH A POSTUPOCH KONSOLIDÁCIE </w:t>
      </w:r>
    </w:p>
    <w:p w:rsidR="008D0CA9" w:rsidRDefault="00000000">
      <w:pPr>
        <w:spacing w:after="108" w:line="259" w:lineRule="auto"/>
        <w:ind w:left="295" w:firstLine="0"/>
        <w:jc w:val="left"/>
      </w:pPr>
      <w:r>
        <w:t xml:space="preserve"> </w:t>
      </w:r>
    </w:p>
    <w:p w:rsidR="008D0CA9" w:rsidRDefault="00000000">
      <w:pPr>
        <w:ind w:left="290" w:right="79"/>
      </w:pPr>
      <w:r>
        <w:t>Konsolidovaná účtovná závierka Obce Orlov</w:t>
      </w:r>
      <w:r>
        <w:rPr>
          <w:color w:val="0070C0"/>
        </w:rPr>
        <w:t xml:space="preserve"> </w:t>
      </w:r>
      <w:r>
        <w:t xml:space="preserve">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rsidR="008D0CA9" w:rsidRDefault="00000000">
      <w:pPr>
        <w:spacing w:after="0" w:line="259" w:lineRule="auto"/>
        <w:ind w:left="295" w:firstLine="0"/>
        <w:jc w:val="left"/>
      </w:pPr>
      <w:r>
        <w:t xml:space="preserve"> </w:t>
      </w:r>
    </w:p>
    <w:p w:rsidR="008D0CA9" w:rsidRDefault="00000000">
      <w:pPr>
        <w:ind w:left="290"/>
      </w:pPr>
      <w:r>
        <w:t xml:space="preserve">V rámci konsolidácie konsolidovaného celku Obce boli eliminované vzájomné pohľadávky, záväzky, náklady a výnosy, bola vykonaná konsolidácia kapitálu.  </w:t>
      </w:r>
    </w:p>
    <w:p w:rsidR="008D0CA9" w:rsidRDefault="00000000">
      <w:pPr>
        <w:spacing w:after="0" w:line="259" w:lineRule="auto"/>
        <w:ind w:left="295" w:firstLine="0"/>
        <w:jc w:val="left"/>
      </w:pPr>
      <w:r>
        <w:rPr>
          <w:i/>
        </w:rPr>
        <w:t xml:space="preserve"> </w:t>
      </w:r>
    </w:p>
    <w:p w:rsidR="008D0CA9" w:rsidRDefault="00000000">
      <w:pPr>
        <w:spacing w:after="0" w:line="259" w:lineRule="auto"/>
        <w:ind w:left="295" w:firstLine="0"/>
        <w:jc w:val="left"/>
      </w:pPr>
      <w:r>
        <w:rPr>
          <w:i/>
        </w:rPr>
        <w:t xml:space="preserve">Zahrnutie konsolidovaných účtovných jednotiek do konsolidovanej účtovnej závierky </w:t>
      </w:r>
    </w:p>
    <w:tbl>
      <w:tblPr>
        <w:tblStyle w:val="TableGrid"/>
        <w:tblW w:w="9250" w:type="dxa"/>
        <w:tblInd w:w="227" w:type="dxa"/>
        <w:tblCellMar>
          <w:top w:w="11" w:type="dxa"/>
          <w:left w:w="106" w:type="dxa"/>
          <w:right w:w="96" w:type="dxa"/>
        </w:tblCellMar>
        <w:tblLook w:val="04A0" w:firstRow="1" w:lastRow="0" w:firstColumn="1" w:lastColumn="0" w:noHBand="0" w:noVBand="1"/>
      </w:tblPr>
      <w:tblGrid>
        <w:gridCol w:w="4633"/>
        <w:gridCol w:w="1522"/>
        <w:gridCol w:w="1541"/>
        <w:gridCol w:w="1554"/>
      </w:tblGrid>
      <w:tr w:rsidR="008D0CA9">
        <w:trPr>
          <w:trHeight w:val="838"/>
        </w:trPr>
        <w:tc>
          <w:tcPr>
            <w:tcW w:w="4633"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110" w:right="2" w:firstLine="0"/>
              <w:jc w:val="center"/>
            </w:pPr>
            <w:r>
              <w:t xml:space="preserve">Názov resp. obchodné meno  konsolidovanej účtovnej jednotky </w:t>
            </w:r>
          </w:p>
        </w:tc>
        <w:tc>
          <w:tcPr>
            <w:tcW w:w="1522"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úplnej konsolidácie </w:t>
            </w:r>
          </w:p>
        </w:tc>
        <w:tc>
          <w:tcPr>
            <w:tcW w:w="1541"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6"/>
              <w:jc w:val="center"/>
            </w:pPr>
            <w:r>
              <w:t xml:space="preserve">Metóda  podielovej konsolidácie </w:t>
            </w:r>
          </w:p>
        </w:tc>
        <w:tc>
          <w:tcPr>
            <w:tcW w:w="1554"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vlastného imania </w:t>
            </w:r>
          </w:p>
        </w:tc>
      </w:tr>
      <w:tr w:rsidR="008D0CA9">
        <w:trPr>
          <w:trHeight w:val="284"/>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Obec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Základná škola s materskou školou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3"/>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06" w:firstLine="0"/>
              <w:jc w:val="center"/>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 xml:space="preserve">Pri dcérskej účtovnej jednotke bola použitá metóda úplnej konsolidácie. </w:t>
      </w:r>
    </w:p>
    <w:p w:rsidR="008D0CA9" w:rsidRDefault="00000000">
      <w:pPr>
        <w:spacing w:after="0" w:line="259" w:lineRule="auto"/>
        <w:ind w:left="295" w:firstLine="0"/>
        <w:jc w:val="left"/>
      </w:pPr>
      <w:r>
        <w:t xml:space="preserve"> </w:t>
      </w:r>
    </w:p>
    <w:p w:rsidR="008D0CA9" w:rsidRDefault="00000000">
      <w:pPr>
        <w:ind w:left="290" w:right="79"/>
      </w:pPr>
      <w:r>
        <w:t>V roku 202</w:t>
      </w:r>
      <w:r w:rsidR="001B63D5">
        <w:t>2</w:t>
      </w:r>
      <w:r>
        <w:t xml:space="preserve">, rovnako ako v predchádzajúcich účtovných obdobiach,  sa medzi účtovnými jednotkami konsolidovaného celku Obce Orlov neuskutočnil nákup, resp. predaj majetku. Preto nebolo potrebné vykonať konsolidáciu medzivýsledku. </w:t>
      </w:r>
    </w:p>
    <w:p w:rsidR="008D0CA9" w:rsidRDefault="00000000">
      <w:pPr>
        <w:spacing w:after="0" w:line="259" w:lineRule="auto"/>
        <w:ind w:left="295" w:firstLine="0"/>
        <w:jc w:val="left"/>
      </w:pPr>
      <w:r>
        <w:t xml:space="preserve"> </w:t>
      </w:r>
    </w:p>
    <w:p w:rsidR="008D0CA9" w:rsidRDefault="00000000">
      <w:pPr>
        <w:spacing w:after="44" w:line="259" w:lineRule="auto"/>
        <w:ind w:left="295" w:firstLine="0"/>
        <w:jc w:val="left"/>
      </w:pPr>
      <w:r>
        <w:t xml:space="preserve"> </w:t>
      </w:r>
    </w:p>
    <w:p w:rsidR="008D0CA9" w:rsidRDefault="00000000">
      <w:pPr>
        <w:pStyle w:val="Nadpis1"/>
        <w:spacing w:after="229"/>
        <w:ind w:left="986" w:hanging="720"/>
      </w:pPr>
      <w:r>
        <w:lastRenderedPageBreak/>
        <w:t xml:space="preserve">INFORMÁCIE O ÚDAJOCH NA STRANE AKTÍV  </w:t>
      </w:r>
    </w:p>
    <w:p w:rsidR="008D0CA9" w:rsidRDefault="00000000">
      <w:pPr>
        <w:pStyle w:val="Nadpis2"/>
        <w:ind w:left="290"/>
      </w:pPr>
      <w:r>
        <w:t>Dlhodobý nehmotný majetok a dlhodobý hmotný majetok</w:t>
      </w:r>
      <w:r>
        <w:rPr>
          <w:u w:val="none"/>
        </w:rPr>
        <w:t xml:space="preserve"> </w:t>
      </w:r>
    </w:p>
    <w:p w:rsidR="008D0CA9" w:rsidRDefault="00000000">
      <w:pPr>
        <w:ind w:left="290"/>
      </w:pPr>
      <w:r>
        <w:t>Prehľad pohybu dlhodobého nehmotného a dlhodobého hmotného majetku od 1. januára 202</w:t>
      </w:r>
      <w:r w:rsidR="001B63D5">
        <w:t>2</w:t>
      </w:r>
      <w:r>
        <w:t xml:space="preserve"> do 31. decembra 202</w:t>
      </w:r>
      <w:r w:rsidR="001B63D5">
        <w:t>2</w:t>
      </w:r>
      <w:r>
        <w:t xml:space="preserve"> je uvedený v tabuľkovej časti konsolidovaných poznámok (tabuľka č. 2 -  </w:t>
      </w:r>
      <w:r>
        <w:rPr>
          <w:i/>
        </w:rPr>
        <w:t xml:space="preserve">Prehľad o pohybe </w:t>
      </w:r>
      <w:r>
        <w:t>DNH a DHM)</w:t>
      </w:r>
      <w:r>
        <w:rPr>
          <w:i/>
        </w:rPr>
        <w:t>.</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Dlhodobý nehmotný a hmotný majetok je poistený pre prípad škôd spôsobených krádežou a živelnou pohromou. </w:t>
      </w:r>
    </w:p>
    <w:p w:rsidR="008D0CA9" w:rsidRDefault="00000000">
      <w:pPr>
        <w:spacing w:after="40" w:line="259" w:lineRule="auto"/>
        <w:ind w:left="295" w:firstLine="0"/>
        <w:jc w:val="left"/>
      </w:pPr>
      <w:r>
        <w:t xml:space="preserve"> </w:t>
      </w:r>
    </w:p>
    <w:p w:rsidR="008D0CA9" w:rsidRDefault="00000000">
      <w:pPr>
        <w:pStyle w:val="Nadpis2"/>
        <w:ind w:left="290"/>
      </w:pPr>
      <w:r>
        <w:t>Dlhodobý finančný majetok</w:t>
      </w:r>
      <w:r>
        <w:rPr>
          <w:u w:val="none"/>
        </w:rPr>
        <w:t xml:space="preserve"> </w:t>
      </w:r>
    </w:p>
    <w:p w:rsidR="008D0CA9" w:rsidRDefault="00000000">
      <w:pPr>
        <w:ind w:left="290"/>
      </w:pPr>
      <w:r>
        <w:t xml:space="preserve">Prehľad </w:t>
      </w:r>
      <w:r w:rsidR="001B63D5">
        <w:t xml:space="preserve"> </w:t>
      </w:r>
      <w:r>
        <w:t xml:space="preserve">dlhodobého </w:t>
      </w:r>
      <w:r w:rsidR="001B63D5">
        <w:t xml:space="preserve"> </w:t>
      </w:r>
      <w:r>
        <w:t xml:space="preserve">finančného </w:t>
      </w:r>
      <w:r w:rsidR="001B63D5">
        <w:t xml:space="preserve"> </w:t>
      </w:r>
      <w:r>
        <w:t>majetku účtovnej jednotky od 1. januára 202</w:t>
      </w:r>
      <w:r w:rsidR="001B63D5">
        <w:t>2</w:t>
      </w:r>
      <w:r>
        <w:t xml:space="preserve"> do                       31. decembra 202</w:t>
      </w:r>
      <w:r w:rsidR="001B63D5">
        <w:t>2</w:t>
      </w:r>
      <w:r>
        <w:t xml:space="preserve"> je uvedený je uvedený v tabuľkovej časti konsolidovaných poznámok </w:t>
      </w:r>
      <w:r>
        <w:rPr>
          <w:i/>
        </w:rPr>
        <w:t>(tabuľka č. 2 - Prehľad o pohybe DNH a DHM)</w:t>
      </w:r>
      <w:r>
        <w:t>.</w:t>
      </w:r>
      <w:r>
        <w:rPr>
          <w:i/>
        </w:rP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vlastní akcie vo PVS, </w:t>
      </w:r>
      <w:proofErr w:type="spellStart"/>
      <w:r>
        <w:t>a.s</w:t>
      </w:r>
      <w:proofErr w:type="spellEnd"/>
      <w:r>
        <w:t>. v mene euro. Účtovná hodnota k 31.12.202</w:t>
      </w:r>
      <w:r w:rsidR="001B63D5">
        <w:t>2</w:t>
      </w:r>
      <w:r>
        <w:t xml:space="preserve"> predstavovala sumu  113 343,85 €.   </w:t>
      </w:r>
    </w:p>
    <w:p w:rsidR="008D0CA9" w:rsidRDefault="00000000">
      <w:pPr>
        <w:spacing w:after="60" w:line="259" w:lineRule="auto"/>
        <w:ind w:left="295" w:firstLine="0"/>
        <w:jc w:val="left"/>
      </w:pPr>
      <w:r>
        <w:rPr>
          <w:sz w:val="22"/>
        </w:rPr>
        <w:t xml:space="preserve"> </w:t>
      </w:r>
    </w:p>
    <w:p w:rsidR="008D0CA9" w:rsidRDefault="00000000">
      <w:pPr>
        <w:pStyle w:val="Nadpis2"/>
        <w:ind w:left="290"/>
      </w:pPr>
      <w:r>
        <w:t>Pohľadávky</w:t>
      </w:r>
      <w:r>
        <w:rPr>
          <w:u w:val="none"/>
        </w:rPr>
        <w:t xml:space="preserve"> </w:t>
      </w:r>
    </w:p>
    <w:p w:rsidR="008D0CA9" w:rsidRDefault="00000000">
      <w:pPr>
        <w:ind w:left="290"/>
      </w:pPr>
      <w:r>
        <w:t xml:space="preserve">Vývoj opravných položiek k pohľadávkam ako aj rozdelenie pohľadávok podľa splatnosti sú uvedené v tabuľkovej časti konsolidovaných poznámok </w:t>
      </w:r>
      <w:r>
        <w:rPr>
          <w:i/>
        </w:rPr>
        <w:t>(tabuľka č. 9 – Pohľadávky podľa doby splatnosti)</w:t>
      </w:r>
      <w:r>
        <w:t xml:space="preserve">. </w:t>
      </w:r>
    </w:p>
    <w:p w:rsidR="008D0CA9" w:rsidRDefault="00000000">
      <w:pPr>
        <w:ind w:left="290"/>
      </w:pPr>
      <w:r>
        <w:t xml:space="preserve">Najvýznamnejšou položkou pohľadávok sú pohľadávky z daňových a nedaňových príjmov obce. </w:t>
      </w:r>
    </w:p>
    <w:p w:rsidR="008D0CA9" w:rsidRDefault="00000000">
      <w:pPr>
        <w:spacing w:after="45" w:line="259" w:lineRule="auto"/>
        <w:ind w:left="295" w:firstLine="0"/>
        <w:jc w:val="left"/>
      </w:pPr>
      <w:r>
        <w:t xml:space="preserve"> </w:t>
      </w:r>
    </w:p>
    <w:p w:rsidR="008D0CA9" w:rsidRDefault="00000000">
      <w:pPr>
        <w:pStyle w:val="Nadpis2"/>
        <w:ind w:left="290"/>
      </w:pPr>
      <w:r>
        <w:t>Finančný majetok</w:t>
      </w:r>
      <w:r>
        <w:rPr>
          <w:u w:val="none"/>
        </w:rPr>
        <w:t xml:space="preserve"> </w:t>
      </w:r>
    </w:p>
    <w:p w:rsidR="008D0CA9" w:rsidRDefault="00000000">
      <w:pPr>
        <w:ind w:left="290"/>
      </w:pPr>
      <w:r>
        <w:t xml:space="preserve">Ako finančný majetok sú vykázané peňažné prostriedky v pokladnici a účty v bankách. Účtami v bankách môže účtovná jednotka voľne disponovať. </w:t>
      </w:r>
    </w:p>
    <w:p w:rsidR="008D0CA9" w:rsidRDefault="00000000">
      <w:pPr>
        <w:spacing w:after="40" w:line="259" w:lineRule="auto"/>
        <w:ind w:left="295" w:firstLine="0"/>
        <w:jc w:val="left"/>
      </w:pPr>
      <w:r>
        <w:t xml:space="preserve"> </w:t>
      </w:r>
    </w:p>
    <w:p w:rsidR="008D0CA9" w:rsidRDefault="00000000">
      <w:pPr>
        <w:spacing w:after="211" w:line="259" w:lineRule="auto"/>
        <w:ind w:left="290"/>
        <w:jc w:val="left"/>
      </w:pPr>
      <w:r>
        <w:rPr>
          <w:i/>
          <w:u w:val="single" w:color="000000"/>
        </w:rPr>
        <w:t>Poskytnuté návratné finančné výpomoci</w:t>
      </w:r>
      <w:r>
        <w:rPr>
          <w:i/>
        </w:rPr>
        <w:t xml:space="preserve"> </w:t>
      </w:r>
    </w:p>
    <w:p w:rsidR="008D0CA9" w:rsidRDefault="00000000">
      <w:pPr>
        <w:ind w:left="290"/>
      </w:pPr>
      <w:r>
        <w:t>Obec neposkytla v roku 202</w:t>
      </w:r>
      <w:r w:rsidR="001B63D5">
        <w:t>2</w:t>
      </w:r>
      <w:r>
        <w:t xml:space="preserve"> žiadnu návratnú finančnú výpomoc.   </w:t>
      </w:r>
    </w:p>
    <w:p w:rsidR="008D0CA9" w:rsidRDefault="00000000">
      <w:pPr>
        <w:spacing w:after="0"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81" w:firstLine="0"/>
        <w:jc w:val="left"/>
      </w:pPr>
      <w:r>
        <w:rPr>
          <w:b/>
        </w:rPr>
        <w:t xml:space="preserve"> </w:t>
      </w:r>
    </w:p>
    <w:p w:rsidR="008D0CA9" w:rsidRDefault="00000000">
      <w:pPr>
        <w:pStyle w:val="Nadpis1"/>
        <w:ind w:left="986" w:hanging="720"/>
      </w:pPr>
      <w:r>
        <w:t xml:space="preserve">INFORMÁCIE O ÚDAJOCH NA STRANE PASÍV  </w:t>
      </w:r>
    </w:p>
    <w:p w:rsidR="008D0CA9" w:rsidRDefault="00000000">
      <w:pPr>
        <w:spacing w:after="40" w:line="259" w:lineRule="auto"/>
        <w:ind w:left="295" w:firstLine="0"/>
        <w:jc w:val="left"/>
      </w:pPr>
      <w:r>
        <w:t xml:space="preserve"> </w:t>
      </w:r>
    </w:p>
    <w:p w:rsidR="008D0CA9" w:rsidRDefault="00000000">
      <w:pPr>
        <w:pStyle w:val="Nadpis2"/>
        <w:ind w:left="290"/>
      </w:pPr>
      <w:r>
        <w:t>Vlastné imanie</w:t>
      </w:r>
      <w:r>
        <w:rPr>
          <w:u w:val="none"/>
        </w:rPr>
        <w:t xml:space="preserve"> </w:t>
      </w:r>
    </w:p>
    <w:p w:rsidR="008D0CA9" w:rsidRDefault="00000000">
      <w:pPr>
        <w:ind w:left="290"/>
      </w:pPr>
      <w:r>
        <w:t>Prehľad vlastného imania konsolidovaného celku od 1. januára 202</w:t>
      </w:r>
      <w:r w:rsidR="001B63D5">
        <w:t>2</w:t>
      </w:r>
      <w:r>
        <w:t xml:space="preserve"> do 31. decembra 202</w:t>
      </w:r>
      <w:r w:rsidR="001B63D5">
        <w:t>2</w:t>
      </w:r>
      <w:r>
        <w:t xml:space="preserve"> je uvedený v tabuľkovej časti konsolidovaných poznámok </w:t>
      </w:r>
      <w:r>
        <w:rPr>
          <w:i/>
        </w:rPr>
        <w:t>(tabuľka č. 12 – Vlastné imanie)</w:t>
      </w:r>
      <w:r>
        <w:t xml:space="preserve">. </w:t>
      </w:r>
    </w:p>
    <w:p w:rsidR="008D0CA9" w:rsidRDefault="00000000">
      <w:pPr>
        <w:spacing w:after="45" w:line="259" w:lineRule="auto"/>
        <w:ind w:left="295" w:firstLine="0"/>
        <w:jc w:val="left"/>
      </w:pPr>
      <w:r>
        <w:t xml:space="preserve"> </w:t>
      </w:r>
    </w:p>
    <w:p w:rsidR="008D0CA9" w:rsidRDefault="00000000">
      <w:pPr>
        <w:pStyle w:val="Nadpis2"/>
        <w:ind w:left="290"/>
      </w:pPr>
      <w:r>
        <w:lastRenderedPageBreak/>
        <w:t>Rezervy</w:t>
      </w:r>
      <w:r>
        <w:rPr>
          <w:u w:val="none"/>
        </w:rPr>
        <w:t xml:space="preserve"> </w:t>
      </w:r>
    </w:p>
    <w:p w:rsidR="008D0CA9" w:rsidRDefault="00000000">
      <w:pPr>
        <w:ind w:left="290"/>
      </w:pPr>
      <w:r>
        <w:t>Prehľad rezerv konsolidovaného celku od 1. januára 202</w:t>
      </w:r>
      <w:r w:rsidR="001B63D5">
        <w:t>2</w:t>
      </w:r>
      <w:r>
        <w:t xml:space="preserve"> do  31. decembra 202</w:t>
      </w:r>
      <w:r w:rsidR="001B63D5">
        <w:t>2</w:t>
      </w:r>
      <w:r>
        <w:t xml:space="preserve"> je uvedený je uvedený v tabuľkovej časti konsolidovaných poznámok </w:t>
      </w:r>
      <w:r>
        <w:rPr>
          <w:i/>
        </w:rPr>
        <w:t>(tabuľka č. 13 – Rezervy zákonné)</w:t>
      </w: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Záväzky podľa doby splatnosti</w:t>
      </w:r>
      <w:r>
        <w:rPr>
          <w:u w:val="none"/>
        </w:rPr>
        <w:t xml:space="preserve"> </w:t>
      </w:r>
    </w:p>
    <w:p w:rsidR="008D0CA9" w:rsidRDefault="00000000">
      <w:pPr>
        <w:ind w:left="290"/>
      </w:pPr>
      <w:r>
        <w:t xml:space="preserve">Prehľad záväzkov podľa splatnosti je uvedený v tabuľkovej časti konsolidovaných poznámok </w:t>
      </w:r>
      <w:r>
        <w:rPr>
          <w:i/>
        </w:rPr>
        <w:t>(tabuľka č. 15 – Záväzky podľa doby splatnosti)</w:t>
      </w:r>
      <w:r>
        <w:t xml:space="preserve">. </w:t>
      </w:r>
    </w:p>
    <w:p w:rsidR="00812A01" w:rsidRDefault="00812A01" w:rsidP="00812A01">
      <w:pPr>
        <w:spacing w:after="40" w:line="259" w:lineRule="auto"/>
        <w:ind w:left="295" w:firstLine="0"/>
        <w:jc w:val="left"/>
      </w:pPr>
    </w:p>
    <w:p w:rsidR="008D0CA9" w:rsidRDefault="00000000">
      <w:pPr>
        <w:pStyle w:val="Nadpis2"/>
        <w:ind w:left="290"/>
      </w:pPr>
      <w:r>
        <w:t>Bankové úvery a ostatné prijaté návratné finančné výpomoci</w:t>
      </w:r>
      <w:r>
        <w:rPr>
          <w:u w:val="none"/>
        </w:rPr>
        <w:t xml:space="preserve"> </w:t>
      </w:r>
    </w:p>
    <w:p w:rsidR="008D0CA9" w:rsidRDefault="00000000">
      <w:pPr>
        <w:ind w:left="290"/>
      </w:pPr>
      <w:r>
        <w:t>Prehľad o bankových úveroch Obce k 31.12.202</w:t>
      </w:r>
      <w:r w:rsidR="001B63D5">
        <w:t>2</w:t>
      </w:r>
      <w:r>
        <w:t xml:space="preserve"> s uvedením podrobných informácií je uvedený v tabuľkovej časti konsolidovaných poznámok </w:t>
      </w:r>
      <w:r>
        <w:rPr>
          <w:i/>
        </w:rPr>
        <w:t>(tabuľka č. 16 – Bankové úvery)</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pStyle w:val="Nadpis1"/>
        <w:ind w:left="640" w:hanging="374"/>
      </w:pPr>
      <w:r>
        <w:t xml:space="preserve">INFORMÁCIE O VÝNOSOCH A NÁKLADOCH </w:t>
      </w:r>
    </w:p>
    <w:p w:rsidR="008D0CA9" w:rsidRDefault="00000000">
      <w:pPr>
        <w:spacing w:after="0" w:line="259" w:lineRule="auto"/>
        <w:ind w:left="295" w:firstLine="0"/>
        <w:jc w:val="left"/>
      </w:pPr>
      <w:r>
        <w:t xml:space="preserve"> </w:t>
      </w:r>
    </w:p>
    <w:p w:rsidR="008D0CA9" w:rsidRDefault="00000000">
      <w:pPr>
        <w:ind w:left="8906" w:right="79" w:hanging="8626"/>
      </w:pPr>
      <w:r>
        <w:t xml:space="preserve">Prehľad o daňových výnosov samosprávy: </w:t>
      </w:r>
      <w:r>
        <w:rPr>
          <w:i/>
          <w:sz w:val="22"/>
        </w:rPr>
        <w:t xml:space="preserve">v eur </w:t>
      </w:r>
    </w:p>
    <w:tbl>
      <w:tblPr>
        <w:tblStyle w:val="TableGrid"/>
        <w:tblW w:w="9215" w:type="dxa"/>
        <w:tblInd w:w="185" w:type="dxa"/>
        <w:tblCellMar>
          <w:top w:w="11" w:type="dxa"/>
          <w:left w:w="110" w:type="dxa"/>
          <w:right w:w="59" w:type="dxa"/>
        </w:tblCellMar>
        <w:tblLook w:val="04A0" w:firstRow="1" w:lastRow="0" w:firstColumn="1" w:lastColumn="0" w:noHBand="0" w:noVBand="1"/>
      </w:tblPr>
      <w:tblGrid>
        <w:gridCol w:w="5358"/>
        <w:gridCol w:w="1965"/>
        <w:gridCol w:w="1892"/>
      </w:tblGrid>
      <w:tr w:rsidR="008D0CA9" w:rsidTr="00BB3C68">
        <w:trPr>
          <w:trHeight w:val="281"/>
        </w:trPr>
        <w:tc>
          <w:tcPr>
            <w:tcW w:w="535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rPr>
                <w:b/>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7" w:firstLine="0"/>
              <w:jc w:val="center"/>
            </w:pPr>
            <w:r>
              <w:rPr>
                <w:i/>
                <w:sz w:val="20"/>
              </w:rPr>
              <w:t>31.12.202</w:t>
            </w:r>
            <w:r w:rsidR="00BB3C68">
              <w:rPr>
                <w:i/>
                <w:sz w:val="20"/>
              </w:rPr>
              <w:t>2</w:t>
            </w:r>
            <w:r>
              <w:rPr>
                <w:i/>
                <w:sz w:val="20"/>
              </w:rPr>
              <w:t xml:space="preserve"> </w:t>
            </w:r>
          </w:p>
        </w:tc>
        <w:tc>
          <w:tcPr>
            <w:tcW w:w="1892"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4" w:firstLine="0"/>
              <w:jc w:val="center"/>
            </w:pPr>
            <w:r>
              <w:rPr>
                <w:i/>
                <w:sz w:val="20"/>
              </w:rPr>
              <w:t>31.12.202</w:t>
            </w:r>
            <w:r w:rsidR="00BB3C68">
              <w:rPr>
                <w:i/>
                <w:sz w:val="20"/>
              </w:rPr>
              <w:t>1</w:t>
            </w:r>
            <w:r>
              <w:rPr>
                <w:i/>
                <w:sz w:val="20"/>
              </w:rPr>
              <w:t xml:space="preserve"> </w:t>
            </w:r>
          </w:p>
        </w:tc>
      </w:tr>
      <w:tr w:rsidR="00BB3C68" w:rsidTr="00BB3C68">
        <w:trPr>
          <w:trHeight w:val="241"/>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Poukázaný podiel na dani z príjmov zo štátneho rozpočtu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51" w:firstLine="0"/>
              <w:jc w:val="right"/>
            </w:pPr>
            <w:r>
              <w:rPr>
                <w:sz w:val="20"/>
              </w:rPr>
              <w:t xml:space="preserve">272 055,18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51" w:firstLine="0"/>
              <w:jc w:val="right"/>
            </w:pPr>
            <w:r>
              <w:rPr>
                <w:sz w:val="20"/>
              </w:rPr>
              <w:t xml:space="preserve">247 405,72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Dane za špecifické služby - za psa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505,83</w:t>
            </w:r>
            <w:r w:rsidR="00BB3C68">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517,90</w:t>
            </w:r>
            <w:r w:rsidR="00BB3C68">
              <w:rPr>
                <w:sz w:val="20"/>
              </w:rPr>
              <w:t xml:space="preserve">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Dane za špecifické služby - za predajné automaty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1" w:firstLine="0"/>
              <w:jc w:val="right"/>
            </w:pPr>
            <w:r>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1" w:firstLine="0"/>
              <w:jc w:val="right"/>
            </w:pPr>
            <w:r>
              <w:rPr>
                <w:sz w:val="20"/>
              </w:rPr>
              <w:t xml:space="preserve">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Dane za špecifické služby - za ubytovanie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198,40</w:t>
            </w:r>
            <w:r w:rsidR="00BB3C68">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949,60</w:t>
            </w:r>
            <w:r w:rsidR="00BB3C68">
              <w:rPr>
                <w:sz w:val="20"/>
              </w:rPr>
              <w:t xml:space="preserve">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Dane za špecifické služby - za užívania verejného priestranstva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51" w:firstLine="0"/>
              <w:jc w:val="right"/>
            </w:pPr>
            <w:r>
              <w:rPr>
                <w:sz w:val="20"/>
              </w:rPr>
              <w:t xml:space="preserve">0,00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right="51" w:firstLine="0"/>
              <w:jc w:val="right"/>
            </w:pPr>
            <w:r>
              <w:rPr>
                <w:sz w:val="20"/>
              </w:rPr>
              <w:t xml:space="preserve">0,00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sz w:val="20"/>
              </w:rPr>
              <w:t xml:space="preserve">Daň z nehnuteľností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48 817,58</w:t>
            </w:r>
            <w:r w:rsidR="00BB3C68">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sz w:val="20"/>
              </w:rPr>
              <w:t>47 484,85</w:t>
            </w:r>
            <w:r w:rsidR="00BB3C68">
              <w:rPr>
                <w:sz w:val="20"/>
              </w:rPr>
              <w:t xml:space="preserve"> </w:t>
            </w:r>
          </w:p>
        </w:tc>
      </w:tr>
      <w:tr w:rsidR="00BB3C68"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BB3C68" w:rsidRDefault="00BB3C68" w:rsidP="00BB3C68">
            <w:pPr>
              <w:spacing w:after="0" w:line="259" w:lineRule="auto"/>
              <w:ind w:left="0" w:firstLine="0"/>
              <w:jc w:val="left"/>
            </w:pPr>
            <w:r>
              <w:rPr>
                <w:b/>
                <w:sz w:val="20"/>
              </w:rPr>
              <w:t xml:space="preserve">Daňové výnosy samosprávy spolu  </w:t>
            </w:r>
          </w:p>
        </w:tc>
        <w:tc>
          <w:tcPr>
            <w:tcW w:w="1965"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b/>
                <w:sz w:val="20"/>
              </w:rPr>
              <w:t>321 576,99</w:t>
            </w:r>
            <w:r w:rsidR="00BB3C68">
              <w:rPr>
                <w:b/>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BB3C68" w:rsidRDefault="00E5634C" w:rsidP="00BB3C68">
            <w:pPr>
              <w:spacing w:after="0" w:line="259" w:lineRule="auto"/>
              <w:ind w:left="0" w:right="51" w:firstLine="0"/>
              <w:jc w:val="right"/>
            </w:pPr>
            <w:r>
              <w:rPr>
                <w:b/>
                <w:sz w:val="20"/>
              </w:rPr>
              <w:t>296 358,07</w:t>
            </w:r>
            <w:r w:rsidR="00BB3C68">
              <w:rPr>
                <w:b/>
                <w:sz w:val="20"/>
              </w:rPr>
              <w:t xml:space="preserve"> </w:t>
            </w:r>
          </w:p>
        </w:tc>
      </w:tr>
    </w:tbl>
    <w:p w:rsidR="008D0CA9" w:rsidRDefault="00000000">
      <w:pPr>
        <w:spacing w:after="0" w:line="259" w:lineRule="auto"/>
        <w:ind w:left="211" w:firstLine="0"/>
        <w:jc w:val="left"/>
      </w:pPr>
      <w:r>
        <w:rPr>
          <w:b/>
          <w:sz w:val="22"/>
        </w:rPr>
        <w:t xml:space="preserve"> </w:t>
      </w:r>
    </w:p>
    <w:p w:rsidR="008D0CA9" w:rsidRDefault="00000000">
      <w:pPr>
        <w:ind w:left="290"/>
      </w:pPr>
      <w:r>
        <w:t xml:space="preserve">Ďalšie podrobnejšie informácie k nákladom a výnosom sú uvedené v tabuľkovej časti konsolidovaných poznámok </w:t>
      </w:r>
      <w:r>
        <w:rPr>
          <w:i/>
        </w:rPr>
        <w:t>(tabuľka č. 22 – Ostatné výnosy z prevádzkovej činnosti)</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rPr>
          <w:sz w:val="22"/>
        </w:rPr>
        <w:t xml:space="preserve"> </w:t>
      </w:r>
    </w:p>
    <w:p w:rsidR="008D0CA9" w:rsidRDefault="00000000">
      <w:pPr>
        <w:spacing w:after="0" w:line="259" w:lineRule="auto"/>
        <w:ind w:left="295" w:firstLine="0"/>
        <w:jc w:val="left"/>
      </w:pPr>
      <w:r>
        <w:rPr>
          <w:sz w:val="22"/>
        </w:rPr>
        <w:t xml:space="preserve"> </w:t>
      </w:r>
    </w:p>
    <w:p w:rsidR="008D0CA9" w:rsidRDefault="00000000">
      <w:pPr>
        <w:pStyle w:val="Nadpis1"/>
        <w:ind w:left="742" w:hanging="476"/>
      </w:pPr>
      <w:r>
        <w:t xml:space="preserve">INFORMÁCIE NA PODSÚVAHOVÝCH ÚČTOCH </w:t>
      </w:r>
    </w:p>
    <w:p w:rsidR="008D0CA9" w:rsidRDefault="00000000">
      <w:pPr>
        <w:spacing w:after="0" w:line="259" w:lineRule="auto"/>
        <w:ind w:left="295" w:firstLine="0"/>
        <w:jc w:val="left"/>
      </w:pPr>
      <w:r>
        <w:t xml:space="preserve"> </w:t>
      </w:r>
    </w:p>
    <w:p w:rsidR="008D0CA9" w:rsidRDefault="00000000">
      <w:pPr>
        <w:spacing w:after="88"/>
        <w:ind w:left="290"/>
      </w:pPr>
      <w:r>
        <w:t xml:space="preserve">Prehľad o iných aktívach a iných pasívach a o kultúrnych pamiatkach konsolidovaného celku je uvedený v tabuľkovej časti konsolidovaných poznámok.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pStyle w:val="Nadpis1"/>
        <w:ind w:left="720" w:hanging="720"/>
      </w:pPr>
      <w:r>
        <w:t xml:space="preserve">SKUTOČNOSTI, KTORÉ NASTALI PO DNI, KU KTORÉMU SA      ZOSTAVUJE KONSOLIDOVANA ÚČTOVNÁ ZÁVIERKA, DO DŇA JEJ      ZOSTAVENIA </w:t>
      </w:r>
    </w:p>
    <w:p w:rsidR="008D0CA9" w:rsidRDefault="00000000">
      <w:pPr>
        <w:spacing w:after="0" w:line="259" w:lineRule="auto"/>
        <w:ind w:left="295" w:firstLine="0"/>
        <w:jc w:val="left"/>
      </w:pPr>
      <w:r>
        <w:t xml:space="preserve"> </w:t>
      </w:r>
    </w:p>
    <w:p w:rsidR="00204BDB" w:rsidRPr="004733F9" w:rsidRDefault="00204BDB" w:rsidP="00204BDB">
      <w:pPr>
        <w:rPr>
          <w:b/>
          <w:u w:val="single"/>
        </w:rPr>
      </w:pPr>
      <w:r w:rsidRPr="0036670D">
        <w:lastRenderedPageBreak/>
        <w:t xml:space="preserve">Napriek tomu, že účtovná závierka je zostavená za splnenia predpokladu nepretržitého pokračovania účtovnej jednotky vo svojej činnosti, </w:t>
      </w:r>
      <w:r>
        <w:t>upozorňujeme na vojnový konflikt medzi Ukrajinou a Ruskou federáciou</w:t>
      </w:r>
      <w:r w:rsidRPr="0036670D">
        <w:t>,</w:t>
      </w:r>
      <w:r>
        <w:t xml:space="preserve"> ktorý začal v ranných hodinách 24. februára 2022. Keďže Slovensko priamo hraničí s Ukrajinou, cez našu východnú hranicu vstupuje na naše územie množstvo utečencov z vojnou zmietanej Ukrajiny. Aj tieto skutočnosti môžu mať negatívny vplyv na fungovanie obce (humanitárna pomoc, rozšírenie konfliktu, neustále zvyšovanie cien väčšiny komodít a iné). Ďalej </w:t>
      </w:r>
      <w:r w:rsidRPr="0036670D">
        <w:t xml:space="preserve">upozorňujeme na </w:t>
      </w:r>
      <w:r>
        <w:t xml:space="preserve">pretrvávajúcu </w:t>
      </w:r>
      <w:r w:rsidRPr="0036670D">
        <w:t>situáciu spôsobenú vyhlásením globálnej pandémie ochorenia COVID-19 Svetovou zdravotníckou organizáciou dňa 11. marca 2020. Situácia v spoločnosti a v celej Európe ovplyvňuje podnikanie v priebehu karanténnych opatrení, pôsobenia v období mimoriadnej situácie, či núdzového stavu. Priamy dopad na hospodárenie spoločnosti je aktuálne ťažko odhadnúť. Sú však v priamej súvislosti s ďalším fungovaním účtovnej jednotky</w:t>
      </w:r>
      <w:r>
        <w:t xml:space="preserve"> či už pri príjmoch z podielových daní FO alebo aj priamo na výber daní z nehnuteľnosti v dôsledku platobnej neschopnosti daňovníkov (FO ale taktiež aj právnických osôb)</w:t>
      </w:r>
      <w:r w:rsidRPr="0036670D">
        <w:t>.</w:t>
      </w:r>
      <w:r>
        <w:t xml:space="preserve"> Táto pretrvávajúca situácia má negatívny  vplyv aj ďalší rozvoj obce aj v súvislosti s nepredvídaným poklesom príjmov oproti schválenému rozpočtu ako aj zvýšenými výdavkami v súvislosti so zabezpečením bezpečnostných opatrení a nárastom cien energií (energetická kríza). </w:t>
      </w:r>
    </w:p>
    <w:p w:rsidR="008D0CA9" w:rsidRDefault="008D0CA9" w:rsidP="00204BDB">
      <w:pPr>
        <w:ind w:left="290" w:right="79"/>
      </w:pPr>
    </w:p>
    <w:sectPr w:rsidR="008D0CA9">
      <w:headerReference w:type="even" r:id="rId7"/>
      <w:headerReference w:type="default" r:id="rId8"/>
      <w:footerReference w:type="even" r:id="rId9"/>
      <w:footerReference w:type="default" r:id="rId10"/>
      <w:headerReference w:type="first" r:id="rId11"/>
      <w:footerReference w:type="first" r:id="rId12"/>
      <w:pgSz w:w="11900" w:h="16840"/>
      <w:pgMar w:top="1757" w:right="1333" w:bottom="1606" w:left="1121" w:header="713" w:footer="7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1234" w:rsidRDefault="00191234">
      <w:pPr>
        <w:spacing w:after="0" w:line="240" w:lineRule="auto"/>
      </w:pPr>
      <w:r>
        <w:separator/>
      </w:r>
    </w:p>
  </w:endnote>
  <w:endnote w:type="continuationSeparator" w:id="0">
    <w:p w:rsidR="00191234" w:rsidRDefault="00191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1234" w:rsidRDefault="00191234">
      <w:pPr>
        <w:spacing w:after="0" w:line="240" w:lineRule="auto"/>
      </w:pPr>
      <w:r>
        <w:separator/>
      </w:r>
    </w:p>
  </w:footnote>
  <w:footnote w:type="continuationSeparator" w:id="0">
    <w:p w:rsidR="00191234" w:rsidRDefault="00191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89" name="Group 1538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4" name="Shape 15884"/>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89" style="width:456.48pt;height:0.47998pt;position:absolute;mso-position-horizontal-relative:page;mso-position-horizontal:absolute;margin-left:69.36pt;mso-position-vertical-relative:page;margin-top:59.52pt;" coordsize="57972,60">
              <v:shape id="Shape 15885"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49" name="Group 1534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2" name="Shape 15882"/>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49" style="width:456.48pt;height:0.47998pt;position:absolute;mso-position-horizontal-relative:page;mso-position-horizontal:absolute;margin-left:69.36pt;mso-position-vertical-relative:page;margin-top:59.52pt;" coordsize="57972,60">
              <v:shape id="Shape 15883"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w:t>
    </w:r>
    <w:r w:rsidR="001B63D5">
      <w:rPr>
        <w:sz w:val="20"/>
      </w:rPr>
      <w:t>2</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09" name="Group 1530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0" name="Shape 15880"/>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9" style="width:456.48pt;height:0.47998pt;position:absolute;mso-position-horizontal-relative:page;mso-position-horizontal:absolute;margin-left:69.36pt;mso-position-vertical-relative:page;margin-top:59.52pt;" coordsize="57972,60">
              <v:shape id="Shape 15881"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B5A7F"/>
    <w:multiLevelType w:val="hybridMultilevel"/>
    <w:tmpl w:val="2048C4BE"/>
    <w:lvl w:ilvl="0" w:tplc="65364E60">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AE2294">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108252">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8DAF336">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801012">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6CF3AC">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AA18A4">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1E044DE">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86FFF2">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41670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CA9"/>
    <w:rsid w:val="00191234"/>
    <w:rsid w:val="001B63D5"/>
    <w:rsid w:val="00204BDB"/>
    <w:rsid w:val="00812A01"/>
    <w:rsid w:val="008D0CA9"/>
    <w:rsid w:val="00BB3C68"/>
    <w:rsid w:val="00E5634C"/>
    <w:rsid w:val="00EC2C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A7D20AF"/>
  <w15:docId w15:val="{020DF75C-5B0C-8441-ACFA-93018643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k-SK" w:eastAsia="sk-SK"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305"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
      </w:numPr>
      <w:spacing w:after="5" w:line="250" w:lineRule="auto"/>
      <w:ind w:left="291" w:hanging="10"/>
      <w:outlineLvl w:val="0"/>
    </w:pPr>
    <w:rPr>
      <w:rFonts w:ascii="Times New Roman" w:eastAsia="Times New Roman" w:hAnsi="Times New Roman" w:cs="Times New Roman"/>
      <w:b/>
      <w:color w:val="000000"/>
    </w:rPr>
  </w:style>
  <w:style w:type="paragraph" w:styleId="Nadpis2">
    <w:name w:val="heading 2"/>
    <w:next w:val="Normlny"/>
    <w:link w:val="Nadpis2Char"/>
    <w:uiPriority w:val="9"/>
    <w:unhideWhenUsed/>
    <w:qFormat/>
    <w:pPr>
      <w:keepNext/>
      <w:keepLines/>
      <w:spacing w:after="211" w:line="259" w:lineRule="auto"/>
      <w:ind w:left="305" w:hanging="10"/>
      <w:outlineLvl w:val="1"/>
    </w:pPr>
    <w:rPr>
      <w:rFonts w:ascii="Times New Roman" w:eastAsia="Times New Roman" w:hAnsi="Times New Roman" w:cs="Times New Roman"/>
      <w:i/>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2Char">
    <w:name w:val="Nadpis 2 Char"/>
    <w:link w:val="Nadpis2"/>
    <w:rPr>
      <w:rFonts w:ascii="Times New Roman" w:eastAsia="Times New Roman" w:hAnsi="Times New Roman" w:cs="Times New Roman"/>
      <w:i/>
      <w:color w:val="000000"/>
      <w:sz w:val="24"/>
      <w:u w:val="single" w:color="000000"/>
    </w:rPr>
  </w:style>
  <w:style w:type="table" w:customStyle="1" w:styleId="TableGrid">
    <w:name w:val="TableGrid"/>
    <w:tblPr>
      <w:tblCellMar>
        <w:top w:w="0" w:type="dxa"/>
        <w:left w:w="0" w:type="dxa"/>
        <w:bottom w:w="0" w:type="dxa"/>
        <w:right w:w="0" w:type="dxa"/>
      </w:tblCellMar>
    </w:tblPr>
  </w:style>
  <w:style w:type="paragraph" w:styleId="Normlnywebov">
    <w:name w:val="Normal (Web)"/>
    <w:basedOn w:val="Normlny"/>
    <w:uiPriority w:val="99"/>
    <w:semiHidden/>
    <w:unhideWhenUsed/>
    <w:rsid w:val="00E5634C"/>
    <w:pPr>
      <w:spacing w:before="100" w:beforeAutospacing="1" w:after="100" w:afterAutospacing="1" w:line="240" w:lineRule="auto"/>
      <w:ind w:left="0" w:firstLine="0"/>
      <w:jc w:val="left"/>
    </w:pPr>
    <w:rPr>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1870</Words>
  <Characters>10659</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KUZ_textova_cast_poznamok_2021</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KUZ_textova_cast_poznamok_2021</dc:title>
  <dc:subject/>
  <dc:creator>Obec Orlov</dc:creator>
  <cp:keywords/>
  <cp:lastModifiedBy>Peter Timocko</cp:lastModifiedBy>
  <cp:revision>4</cp:revision>
  <cp:lastPrinted>2023-05-02T13:12:00Z</cp:lastPrinted>
  <dcterms:created xsi:type="dcterms:W3CDTF">2023-05-02T13:11:00Z</dcterms:created>
  <dcterms:modified xsi:type="dcterms:W3CDTF">2023-05-04T06:57:00Z</dcterms:modified>
</cp:coreProperties>
</file>