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1D35" w:rsidRDefault="003D1D35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770DB9" w:rsidRDefault="00770DB9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770DB9" w:rsidRPr="00770DB9" w:rsidRDefault="00770DB9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bCs/>
          <w:sz w:val="24"/>
          <w:szCs w:val="24"/>
          <w:u w:val="single"/>
          <w:lang w:eastAsia="sk-SK"/>
        </w:rPr>
        <w:t>Všeobecné informácie o účtovnej jednotke</w:t>
      </w:r>
    </w:p>
    <w:p w:rsidR="00770DB9" w:rsidRPr="00770DB9" w:rsidRDefault="00770DB9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názov právnickej osoby a jej sídlo alebo meno a priezvisko fyzickej osoby</w:t>
      </w:r>
    </w:p>
    <w:p w:rsidR="00770DB9" w:rsidRPr="00770DB9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770DB9" w:rsidRPr="00770DB9" w:rsidTr="00E20789">
        <w:trPr>
          <w:trHeight w:val="1100"/>
        </w:trPr>
        <w:tc>
          <w:tcPr>
            <w:tcW w:w="1096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Obchodné meno</w:t>
            </w:r>
          </w:p>
        </w:tc>
        <w:tc>
          <w:tcPr>
            <w:tcW w:w="3904" w:type="pct"/>
            <w:vAlign w:val="center"/>
          </w:tcPr>
          <w:p w:rsidR="00770DB9" w:rsidRPr="00770DB9" w:rsidRDefault="00770DB9" w:rsidP="003714D8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 </w:t>
            </w:r>
            <w:r w:rsidR="003714D8">
              <w:rPr>
                <w:rFonts w:cs="Arial"/>
                <w:sz w:val="20"/>
                <w:szCs w:val="22"/>
                <w:lang w:eastAsia="sk-SK"/>
              </w:rPr>
              <w:t>MIZUKO</w:t>
            </w:r>
            <w:bookmarkStart w:id="0" w:name="_GoBack"/>
            <w:bookmarkEnd w:id="0"/>
            <w:r w:rsidR="004E671E">
              <w:rPr>
                <w:rFonts w:cs="Arial"/>
                <w:sz w:val="20"/>
                <w:szCs w:val="22"/>
                <w:lang w:eastAsia="sk-SK"/>
              </w:rPr>
              <w:t>, s. r. o.</w:t>
            </w:r>
          </w:p>
        </w:tc>
      </w:tr>
      <w:tr w:rsidR="00770DB9" w:rsidRPr="00770DB9" w:rsidTr="00E20789">
        <w:trPr>
          <w:trHeight w:val="390"/>
        </w:trPr>
        <w:tc>
          <w:tcPr>
            <w:tcW w:w="1096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Sídlo</w:t>
            </w:r>
          </w:p>
        </w:tc>
        <w:tc>
          <w:tcPr>
            <w:tcW w:w="3904" w:type="pct"/>
            <w:vAlign w:val="center"/>
          </w:tcPr>
          <w:p w:rsidR="00770DB9" w:rsidRPr="00770DB9" w:rsidRDefault="005109EE" w:rsidP="004E671E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Podzámska </w:t>
            </w:r>
            <w:r w:rsidR="004E671E">
              <w:rPr>
                <w:rFonts w:cs="Arial"/>
                <w:sz w:val="20"/>
                <w:szCs w:val="22"/>
                <w:lang w:eastAsia="sk-SK"/>
              </w:rPr>
              <w:t xml:space="preserve">34A,  940 02   </w:t>
            </w:r>
            <w:r>
              <w:rPr>
                <w:rFonts w:cs="Arial"/>
                <w:sz w:val="20"/>
                <w:szCs w:val="22"/>
                <w:lang w:eastAsia="sk-SK"/>
              </w:rPr>
              <w:t>Nové Zámky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</w:p>
    <w:p w:rsidR="00726E30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color w:val="C00000"/>
          <w:sz w:val="20"/>
          <w:szCs w:val="24"/>
          <w:lang w:eastAsia="sk-SK"/>
        </w:rPr>
      </w:pPr>
      <w:r w:rsidRPr="00AF1B96">
        <w:rPr>
          <w:rFonts w:cs="Arial"/>
          <w:color w:val="C00000"/>
          <w:sz w:val="20"/>
          <w:szCs w:val="24"/>
          <w:lang w:eastAsia="sk-SK"/>
        </w:rPr>
        <w:t>Dátum schválenia účtovnej závierky za bezprostredne predchádzajúce účtovné obdobie</w:t>
      </w:r>
      <w:r w:rsidR="00726E30">
        <w:rPr>
          <w:rFonts w:cs="Arial"/>
          <w:color w:val="C00000"/>
          <w:sz w:val="20"/>
          <w:szCs w:val="24"/>
          <w:lang w:eastAsia="sk-SK"/>
        </w:rPr>
        <w:t xml:space="preserve"> </w:t>
      </w:r>
    </w:p>
    <w:p w:rsid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color w:val="C00000"/>
          <w:sz w:val="20"/>
          <w:szCs w:val="24"/>
          <w:lang w:eastAsia="sk-SK"/>
        </w:rPr>
      </w:pPr>
      <w:r w:rsidRPr="00AF1B96">
        <w:rPr>
          <w:rFonts w:cs="Arial"/>
          <w:color w:val="C00000"/>
          <w:sz w:val="20"/>
          <w:szCs w:val="24"/>
          <w:lang w:eastAsia="sk-SK"/>
        </w:rPr>
        <w:t>Právny dôvod zostavenia účtovnej závierky</w:t>
      </w:r>
      <w:r w:rsidR="00726E30">
        <w:rPr>
          <w:rFonts w:cs="Arial"/>
          <w:color w:val="C00000"/>
          <w:sz w:val="20"/>
          <w:szCs w:val="24"/>
          <w:lang w:eastAsia="sk-SK"/>
        </w:rPr>
        <w:t>, účtovná závierka k 31. 12. Je zostavená</w:t>
      </w:r>
    </w:p>
    <w:p w:rsidR="00726E30" w:rsidRDefault="00726E30" w:rsidP="00726E30">
      <w:pPr>
        <w:pStyle w:val="Odsekzoznamu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 xml:space="preserve"> ako riadna účtovná závierka podľa § 47 ods. 6 zákona NR SR č. 431/2002 Z. z. o účtovníctve za účtovné obdobie od </w:t>
      </w:r>
      <w:r w:rsidR="004E671E">
        <w:rPr>
          <w:rFonts w:cs="Arial"/>
          <w:color w:val="C00000"/>
          <w:sz w:val="20"/>
          <w:szCs w:val="24"/>
          <w:lang w:eastAsia="sk-SK"/>
        </w:rPr>
        <w:t>mája</w:t>
      </w:r>
      <w:r>
        <w:rPr>
          <w:rFonts w:cs="Arial"/>
          <w:color w:val="C00000"/>
          <w:sz w:val="20"/>
          <w:szCs w:val="24"/>
          <w:lang w:eastAsia="sk-SK"/>
        </w:rPr>
        <w:t xml:space="preserve"> do decembra 202</w:t>
      </w:r>
      <w:r w:rsidR="004E671E">
        <w:rPr>
          <w:rFonts w:cs="Arial"/>
          <w:color w:val="C00000"/>
          <w:sz w:val="20"/>
          <w:szCs w:val="24"/>
          <w:lang w:eastAsia="sk-SK"/>
        </w:rPr>
        <w:t>2</w:t>
      </w:r>
      <w:r>
        <w:rPr>
          <w:rFonts w:cs="Arial"/>
          <w:color w:val="C00000"/>
          <w:sz w:val="20"/>
          <w:szCs w:val="24"/>
          <w:lang w:eastAsia="sk-SK"/>
        </w:rPr>
        <w:t xml:space="preserve"> k poslednému dňu kalendárneho roka.</w:t>
      </w:r>
      <w:r w:rsidR="005109EE">
        <w:rPr>
          <w:rFonts w:cs="Arial"/>
          <w:color w:val="C00000"/>
          <w:sz w:val="20"/>
          <w:szCs w:val="24"/>
          <w:lang w:eastAsia="sk-SK"/>
        </w:rPr>
        <w:t xml:space="preserve"> 202</w:t>
      </w:r>
      <w:r w:rsidR="004E671E">
        <w:rPr>
          <w:rFonts w:cs="Arial"/>
          <w:color w:val="C00000"/>
          <w:sz w:val="20"/>
          <w:szCs w:val="24"/>
          <w:lang w:eastAsia="sk-SK"/>
        </w:rPr>
        <w:t>2</w:t>
      </w:r>
    </w:p>
    <w:p w:rsidR="00726E30" w:rsidRPr="00AF1B96" w:rsidRDefault="00726E30" w:rsidP="00726E30">
      <w:pPr>
        <w:spacing w:after="0" w:line="240" w:lineRule="auto"/>
        <w:ind w:left="774"/>
        <w:jc w:val="both"/>
        <w:rPr>
          <w:rFonts w:cs="Arial"/>
          <w:color w:val="C00000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770DB9" w:rsidRPr="00AF1B96" w:rsidTr="00E20789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770DB9" w:rsidRPr="00AF1B96" w:rsidRDefault="00770DB9" w:rsidP="00E20789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770DB9" w:rsidRPr="00AF1B96" w:rsidTr="00E20789">
        <w:trPr>
          <w:trHeight w:hRule="exact" w:val="340"/>
        </w:trPr>
        <w:tc>
          <w:tcPr>
            <w:tcW w:w="993" w:type="dxa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</w:tr>
      <w:tr w:rsidR="00770DB9" w:rsidRPr="00AF1B96" w:rsidTr="00E20789">
        <w:trPr>
          <w:trHeight w:hRule="exact" w:val="340"/>
        </w:trPr>
        <w:tc>
          <w:tcPr>
            <w:tcW w:w="993" w:type="dxa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</w:tr>
    </w:tbl>
    <w:p w:rsidR="00770DB9" w:rsidRPr="00AF1B96" w:rsidRDefault="00770DB9" w:rsidP="00770DB9">
      <w:pPr>
        <w:pStyle w:val="Odsekzoznamu"/>
        <w:rPr>
          <w:rFonts w:cs="Arial"/>
          <w:color w:val="C00000"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informácie o konsolidovanom celku,</w:t>
      </w:r>
      <w:r w:rsidRPr="00770DB9">
        <w:rPr>
          <w:rFonts w:cs="Arial"/>
          <w:sz w:val="20"/>
          <w:szCs w:val="24"/>
          <w:lang w:eastAsia="sk-SK"/>
        </w:rPr>
        <w:t xml:space="preserve"> napríklad</w:t>
      </w:r>
    </w:p>
    <w:p w:rsidR="00770DB9" w:rsidRPr="00770DB9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5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Účtovná jednotka je súčasťou konsolidovaného celku, pričom ABC s.r.o. ako materská účtovná jednotka zostavuje KÚZ za túto skupinu účtovných jednotiek (uviesť účtovné jednotky v skupine). Účtovná jednotka je materskou účtovnou jednotkou a podľa § 22 ods. 3 zákona o účtovníctve z dôvodu oslobodenia od povinnosti zostaviť KÚZ ju nezostavila 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alebo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5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Účtovná jednotka nie je súčasťou konsolidovaného celku a účtovná jednotka nie je materskou účtovnou jednotkou (uvedené sa uvádza, ak obchodnú spoločnosť vlastnia len fyzické osoby a sama účtovná jednotka nevlastní akcie alebo obchodné podiely (účet 061,062,063)).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AF1B96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priemerný</w:t>
      </w:r>
      <w:r w:rsidRPr="00AF1B96">
        <w:rPr>
          <w:rFonts w:cs="Arial"/>
          <w:sz w:val="20"/>
          <w:szCs w:val="24"/>
          <w:u w:val="single"/>
          <w:lang w:eastAsia="sk-SK"/>
        </w:rPr>
        <w:t xml:space="preserve"> prepočítaný počet zamestnancov</w:t>
      </w:r>
    </w:p>
    <w:p w:rsidR="00770DB9" w:rsidRPr="00AF1B96" w:rsidRDefault="00770DB9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770DB9" w:rsidRPr="00AF1B96" w:rsidTr="00E20789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AF1B96">
              <w:rPr>
                <w:szCs w:val="22"/>
              </w:rPr>
              <w:t>Priemerný prepočítaný počet zamestnancov  bežné účtovné obdobie</w:t>
            </w:r>
          </w:p>
        </w:tc>
        <w:tc>
          <w:tcPr>
            <w:tcW w:w="1320" w:type="dxa"/>
          </w:tcPr>
          <w:p w:rsidR="00770DB9" w:rsidRPr="00AF1B96" w:rsidRDefault="004E671E" w:rsidP="00E20789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70DB9" w:rsidRPr="00AF1B96" w:rsidTr="00E20789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AF1B96">
              <w:rPr>
                <w:szCs w:val="22"/>
              </w:rPr>
              <w:t>Priemerný prepočítaný počet zamestnancov  bezprostredne predchádzajúce ÚO</w:t>
            </w:r>
          </w:p>
        </w:tc>
        <w:tc>
          <w:tcPr>
            <w:tcW w:w="1320" w:type="dxa"/>
          </w:tcPr>
          <w:p w:rsidR="00770DB9" w:rsidRPr="00AF1B96" w:rsidRDefault="004E671E" w:rsidP="00E20789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481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jc w:val="both"/>
        <w:rPr>
          <w:rFonts w:cs="Arial"/>
          <w:b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sz w:val="24"/>
          <w:szCs w:val="24"/>
          <w:u w:val="single"/>
          <w:lang w:eastAsia="sk-SK"/>
        </w:rPr>
        <w:t>Informácie o prijatých postupoch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jc w:val="both"/>
        <w:rPr>
          <w:rFonts w:cs="Arial"/>
          <w:b/>
          <w:sz w:val="24"/>
          <w:szCs w:val="24"/>
          <w:u w:val="single"/>
          <w:lang w:eastAsia="sk-SK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Účtovná závierka bola zostavená za predpokladu, že účtovná jednotka bude nepretržite pokračovať vo svojej činnosti (uvedené sa nikdy nemôže uviesť, ak ide o mimoriadnu účtovnú závierku z dôvodu konkurzu alebo likvidácie).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Uviesť popis oceňovania  jednotlivých položiek majetku a záväzkov, o ktorých konkrétna účtovná jednotka účtuje. Popisujú sa ocenenie konkrétneho majetku a záväzkov účtovnej jednotky.</w:t>
      </w:r>
    </w:p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val="x-none" w:eastAsia="x-none"/>
        </w:rPr>
      </w:pP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Napríklad: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Obstarávacou cenou – </w:t>
            </w:r>
            <w:r w:rsidRPr="00770DB9">
              <w:rPr>
                <w:rFonts w:cs="Arial"/>
                <w:b/>
                <w:bCs/>
                <w:sz w:val="20"/>
                <w:szCs w:val="24"/>
                <w:lang w:eastAsia="sk-SK"/>
              </w:rPr>
              <w:t>uviesť  zložky nákladov súvisiacich s obstaraním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lastRenderedPageBreak/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Vlastnými nákladmi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Menovitou hodnotou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  <w:r w:rsidRPr="00770DB9">
        <w:rPr>
          <w:rFonts w:cs="Arial"/>
          <w:sz w:val="20"/>
          <w:szCs w:val="22"/>
          <w:lang w:eastAsia="sk-SK"/>
        </w:rPr>
        <w:t>Spôsob ocenenia:</w:t>
      </w: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Úbytok zásob rovnakého druhu sa účtuje v ocenení: 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Obstarávacia cena zásob sa rozdeľuje na cenu za ktoré sa zásoby obstarali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Výdavky budúcich období a príjmy budúcich období  sa vykazujú vo výške, ktorá je potrebná 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Rezervy sú záväzky s neurčitým časovým vymedzením alebo výškou; tvoria sa na krytie známych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Prenajatý  majetok a majetok obstaraný na základe  zmluvy o kúpe prenajatej veci - v ocenení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770DB9" w:rsidRPr="00770DB9" w:rsidRDefault="005109EE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Daň z príjmov splatná – daň sa  určuje z účtovného zisku pred zdanením, po úpravách na daňové účely podľa zákona o daniach z príjmov pri sadzbe 22 %</w:t>
            </w:r>
          </w:p>
        </w:tc>
        <w:tc>
          <w:tcPr>
            <w:tcW w:w="283" w:type="dxa"/>
            <w:vAlign w:val="center"/>
          </w:tcPr>
          <w:p w:rsidR="00770DB9" w:rsidRPr="00770DB9" w:rsidRDefault="005109EE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Náklady a výnosy časovo rozlišujú. Časovo sa ne nerozlišujú náklady a výnosy, ak ide o nevýznamný 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a stále sa opakujúci účtovný prípad týkajúci sa časového rozlíšenia nákladov alebo výnosov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770DB9" w:rsidRPr="00770DB9" w:rsidRDefault="005109EE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spacing w:before="100" w:beforeAutospacing="1" w:after="100" w:afterAutospacing="1" w:line="240" w:lineRule="auto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Spôsob zostavenia odpisového plánu pre jednotlivé druhy dlhodobého hmotného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majetku  a dlhodobého nehmotného majetku</w:t>
      </w:r>
      <w:r w:rsidR="008616A5">
        <w:rPr>
          <w:rFonts w:cs="Arial"/>
          <w:sz w:val="20"/>
          <w:szCs w:val="24"/>
          <w:lang w:eastAsia="sk-SK"/>
        </w:rPr>
        <w:t xml:space="preserve"> </w:t>
      </w:r>
      <w:r w:rsidRPr="00770DB9">
        <w:rPr>
          <w:rFonts w:cs="Arial"/>
          <w:sz w:val="20"/>
          <w:szCs w:val="24"/>
          <w:lang w:eastAsia="sk-SK"/>
        </w:rPr>
        <w:t xml:space="preserve">doba odpisovania, použité sadzby 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770DB9" w:rsidRPr="00770DB9" w:rsidTr="00E20789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770DB9">
              <w:rPr>
                <w:rFonts w:cs="Arial"/>
                <w:b/>
                <w:sz w:val="20"/>
                <w:szCs w:val="22"/>
                <w:lang w:eastAsia="sk-SK"/>
              </w:rPr>
              <w:t>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062EDB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770DB9">
              <w:rPr>
                <w:rFonts w:cs="Arial"/>
                <w:b/>
                <w:sz w:val="20"/>
                <w:szCs w:val="22"/>
                <w:lang w:eastAsia="sk-SK"/>
              </w:rPr>
              <w:t>nerovnajú.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Dlhodobý nehmotný majetok =doba použiteľnosti viac ako rok a vstupná cena je  viac ako 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lastRenderedPageBreak/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770DB9" w:rsidRPr="00770DB9" w:rsidTr="00E20789">
        <w:tc>
          <w:tcPr>
            <w:tcW w:w="3111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Majetok</w:t>
            </w: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Odpisová skupina </w:t>
            </w: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5109EE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E532D5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3"/>
        <w:gridCol w:w="298"/>
      </w:tblGrid>
      <w:tr w:rsidR="00770DB9" w:rsidRPr="00AF1B96" w:rsidTr="00E20789">
        <w:trPr>
          <w:trHeight w:val="340"/>
        </w:trPr>
        <w:tc>
          <w:tcPr>
            <w:tcW w:w="9089" w:type="dxa"/>
            <w:gridSpan w:val="3"/>
            <w:vAlign w:val="center"/>
          </w:tcPr>
          <w:p w:rsidR="00770DB9" w:rsidRPr="00AF1B96" w:rsidRDefault="00770DB9" w:rsidP="00770DB9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 w:rsidRPr="00AF1B96">
              <w:rPr>
                <w:szCs w:val="22"/>
              </w:rPr>
              <w:t>Určenie odhadu zníženia hodnoty majetku a tvorba opravnej položky k  majetku</w:t>
            </w:r>
          </w:p>
        </w:tc>
      </w:tr>
      <w:tr w:rsidR="00770DB9" w:rsidRPr="00AF1B96" w:rsidTr="00E20789">
        <w:trPr>
          <w:trHeight w:val="350"/>
        </w:trPr>
        <w:tc>
          <w:tcPr>
            <w:tcW w:w="8789" w:type="dxa"/>
            <w:gridSpan w:val="2"/>
            <w:vAlign w:val="center"/>
          </w:tcPr>
          <w:p w:rsidR="00770DB9" w:rsidRPr="00AF1B96" w:rsidRDefault="00770DB9" w:rsidP="00E20789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 w:rsidRPr="00AF1B96"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pohľadávkam</w:t>
            </w: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materiálu</w:t>
            </w: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1971D3" w:rsidRPr="00AF1B96" w:rsidTr="00E20789">
        <w:trPr>
          <w:trHeight w:val="340"/>
        </w:trPr>
        <w:tc>
          <w:tcPr>
            <w:tcW w:w="9089" w:type="dxa"/>
            <w:gridSpan w:val="3"/>
          </w:tcPr>
          <w:p w:rsidR="001971D3" w:rsidRPr="00AF1B96" w:rsidRDefault="001971D3" w:rsidP="001971D3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Určenie ocenenia záväzkov, stanovenie odhadu ocenenia rezerv</w:t>
            </w:r>
          </w:p>
        </w:tc>
      </w:tr>
      <w:tr w:rsidR="001971D3" w:rsidRPr="00AF1B96" w:rsidTr="00E20789">
        <w:trPr>
          <w:trHeight w:val="340"/>
        </w:trPr>
        <w:tc>
          <w:tcPr>
            <w:tcW w:w="8789" w:type="dxa"/>
            <w:gridSpan w:val="2"/>
          </w:tcPr>
          <w:p w:rsidR="001971D3" w:rsidRPr="00AF1B96" w:rsidRDefault="001971D3" w:rsidP="00E20789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1971D3" w:rsidRPr="00AF1B96" w:rsidRDefault="00551F2B" w:rsidP="00551F2B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Podľa stavu nevyčerpanej dovolenky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Zmeny účtovných zásad a zmeny účtovných metód s uvedením dôvodu týchto zmien 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a vyčíslením ich vplyvu na finančnú hodnotu majetku, záväzkov, základného imania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a výsledku hospodárenia ÚJ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770DB9" w:rsidRPr="00770DB9" w:rsidTr="00E20789">
        <w:trPr>
          <w:trHeight w:hRule="exact" w:val="340"/>
        </w:trPr>
        <w:tc>
          <w:tcPr>
            <w:tcW w:w="7088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Zmeny účtovných zásad a metód + konkrétny popis zmien </w:t>
            </w:r>
          </w:p>
        </w:tc>
        <w:tc>
          <w:tcPr>
            <w:tcW w:w="824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ÁNO</w:t>
            </w:r>
          </w:p>
        </w:tc>
        <w:tc>
          <w:tcPr>
            <w:tcW w:w="291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578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NIE</w:t>
            </w:r>
          </w:p>
        </w:tc>
        <w:tc>
          <w:tcPr>
            <w:tcW w:w="291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eastAsia="x-none"/>
        </w:rPr>
      </w:pPr>
    </w:p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eastAsia="x-none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Informácie o dotáciách a ich oceňovanie v účtovníctve 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770DB9" w:rsidRPr="00770DB9" w:rsidTr="00E20789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 w:rsidR="00770DB9" w:rsidRPr="00770DB9" w:rsidTr="00E20789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18"/>
          <w:szCs w:val="22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 účtovaní významných opráv chýb minulých účtovných období v bežnom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účtovnom 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770DB9" w:rsidRPr="00770DB9" w:rsidTr="00E20789">
        <w:tc>
          <w:tcPr>
            <w:tcW w:w="2977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Patrí do obdobia</w:t>
            </w:r>
          </w:p>
        </w:tc>
        <w:tc>
          <w:tcPr>
            <w:tcW w:w="851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Účet</w:t>
            </w:r>
          </w:p>
        </w:tc>
        <w:tc>
          <w:tcPr>
            <w:tcW w:w="2126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Účtované na účet HV min. období (EUR)</w:t>
            </w:r>
          </w:p>
        </w:tc>
        <w:tc>
          <w:tcPr>
            <w:tcW w:w="2552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Účtované do HV bežného  obdobia(EUR)</w:t>
            </w: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center"/>
        <w:rPr>
          <w:rFonts w:cs="Arial"/>
          <w:b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sz w:val="24"/>
          <w:szCs w:val="24"/>
          <w:u w:val="single"/>
          <w:lang w:eastAsia="sk-SK"/>
        </w:rPr>
        <w:t>Informácie, ktoré vysvetľujú a dopĺňajú súvahu a výkaz ziskov a strát</w:t>
      </w: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u w:val="single"/>
          <w:lang w:eastAsia="sk-SK"/>
        </w:rPr>
      </w:pPr>
    </w:p>
    <w:p w:rsidR="001971D3" w:rsidRPr="00436ADE" w:rsidRDefault="001971D3" w:rsidP="00770DB9">
      <w:pPr>
        <w:numPr>
          <w:ilvl w:val="0"/>
          <w:numId w:val="27"/>
        </w:numPr>
        <w:spacing w:after="0" w:line="240" w:lineRule="auto"/>
        <w:rPr>
          <w:rFonts w:cs="Arial"/>
          <w:color w:val="C00000"/>
          <w:sz w:val="20"/>
          <w:szCs w:val="24"/>
          <w:lang w:eastAsia="sk-SK"/>
        </w:rPr>
      </w:pPr>
      <w:r w:rsidRPr="00436ADE">
        <w:rPr>
          <w:rFonts w:cs="Arial"/>
          <w:color w:val="C00000"/>
          <w:sz w:val="20"/>
          <w:szCs w:val="24"/>
          <w:lang w:eastAsia="sk-SK"/>
        </w:rPr>
        <w:t>Dôvod vzniku goodwillu alebo záporného goodwillu, spôsob výpočtu, prehodnotenie opodstatnenosti jeho výšky a odpisu jeho hodnoty</w:t>
      </w:r>
    </w:p>
    <w:p w:rsidR="001971D3" w:rsidRPr="00AF1B96" w:rsidRDefault="001971D3" w:rsidP="001971D3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Informácia o sume a dôvodoch vzniku jednotlivých položiek </w:t>
      </w:r>
      <w:r w:rsidRPr="00770DB9">
        <w:rPr>
          <w:rFonts w:cs="Arial"/>
          <w:b/>
          <w:sz w:val="20"/>
          <w:szCs w:val="24"/>
          <w:lang w:eastAsia="sk-SK"/>
        </w:rPr>
        <w:t>nákladov alebo výnosov, ktoré majú výnimočný rozsah alebo výskyt</w:t>
      </w:r>
      <w:r w:rsidR="00E532D5">
        <w:rPr>
          <w:rFonts w:cs="Arial"/>
          <w:b/>
          <w:sz w:val="20"/>
          <w:szCs w:val="24"/>
          <w:lang w:eastAsia="sk-SK"/>
        </w:rPr>
        <w:t xml:space="preserve">, účtovná jednotka neúčtuje o položkách s výnimočným rozsahom.  </w:t>
      </w:r>
    </w:p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770DB9" w:rsidRPr="00770DB9" w:rsidTr="00E20789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Popis nákladov ,výnosov </w:t>
            </w:r>
          </w:p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Výnimočného  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 w:rsidR="00770DB9" w:rsidRPr="00770DB9" w:rsidTr="00E20789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1481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13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Cs/>
          <w:sz w:val="20"/>
          <w:szCs w:val="20"/>
          <w:u w:val="single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 o týchto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663"/>
        <w:gridCol w:w="1399"/>
      </w:tblGrid>
      <w:tr w:rsidR="00770DB9" w:rsidRPr="00770DB9" w:rsidTr="00E20789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770DB9" w:rsidRPr="00770DB9" w:rsidRDefault="00770DB9" w:rsidP="00770DB9">
            <w:pPr>
              <w:spacing w:after="0"/>
              <w:ind w:left="357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ind w:left="357"/>
              <w:jc w:val="both"/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Celková suma zabezpečených záväzkov, opis a spôsoby zabezpečenia záväzkov</w:t>
            </w: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  <w:r w:rsidRPr="00770DB9">
              <w:rPr>
                <w:rFonts w:cs="Arial"/>
                <w:bCs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113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Cs/>
          <w:sz w:val="20"/>
          <w:szCs w:val="20"/>
          <w:u w:val="single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 o vlastných akciách, a to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dôvod nadobudnutia vlastných akcií počas účtovného obdobia,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</w:t>
      </w:r>
    </w:p>
    <w:p w:rsidR="00770DB9" w:rsidRPr="00770DB9" w:rsidRDefault="00770DB9" w:rsidP="00770DB9">
      <w:pPr>
        <w:numPr>
          <w:ilvl w:val="0"/>
          <w:numId w:val="23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770DB9" w:rsidRPr="00770DB9" w:rsidRDefault="00770DB9" w:rsidP="00770DB9">
      <w:pPr>
        <w:numPr>
          <w:ilvl w:val="0"/>
          <w:numId w:val="22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počet a hodnota, za ktorú sa vlastné akcie počas účtovného obdobia nadobudli a počet a hodnota, za ktorú sa vlastné akcie počas účtovného obdobia previedli na inú osobu,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bCs/>
          <w:kern w:val="28"/>
          <w:sz w:val="20"/>
          <w:szCs w:val="24"/>
        </w:rPr>
      </w:pPr>
      <w:r w:rsidRPr="00770DB9">
        <w:rPr>
          <w:rFonts w:cs="Arial"/>
          <w:sz w:val="20"/>
          <w:szCs w:val="24"/>
          <w:lang w:eastAsia="sk-SK"/>
        </w:rPr>
        <w:lastRenderedPageBreak/>
        <w:t xml:space="preserve">počet, menovitá hodnota a hodnota, za ktorú sa vlastné akcie nadobudli a ktoré účtovná jednotka má v držbe k poslednému dňu účtovného obdobia; </w:t>
      </w:r>
      <w:r w:rsidRPr="00770DB9">
        <w:rPr>
          <w:rFonts w:cs="Arial"/>
          <w:bCs/>
          <w:kern w:val="28"/>
          <w:sz w:val="20"/>
          <w:szCs w:val="24"/>
        </w:rPr>
        <w:t>uvádza  sa aj ich percentuálny podiel na upísanom základnom imaní.</w:t>
      </w: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AF1B96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</w:t>
      </w:r>
      <w:r w:rsidRPr="00770DB9">
        <w:rPr>
          <w:rFonts w:cs="Arial"/>
          <w:sz w:val="20"/>
          <w:szCs w:val="24"/>
          <w:lang w:eastAsia="sk-SK"/>
        </w:rPr>
        <w:t xml:space="preserve"> o </w:t>
      </w:r>
    </w:p>
    <w:p w:rsidR="00770DB9" w:rsidRPr="00AF1B96" w:rsidRDefault="00770DB9" w:rsidP="00770DB9">
      <w:pPr>
        <w:spacing w:after="0" w:line="240" w:lineRule="auto"/>
        <w:ind w:left="720"/>
        <w:rPr>
          <w:rFonts w:cs="Arial"/>
          <w:bCs/>
          <w:sz w:val="20"/>
          <w:szCs w:val="20"/>
          <w:u w:val="single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770DB9" w:rsidRPr="00AF1B96" w:rsidTr="00E20789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b/>
                <w:szCs w:val="22"/>
              </w:rPr>
            </w:pPr>
            <w:r w:rsidRPr="00AF1B96">
              <w:rPr>
                <w:b/>
                <w:szCs w:val="22"/>
              </w:rPr>
              <w:t xml:space="preserve">Výška jednotlivých druhov záruk alebo iných zabezpečení pre členov štatutárneho orgánu, </w:t>
            </w:r>
          </w:p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b/>
                <w:szCs w:val="22"/>
              </w:rPr>
              <w:t>dozorného orgánu a iného orgánu ÚJ</w:t>
            </w:r>
          </w:p>
        </w:tc>
      </w:tr>
      <w:tr w:rsidR="00770DB9" w:rsidRPr="00AF1B96" w:rsidTr="00E20789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b/>
                <w:szCs w:val="22"/>
              </w:rPr>
              <w:t>Pôžičky poskytnuté členom štatutárneho orgánu, dozorného orgánu a iného orgánu ÚJ</w:t>
            </w:r>
          </w:p>
        </w:tc>
      </w:tr>
      <w:tr w:rsidR="00770DB9" w:rsidRPr="00AF1B96" w:rsidTr="00E2078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1.Celková suma poskytnutých pôžičiek k poslednému dňu účtovného obdobia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2.Celková suma splatených pôžičiek k poslednému dňu účtovného obdobia</w:t>
            </w:r>
          </w:p>
        </w:tc>
      </w:tr>
      <w:tr w:rsidR="00770DB9" w:rsidRPr="00AF1B96" w:rsidTr="00E2078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3.Celková suma odpustených pôžičiek a odpísaných pôžičiek k poslednému dňu účtovného obdobia</w:t>
            </w:r>
          </w:p>
        </w:tc>
      </w:tr>
      <w:tr w:rsidR="00770DB9" w:rsidRPr="00AF1B96" w:rsidTr="00E2078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 povinnostiach účtovnej jednotky, a to</w:t>
      </w:r>
    </w:p>
    <w:p w:rsidR="00770DB9" w:rsidRDefault="00770DB9" w:rsidP="00770DB9">
      <w:pPr>
        <w:numPr>
          <w:ilvl w:val="0"/>
          <w:numId w:val="21"/>
        </w:numPr>
        <w:spacing w:after="0" w:line="240" w:lineRule="auto"/>
        <w:ind w:left="1276" w:hanging="567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celková suma finančných povinností, ktoré sa nevykazujú v súvahe, ale sú významné na posúdenie finančnej situácie účtovnej jednotky</w:t>
      </w:r>
    </w:p>
    <w:p w:rsidR="00770DB9" w:rsidRPr="00770DB9" w:rsidRDefault="001971D3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0"/>
          <w:lang w:eastAsia="sk-SK"/>
        </w:rPr>
      </w:pPr>
      <w:r w:rsidRPr="00AF1B96">
        <w:rPr>
          <w:rFonts w:cs="Arial"/>
          <w:sz w:val="20"/>
          <w:szCs w:val="20"/>
          <w:lang w:eastAsia="sk-SK"/>
        </w:rPr>
        <w:t>C</w:t>
      </w:r>
      <w:r w:rsidR="00770DB9" w:rsidRPr="00770DB9">
        <w:rPr>
          <w:rFonts w:cs="Arial"/>
          <w:sz w:val="20"/>
          <w:szCs w:val="20"/>
          <w:lang w:eastAsia="sk-SK"/>
        </w:rPr>
        <w:t>elková suma významných podmienených záväzkov</w:t>
      </w:r>
      <w:r w:rsidR="00E532D5">
        <w:rPr>
          <w:rFonts w:cs="Arial"/>
          <w:sz w:val="20"/>
          <w:szCs w:val="20"/>
          <w:lang w:eastAsia="sk-SK"/>
        </w:rPr>
        <w:t>, neúčtuje o podmienených záväzkoch</w:t>
      </w:r>
    </w:p>
    <w:p w:rsidR="001971D3" w:rsidRPr="00AF1B96" w:rsidRDefault="001971D3" w:rsidP="001971D3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bookmarkStart w:id="1" w:name="OLE_LINK1"/>
      <w:r w:rsidRPr="00AF1B96">
        <w:rPr>
          <w:rFonts w:cs="Arial"/>
          <w:sz w:val="20"/>
          <w:szCs w:val="24"/>
          <w:lang w:eastAsia="sk-SK"/>
        </w:rPr>
        <w:t>Celková suma podmieneného majetku</w:t>
      </w:r>
    </w:p>
    <w:p w:rsidR="001971D3" w:rsidRPr="00AF1B96" w:rsidRDefault="001971D3" w:rsidP="001971D3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AF1B96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 udelení výlučného práva alebo osobitného práva, ktorým sa udelilo právo poskytovať služby vo verejnom záujme</w:t>
      </w:r>
      <w:bookmarkEnd w:id="1"/>
    </w:p>
    <w:p w:rsidR="001971D3" w:rsidRPr="00AF1B96" w:rsidRDefault="001971D3" w:rsidP="001971D3">
      <w:pPr>
        <w:spacing w:after="0" w:line="240" w:lineRule="auto"/>
        <w:rPr>
          <w:rFonts w:cs="Arial"/>
          <w:sz w:val="20"/>
          <w:szCs w:val="24"/>
          <w:lang w:eastAsia="sk-SK"/>
        </w:rPr>
      </w:pPr>
    </w:p>
    <w:p w:rsidR="00AF1B96" w:rsidRPr="00436ADE" w:rsidRDefault="001971D3" w:rsidP="001971D3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  <w:r w:rsidRPr="00436ADE">
        <w:rPr>
          <w:rFonts w:cs="Arial"/>
          <w:b/>
          <w:color w:val="C00000"/>
          <w:sz w:val="20"/>
          <w:szCs w:val="24"/>
          <w:u w:val="single"/>
          <w:lang w:eastAsia="sk-SK"/>
        </w:rPr>
        <w:t>Udalosti, ktoré nastali po dni, ku ktorému sa zostavuje účtovná závierka</w:t>
      </w:r>
    </w:p>
    <w:p w:rsidR="00AF1B96" w:rsidRPr="00436ADE" w:rsidRDefault="00AF1B96" w:rsidP="001971D3">
      <w:pPr>
        <w:spacing w:after="0" w:line="240" w:lineRule="auto"/>
        <w:rPr>
          <w:rFonts w:cs="Arial"/>
          <w:color w:val="C00000"/>
          <w:sz w:val="20"/>
          <w:szCs w:val="24"/>
          <w:lang w:eastAsia="sk-SK"/>
        </w:rPr>
      </w:pPr>
    </w:p>
    <w:p w:rsidR="00AF1B96" w:rsidRPr="00436ADE" w:rsidRDefault="00AF1B96" w:rsidP="00AF1B96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  <w:r w:rsidRPr="00436ADE">
        <w:rPr>
          <w:rFonts w:cs="Arial"/>
          <w:b/>
          <w:color w:val="C00000"/>
          <w:sz w:val="20"/>
          <w:szCs w:val="24"/>
          <w:u w:val="single"/>
          <w:lang w:eastAsia="sk-SK"/>
        </w:rPr>
        <w:t>Ostatné informácie</w:t>
      </w:r>
    </w:p>
    <w:p w:rsidR="00AF1B96" w:rsidRPr="00436ADE" w:rsidRDefault="00AF1B96" w:rsidP="00AF1B96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</w:p>
    <w:p w:rsidR="00AF1B96" w:rsidRPr="00436ADE" w:rsidRDefault="00AF1B96" w:rsidP="00AF1B96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  <w:r w:rsidRPr="00436ADE">
        <w:rPr>
          <w:color w:val="C00000"/>
          <w:szCs w:val="22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AF1B96" w:rsidRPr="00436ADE" w:rsidRDefault="00AF1B96" w:rsidP="00AF1B9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všetkých formách prijatej náhrady,</w:t>
      </w:r>
    </w:p>
    <w:p w:rsidR="00AF1B96" w:rsidRPr="00436ADE" w:rsidRDefault="00AF1B96" w:rsidP="00AF1B9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lastRenderedPageBreak/>
        <w:t>účtovných zásadách použitých pri prideľovaní nákladov a výnosov,</w:t>
      </w:r>
    </w:p>
    <w:p w:rsidR="00AF1B96" w:rsidRPr="00436ADE" w:rsidRDefault="00AF1B96" w:rsidP="00AF1B9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všetkých druhoch činností účtovnej jednotky.</w:t>
      </w:r>
    </w:p>
    <w:p w:rsidR="00AF1B96" w:rsidRPr="00436ADE" w:rsidRDefault="00AF1B96" w:rsidP="00770DB9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</w:p>
    <w:p w:rsidR="00AF1B96" w:rsidRPr="00770DB9" w:rsidRDefault="00AF1B96" w:rsidP="00770DB9">
      <w:pPr>
        <w:spacing w:after="0" w:line="240" w:lineRule="auto"/>
        <w:rPr>
          <w:rFonts w:cs="Arial"/>
          <w:b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szCs w:val="22"/>
          <w:lang w:eastAsia="sk-SK"/>
        </w:rPr>
      </w:pPr>
      <w:r w:rsidRPr="00770DB9">
        <w:rPr>
          <w:rFonts w:cs="Arial"/>
          <w:szCs w:val="22"/>
          <w:u w:val="single"/>
          <w:lang w:eastAsia="sk-SK"/>
        </w:rPr>
        <w:t>Všeobecné pokyny na uvedenie informácií v poznámkach</w:t>
      </w:r>
      <w:r w:rsidRPr="00770DB9">
        <w:rPr>
          <w:rFonts w:cs="Arial"/>
          <w:szCs w:val="22"/>
          <w:lang w:eastAsia="sk-SK"/>
        </w:rPr>
        <w:t>:</w:t>
      </w:r>
    </w:p>
    <w:p w:rsidR="00770DB9" w:rsidRPr="00770DB9" w:rsidRDefault="00770DB9" w:rsidP="00770DB9">
      <w:pPr>
        <w:spacing w:after="0" w:line="240" w:lineRule="auto"/>
        <w:rPr>
          <w:rFonts w:cs="Arial"/>
          <w:szCs w:val="22"/>
          <w:lang w:eastAsia="sk-SK"/>
        </w:rPr>
      </w:pPr>
    </w:p>
    <w:p w:rsidR="00770DB9" w:rsidRPr="00770DB9" w:rsidRDefault="00770DB9" w:rsidP="00770DB9">
      <w:pPr>
        <w:numPr>
          <w:ilvl w:val="0"/>
          <w:numId w:val="31"/>
        </w:numPr>
        <w:spacing w:after="0" w:line="240" w:lineRule="auto"/>
        <w:rPr>
          <w:rFonts w:cs="Arial"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Pri predkladaní poznámok konkrétnej účtovnej jednotky sa neuvádza označenie článkov z opatrenia na poznámky.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 xml:space="preserve">Pri predkladaní poznámok konkrétnej účtovnej jednotky sa uvádzajú len tie informácie, pre ktoré má účtovná jednotka obsahovú náplň. Neuvádza sa informácia, že  pre danú položku nemá účtovná jednotka obsahovú náplň. 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Vzorové poznámky uvádzajú len ilustratívny text, čo by sa podľa obsahovej náplne najčastejšie malo uviesť. Je potrebné si vždy prečítať opatrením požadovanú obsahovú náplň.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V poznámkach sa číselné údaje uvádzajú v celých eurách.</w:t>
      </w:r>
    </w:p>
    <w:p w:rsidR="00770DB9" w:rsidRPr="00AF1B96" w:rsidRDefault="00770DB9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0E349D" w:rsidRPr="00AF1B96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AF1B96" w:rsidRDefault="0003344F" w:rsidP="004268D2">
      <w:pPr>
        <w:spacing w:after="0" w:line="240" w:lineRule="auto"/>
        <w:rPr>
          <w:szCs w:val="22"/>
        </w:rPr>
      </w:pPr>
      <w:r w:rsidRPr="00AF1B96">
        <w:rPr>
          <w:szCs w:val="22"/>
        </w:rPr>
        <w:t>Použité  skratky:</w:t>
      </w:r>
    </w:p>
    <w:p w:rsidR="00486DF8" w:rsidRPr="00AF1B96" w:rsidRDefault="00486DF8" w:rsidP="004268D2">
      <w:pPr>
        <w:spacing w:after="0" w:line="240" w:lineRule="auto"/>
        <w:rPr>
          <w:szCs w:val="22"/>
        </w:rPr>
      </w:pPr>
      <w:r w:rsidRPr="00AF1B96">
        <w:rPr>
          <w:szCs w:val="22"/>
        </w:rPr>
        <w:t>ÚJ-účtovná jednotka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r w:rsidRPr="00AF1B96">
        <w:rPr>
          <w:szCs w:val="22"/>
        </w:rPr>
        <w:t>BO-bežné účtovné obdobie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r w:rsidRPr="00AF1B96">
        <w:rPr>
          <w:szCs w:val="22"/>
        </w:rPr>
        <w:t>PO-bezprostredne predchádzajúce účtovné obdobie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r w:rsidRPr="00AF1B96">
        <w:rPr>
          <w:szCs w:val="22"/>
        </w:rPr>
        <w:t>X-položka sa vzťahuje na účtovnú jednotku</w:t>
      </w:r>
    </w:p>
    <w:sectPr w:rsidR="00EB467F" w:rsidRPr="00AF1B96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4322B" w:rsidRDefault="0034322B" w:rsidP="00107589">
      <w:pPr>
        <w:spacing w:after="0" w:line="240" w:lineRule="auto"/>
      </w:pPr>
      <w:r>
        <w:separator/>
      </w:r>
    </w:p>
  </w:endnote>
  <w:endnote w:type="continuationSeparator" w:id="0">
    <w:p w:rsidR="0034322B" w:rsidRDefault="0034322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DejaVu Sans Condensed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04397">
      <w:rPr>
        <w:noProof/>
      </w:rPr>
      <w:t>1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4322B" w:rsidRDefault="0034322B" w:rsidP="00107589">
      <w:pPr>
        <w:spacing w:after="0" w:line="240" w:lineRule="auto"/>
      </w:pPr>
      <w:r>
        <w:separator/>
      </w:r>
    </w:p>
  </w:footnote>
  <w:footnote w:type="continuationSeparator" w:id="0">
    <w:p w:rsidR="0034322B" w:rsidRDefault="0034322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3714D8">
          <w:pPr>
            <w:spacing w:after="0" w:line="240" w:lineRule="auto"/>
          </w:pPr>
          <w:r>
            <w:t>IČO:</w:t>
          </w:r>
          <w:r w:rsidR="003714D8">
            <w:t>54591945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3714D8">
          <w:pPr>
            <w:spacing w:after="0" w:line="240" w:lineRule="auto"/>
          </w:pPr>
          <w:r>
            <w:t>DIČ:</w:t>
          </w:r>
          <w:r w:rsidR="003714D8">
            <w:t>2121725023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84E1887"/>
    <w:multiLevelType w:val="hybridMultilevel"/>
    <w:tmpl w:val="6442B37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25277B44"/>
    <w:multiLevelType w:val="hybridMultilevel"/>
    <w:tmpl w:val="7026FFF8"/>
    <w:lvl w:ilvl="0" w:tplc="041B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29BC3FD3"/>
    <w:multiLevelType w:val="hybridMultilevel"/>
    <w:tmpl w:val="A2423C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2937163"/>
    <w:multiLevelType w:val="hybridMultilevel"/>
    <w:tmpl w:val="87FC4BE6"/>
    <w:lvl w:ilvl="0" w:tplc="188AB226">
      <w:start w:val="1"/>
      <w:numFmt w:val="upperLetter"/>
      <w:lvlText w:val="%1)"/>
      <w:lvlJc w:val="left"/>
      <w:pPr>
        <w:ind w:left="14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14" w:hanging="360"/>
      </w:pPr>
    </w:lvl>
    <w:lvl w:ilvl="2" w:tplc="041B001B" w:tentative="1">
      <w:start w:val="1"/>
      <w:numFmt w:val="lowerRoman"/>
      <w:lvlText w:val="%3."/>
      <w:lvlJc w:val="right"/>
      <w:pPr>
        <w:ind w:left="2934" w:hanging="180"/>
      </w:pPr>
    </w:lvl>
    <w:lvl w:ilvl="3" w:tplc="041B000F" w:tentative="1">
      <w:start w:val="1"/>
      <w:numFmt w:val="decimal"/>
      <w:lvlText w:val="%4."/>
      <w:lvlJc w:val="left"/>
      <w:pPr>
        <w:ind w:left="3654" w:hanging="360"/>
      </w:pPr>
    </w:lvl>
    <w:lvl w:ilvl="4" w:tplc="041B0019" w:tentative="1">
      <w:start w:val="1"/>
      <w:numFmt w:val="lowerLetter"/>
      <w:lvlText w:val="%5."/>
      <w:lvlJc w:val="left"/>
      <w:pPr>
        <w:ind w:left="4374" w:hanging="360"/>
      </w:pPr>
    </w:lvl>
    <w:lvl w:ilvl="5" w:tplc="041B001B" w:tentative="1">
      <w:start w:val="1"/>
      <w:numFmt w:val="lowerRoman"/>
      <w:lvlText w:val="%6."/>
      <w:lvlJc w:val="right"/>
      <w:pPr>
        <w:ind w:left="5094" w:hanging="180"/>
      </w:pPr>
    </w:lvl>
    <w:lvl w:ilvl="6" w:tplc="041B000F" w:tentative="1">
      <w:start w:val="1"/>
      <w:numFmt w:val="decimal"/>
      <w:lvlText w:val="%7."/>
      <w:lvlJc w:val="left"/>
      <w:pPr>
        <w:ind w:left="5814" w:hanging="360"/>
      </w:pPr>
    </w:lvl>
    <w:lvl w:ilvl="7" w:tplc="041B0019" w:tentative="1">
      <w:start w:val="1"/>
      <w:numFmt w:val="lowerLetter"/>
      <w:lvlText w:val="%8."/>
      <w:lvlJc w:val="left"/>
      <w:pPr>
        <w:ind w:left="6534" w:hanging="360"/>
      </w:pPr>
    </w:lvl>
    <w:lvl w:ilvl="8" w:tplc="041B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5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39872C72"/>
    <w:multiLevelType w:val="hybridMultilevel"/>
    <w:tmpl w:val="09545D48"/>
    <w:lvl w:ilvl="0" w:tplc="EDF8F790">
      <w:start w:val="1"/>
      <w:numFmt w:val="lowerLetter"/>
      <w:lvlText w:val="%1)"/>
      <w:lvlJc w:val="left"/>
      <w:pPr>
        <w:ind w:left="72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9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4327BEF"/>
    <w:multiLevelType w:val="hybridMultilevel"/>
    <w:tmpl w:val="112893E8"/>
    <w:lvl w:ilvl="0" w:tplc="041B0017">
      <w:start w:val="1"/>
      <w:numFmt w:val="lowerLetter"/>
      <w:lvlText w:val="%1)"/>
      <w:lvlJc w:val="left"/>
      <w:pPr>
        <w:ind w:left="774" w:hanging="360"/>
      </w:pPr>
    </w:lvl>
    <w:lvl w:ilvl="1" w:tplc="041B0019" w:tentative="1">
      <w:start w:val="1"/>
      <w:numFmt w:val="lowerLetter"/>
      <w:lvlText w:val="%2."/>
      <w:lvlJc w:val="left"/>
      <w:pPr>
        <w:ind w:left="1494" w:hanging="360"/>
      </w:pPr>
    </w:lvl>
    <w:lvl w:ilvl="2" w:tplc="041B001B" w:tentative="1">
      <w:start w:val="1"/>
      <w:numFmt w:val="lowerRoman"/>
      <w:lvlText w:val="%3."/>
      <w:lvlJc w:val="right"/>
      <w:pPr>
        <w:ind w:left="2214" w:hanging="180"/>
      </w:pPr>
    </w:lvl>
    <w:lvl w:ilvl="3" w:tplc="041B000F" w:tentative="1">
      <w:start w:val="1"/>
      <w:numFmt w:val="decimal"/>
      <w:lvlText w:val="%4."/>
      <w:lvlJc w:val="left"/>
      <w:pPr>
        <w:ind w:left="2934" w:hanging="360"/>
      </w:pPr>
    </w:lvl>
    <w:lvl w:ilvl="4" w:tplc="041B0019" w:tentative="1">
      <w:start w:val="1"/>
      <w:numFmt w:val="lowerLetter"/>
      <w:lvlText w:val="%5."/>
      <w:lvlJc w:val="left"/>
      <w:pPr>
        <w:ind w:left="3654" w:hanging="360"/>
      </w:pPr>
    </w:lvl>
    <w:lvl w:ilvl="5" w:tplc="041B001B" w:tentative="1">
      <w:start w:val="1"/>
      <w:numFmt w:val="lowerRoman"/>
      <w:lvlText w:val="%6."/>
      <w:lvlJc w:val="right"/>
      <w:pPr>
        <w:ind w:left="4374" w:hanging="180"/>
      </w:pPr>
    </w:lvl>
    <w:lvl w:ilvl="6" w:tplc="041B000F" w:tentative="1">
      <w:start w:val="1"/>
      <w:numFmt w:val="decimal"/>
      <w:lvlText w:val="%7."/>
      <w:lvlJc w:val="left"/>
      <w:pPr>
        <w:ind w:left="5094" w:hanging="360"/>
      </w:pPr>
    </w:lvl>
    <w:lvl w:ilvl="7" w:tplc="041B0019" w:tentative="1">
      <w:start w:val="1"/>
      <w:numFmt w:val="lowerLetter"/>
      <w:lvlText w:val="%8."/>
      <w:lvlJc w:val="left"/>
      <w:pPr>
        <w:ind w:left="5814" w:hanging="360"/>
      </w:pPr>
    </w:lvl>
    <w:lvl w:ilvl="8" w:tplc="041B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21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2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91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433" w:hanging="360"/>
      </w:pPr>
    </w:lvl>
    <w:lvl w:ilvl="2" w:tplc="041B001B" w:tentative="1">
      <w:start w:val="1"/>
      <w:numFmt w:val="lowerRoman"/>
      <w:lvlText w:val="%3."/>
      <w:lvlJc w:val="right"/>
      <w:pPr>
        <w:ind w:left="3153" w:hanging="180"/>
      </w:pPr>
    </w:lvl>
    <w:lvl w:ilvl="3" w:tplc="041B000F" w:tentative="1">
      <w:start w:val="1"/>
      <w:numFmt w:val="decimal"/>
      <w:lvlText w:val="%4."/>
      <w:lvlJc w:val="left"/>
      <w:pPr>
        <w:ind w:left="3873" w:hanging="360"/>
      </w:pPr>
    </w:lvl>
    <w:lvl w:ilvl="4" w:tplc="041B0019" w:tentative="1">
      <w:start w:val="1"/>
      <w:numFmt w:val="lowerLetter"/>
      <w:lvlText w:val="%5."/>
      <w:lvlJc w:val="left"/>
      <w:pPr>
        <w:ind w:left="4593" w:hanging="360"/>
      </w:pPr>
    </w:lvl>
    <w:lvl w:ilvl="5" w:tplc="041B001B" w:tentative="1">
      <w:start w:val="1"/>
      <w:numFmt w:val="lowerRoman"/>
      <w:lvlText w:val="%6."/>
      <w:lvlJc w:val="right"/>
      <w:pPr>
        <w:ind w:left="5313" w:hanging="180"/>
      </w:pPr>
    </w:lvl>
    <w:lvl w:ilvl="6" w:tplc="041B000F" w:tentative="1">
      <w:start w:val="1"/>
      <w:numFmt w:val="decimal"/>
      <w:lvlText w:val="%7."/>
      <w:lvlJc w:val="left"/>
      <w:pPr>
        <w:ind w:left="6033" w:hanging="360"/>
      </w:pPr>
    </w:lvl>
    <w:lvl w:ilvl="7" w:tplc="041B0019" w:tentative="1">
      <w:start w:val="1"/>
      <w:numFmt w:val="lowerLetter"/>
      <w:lvlText w:val="%8."/>
      <w:lvlJc w:val="left"/>
      <w:pPr>
        <w:ind w:left="6753" w:hanging="360"/>
      </w:pPr>
    </w:lvl>
    <w:lvl w:ilvl="8" w:tplc="041B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24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 w15:restartNumberingAfterBreak="0">
    <w:nsid w:val="5137668D"/>
    <w:multiLevelType w:val="hybridMultilevel"/>
    <w:tmpl w:val="F7FE71B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5C2385B"/>
    <w:multiLevelType w:val="hybridMultilevel"/>
    <w:tmpl w:val="5276E256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E6C10A4"/>
    <w:multiLevelType w:val="hybridMultilevel"/>
    <w:tmpl w:val="5658F9A2"/>
    <w:lvl w:ilvl="0" w:tplc="041B0001">
      <w:start w:val="1"/>
      <w:numFmt w:val="bullet"/>
      <w:lvlText w:val=""/>
      <w:lvlJc w:val="left"/>
      <w:pPr>
        <w:ind w:left="1841" w:hanging="360"/>
      </w:pPr>
      <w:rPr>
        <w:rFonts w:ascii="Symbol" w:hAnsi="Symbol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30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1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2" w15:restartNumberingAfterBreak="0">
    <w:nsid w:val="79D07410"/>
    <w:multiLevelType w:val="hybridMultilevel"/>
    <w:tmpl w:val="AB02E8A8"/>
    <w:lvl w:ilvl="0" w:tplc="3CA0299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31"/>
  </w:num>
  <w:num w:numId="3">
    <w:abstractNumId w:val="13"/>
  </w:num>
  <w:num w:numId="4">
    <w:abstractNumId w:val="11"/>
  </w:num>
  <w:num w:numId="5">
    <w:abstractNumId w:val="29"/>
  </w:num>
  <w:num w:numId="6">
    <w:abstractNumId w:val="7"/>
  </w:num>
  <w:num w:numId="7">
    <w:abstractNumId w:val="1"/>
  </w:num>
  <w:num w:numId="8">
    <w:abstractNumId w:val="30"/>
  </w:num>
  <w:num w:numId="9">
    <w:abstractNumId w:val="15"/>
  </w:num>
  <w:num w:numId="10">
    <w:abstractNumId w:val="21"/>
  </w:num>
  <w:num w:numId="11">
    <w:abstractNumId w:val="10"/>
  </w:num>
  <w:num w:numId="12">
    <w:abstractNumId w:val="28"/>
  </w:num>
  <w:num w:numId="13">
    <w:abstractNumId w:val="5"/>
  </w:num>
  <w:num w:numId="14">
    <w:abstractNumId w:val="18"/>
  </w:num>
  <w:num w:numId="15">
    <w:abstractNumId w:val="0"/>
  </w:num>
  <w:num w:numId="16">
    <w:abstractNumId w:val="3"/>
  </w:num>
  <w:num w:numId="17">
    <w:abstractNumId w:val="19"/>
  </w:num>
  <w:num w:numId="18">
    <w:abstractNumId w:val="16"/>
  </w:num>
  <w:num w:numId="19">
    <w:abstractNumId w:val="6"/>
  </w:num>
  <w:num w:numId="20">
    <w:abstractNumId w:val="22"/>
  </w:num>
  <w:num w:numId="21">
    <w:abstractNumId w:val="27"/>
  </w:num>
  <w:num w:numId="22">
    <w:abstractNumId w:val="2"/>
  </w:num>
  <w:num w:numId="23">
    <w:abstractNumId w:val="23"/>
  </w:num>
  <w:num w:numId="24">
    <w:abstractNumId w:val="20"/>
  </w:num>
  <w:num w:numId="25">
    <w:abstractNumId w:val="14"/>
  </w:num>
  <w:num w:numId="26">
    <w:abstractNumId w:val="17"/>
  </w:num>
  <w:num w:numId="27">
    <w:abstractNumId w:val="32"/>
  </w:num>
  <w:num w:numId="28">
    <w:abstractNumId w:val="9"/>
  </w:num>
  <w:num w:numId="29">
    <w:abstractNumId w:val="24"/>
  </w:num>
  <w:num w:numId="30">
    <w:abstractNumId w:val="4"/>
  </w:num>
  <w:num w:numId="31">
    <w:abstractNumId w:val="12"/>
  </w:num>
  <w:num w:numId="32">
    <w:abstractNumId w:val="25"/>
  </w:num>
  <w:num w:numId="33">
    <w:abstractNumId w:val="26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2EDB"/>
    <w:rsid w:val="000649F6"/>
    <w:rsid w:val="000679F3"/>
    <w:rsid w:val="000817BE"/>
    <w:rsid w:val="00082070"/>
    <w:rsid w:val="00083A25"/>
    <w:rsid w:val="000853E5"/>
    <w:rsid w:val="000856F9"/>
    <w:rsid w:val="000A7A95"/>
    <w:rsid w:val="000A7EE3"/>
    <w:rsid w:val="000B4D0C"/>
    <w:rsid w:val="000C4493"/>
    <w:rsid w:val="000D22CE"/>
    <w:rsid w:val="000E349D"/>
    <w:rsid w:val="00101637"/>
    <w:rsid w:val="00107589"/>
    <w:rsid w:val="001205A3"/>
    <w:rsid w:val="00151C69"/>
    <w:rsid w:val="001579C7"/>
    <w:rsid w:val="0016384B"/>
    <w:rsid w:val="00186CFF"/>
    <w:rsid w:val="001923C8"/>
    <w:rsid w:val="001971D3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A7825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322B"/>
    <w:rsid w:val="00344DB4"/>
    <w:rsid w:val="00350F37"/>
    <w:rsid w:val="00356678"/>
    <w:rsid w:val="00363F47"/>
    <w:rsid w:val="003714D8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36ADE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578"/>
    <w:rsid w:val="004D08E4"/>
    <w:rsid w:val="004D5C84"/>
    <w:rsid w:val="004E24A8"/>
    <w:rsid w:val="004E36D5"/>
    <w:rsid w:val="004E671E"/>
    <w:rsid w:val="005109EE"/>
    <w:rsid w:val="00512E8A"/>
    <w:rsid w:val="005136D1"/>
    <w:rsid w:val="00537F98"/>
    <w:rsid w:val="0054020D"/>
    <w:rsid w:val="00544F4D"/>
    <w:rsid w:val="00550544"/>
    <w:rsid w:val="00551F2B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4397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6E30"/>
    <w:rsid w:val="007408CF"/>
    <w:rsid w:val="00741B22"/>
    <w:rsid w:val="007449B8"/>
    <w:rsid w:val="00760D6D"/>
    <w:rsid w:val="00764E4C"/>
    <w:rsid w:val="00770DB9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1228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616A5"/>
    <w:rsid w:val="008725BC"/>
    <w:rsid w:val="008755FC"/>
    <w:rsid w:val="00880109"/>
    <w:rsid w:val="008875A1"/>
    <w:rsid w:val="00891F08"/>
    <w:rsid w:val="008C0E76"/>
    <w:rsid w:val="008C2EFA"/>
    <w:rsid w:val="008E284C"/>
    <w:rsid w:val="008E4928"/>
    <w:rsid w:val="00900BE9"/>
    <w:rsid w:val="00912D01"/>
    <w:rsid w:val="0093226A"/>
    <w:rsid w:val="00933936"/>
    <w:rsid w:val="00934878"/>
    <w:rsid w:val="0094114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44147"/>
    <w:rsid w:val="00A533B1"/>
    <w:rsid w:val="00A62542"/>
    <w:rsid w:val="00A657E1"/>
    <w:rsid w:val="00A8025E"/>
    <w:rsid w:val="00A80BF6"/>
    <w:rsid w:val="00AA7A16"/>
    <w:rsid w:val="00AB03FB"/>
    <w:rsid w:val="00AD4607"/>
    <w:rsid w:val="00AF1B96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06D9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441D9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0789"/>
    <w:rsid w:val="00E2186D"/>
    <w:rsid w:val="00E33704"/>
    <w:rsid w:val="00E33912"/>
    <w:rsid w:val="00E35A2B"/>
    <w:rsid w:val="00E532D5"/>
    <w:rsid w:val="00E6362F"/>
    <w:rsid w:val="00E66ECB"/>
    <w:rsid w:val="00E720C4"/>
    <w:rsid w:val="00E769EA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8A56162"/>
  <w15:docId w15:val="{9C247FAE-84E1-4276-8288-9E683EC05E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B740AEF-FBC8-4EB2-A4F2-1128F85C64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1666</Words>
  <Characters>9498</Characters>
  <Application>Microsoft Office Word</Application>
  <DocSecurity>0</DocSecurity>
  <Lines>79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11142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DELL</cp:lastModifiedBy>
  <cp:revision>2</cp:revision>
  <cp:lastPrinted>2023-05-15T08:47:00Z</cp:lastPrinted>
  <dcterms:created xsi:type="dcterms:W3CDTF">2023-05-15T08:48:00Z</dcterms:created>
  <dcterms:modified xsi:type="dcterms:W3CDTF">2023-05-15T08:48:00Z</dcterms:modified>
</cp:coreProperties>
</file>