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0B1B09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Š – GASTRO s.r.o. 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F3A7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765B" w:rsidRDefault="00A7765B" w:rsidP="001869C8">
      <w:r>
        <w:separator/>
      </w:r>
    </w:p>
  </w:endnote>
  <w:endnote w:type="continuationSeparator" w:id="0">
    <w:p w:rsidR="00A7765B" w:rsidRDefault="00A7765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C17AC">
    <w:pPr>
      <w:pStyle w:val="Pta"/>
      <w:jc w:val="center"/>
    </w:pPr>
    <w:fldSimple w:instr=" PAGE   \* MERGEFORMAT ">
      <w:r w:rsidR="000B1B0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765B" w:rsidRDefault="00A7765B" w:rsidP="001869C8">
      <w:r>
        <w:separator/>
      </w:r>
    </w:p>
  </w:footnote>
  <w:footnote w:type="continuationSeparator" w:id="0">
    <w:p w:rsidR="00A7765B" w:rsidRDefault="00A7765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0B1B09">
            <w:t>47162392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0B1B09">
            <w:t>2023791033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1B09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C17AC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7765B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FB27B2-2204-42C3-A157-AFA7CFDA3D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2023-06-20T12:18:00Z</dcterms:created>
  <dcterms:modified xsi:type="dcterms:W3CDTF">2023-06-20T12:18:00Z</dcterms:modified>
</cp:coreProperties>
</file>