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94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79"/>
        <w:gridCol w:w="2595"/>
        <w:gridCol w:w="336"/>
        <w:gridCol w:w="340"/>
        <w:gridCol w:w="337"/>
        <w:gridCol w:w="336"/>
        <w:gridCol w:w="341"/>
        <w:gridCol w:w="336"/>
        <w:gridCol w:w="341"/>
        <w:gridCol w:w="336"/>
        <w:gridCol w:w="567"/>
        <w:gridCol w:w="336"/>
        <w:gridCol w:w="337"/>
        <w:gridCol w:w="336"/>
        <w:gridCol w:w="341"/>
      </w:tblGrid>
      <w:tr>
        <w:trPr/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Poznámky (Úč  NUJ 3 – 01)</w:t>
            </w:r>
          </w:p>
        </w:tc>
        <w:tc>
          <w:tcPr>
            <w:tcW w:w="25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781" w:type="dxa"/>
        <w:jc w:val="left"/>
        <w:tblInd w:w="9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77"/>
        <w:gridCol w:w="6803"/>
      </w:tblGrid>
      <w:tr>
        <w:trPr>
          <w:trHeight w:val="284" w:hRule="atLeast"/>
        </w:trPr>
        <w:tc>
          <w:tcPr>
            <w:tcW w:w="297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Obec Rohožník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Školské námestie 406/1, 906 38 Rohožník</w:t>
            </w:r>
          </w:p>
        </w:tc>
      </w:tr>
      <w:tr>
        <w:trPr>
          <w:trHeight w:val="178" w:hRule="atLeast"/>
        </w:trPr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03.07.2017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  <w:t xml:space="preserve">Údaje uvedené v Poznámkach sú v mene EUR, ak nie je uvedené inak. </w:t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p>
      <w:pPr>
        <w:pStyle w:val="Textopatrenia"/>
        <w:spacing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981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44"/>
        <w:gridCol w:w="6967"/>
      </w:tblGrid>
      <w:tr>
        <w:trPr>
          <w:trHeight w:val="284" w:hRule="atLeast"/>
        </w:trPr>
        <w:tc>
          <w:tcPr>
            <w:tcW w:w="2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Monika Czeilingerová, štatutárna zástupkyňa a riaditeľka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(Správna rada)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Peter Švaral, predseda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PharmDr. Elena Šurláková,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MUDr. Jana Vrablicová,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(Revízor)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Marušca Feriková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27"/>
        <w:gridCol w:w="6974"/>
      </w:tblGrid>
      <w:tr>
        <w:trPr>
          <w:trHeight w:val="284" w:hRule="atLeast"/>
        </w:trPr>
        <w:tc>
          <w:tcPr>
            <w:tcW w:w="282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Poskytovanie sociálnej pomoci a humanitárnej starostlivosti. </w:t>
            </w:r>
          </w:p>
        </w:tc>
      </w:tr>
      <w:tr>
        <w:trPr>
          <w:trHeight w:val="284" w:hRule="atLeast"/>
        </w:trPr>
        <w:tc>
          <w:tcPr>
            <w:tcW w:w="282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Tvorba, rozvoj, ochrana, obnova a prezentácia duchovných a kultúrnych hodnôt.</w:t>
            </w:r>
          </w:p>
        </w:tc>
      </w:tr>
      <w:tr>
        <w:trPr>
          <w:trHeight w:val="284" w:hRule="atLeast"/>
        </w:trPr>
        <w:tc>
          <w:tcPr>
            <w:tcW w:w="2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práčovne.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50" w:type="pct"/>
        <w:jc w:val="left"/>
        <w:tblInd w:w="9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431"/>
        <w:gridCol w:w="2610"/>
        <w:gridCol w:w="2637"/>
      </w:tblGrid>
      <w:tr>
        <w:trPr>
          <w:trHeight w:val="205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05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29</w:t>
            </w:r>
          </w:p>
        </w:tc>
        <w:tc>
          <w:tcPr>
            <w:tcW w:w="2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28</w:t>
            </w:r>
          </w:p>
        </w:tc>
      </w:tr>
      <w:tr>
        <w:trPr>
          <w:trHeight w:val="205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6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>
        <w:trPr>
          <w:trHeight w:val="205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6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05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nie je zriaďovateľom žiadnej inej účtovnej jednotky. 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  <w:r>
        <w:br w:type="page"/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Účtovná jednotka predpokladá pokračovať vo svojej činnosti aj v nasledujúcom účtovnom období.</w:t>
        <w:tab/>
        <w:t xml:space="preserve"> 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V prvých mesiacoch roku 2020 sa vírus COVID-19, ktorý sa objavil koncom roku 2019 v Číne, rozšíril do celého sveta a negatívne ovplyvnil mnoho krajín a ich hospodárske a obchodné prostredie. Tento trend a jeho dopady kulminovali koncom kalendárneho roka 2020. Samozrejme tieto globálne dopady sa zákonite prejavili aj na neziskovú sféru na Slovensku. Najzásadnejším faktorom je nepredvídateľnosť, ktorá pretrváva, či už ide o parameter času alebo dopadov aj v r. 2022. Organizácia nezaznamenala z dôvodu celosvetovej pandémie pokles tržieb, resp. významne menší objem dotácií a príspevkov na činnosť neziskovej organizácie.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 súvislosti s vojnovým konfliktom na Ukrajine vedenie Organizácie urobilo analýzu možných účinkov a následkov na Organizáciu a dospelo k názoru, že v súčasnosti nemajú významné nepriaznivé dopady na Organizáciu (okrem rastúcich cien vstupov, najmä pohonných hmôt, energií, materiálov, tovarov a služieb). Vedenie Organizácie nepredpokladá významné ohrozenie predpokladu nepretržitého pokračovania v činnosti v blízkej budúcnosti (t.j. počas nasledujúcich 12 mesiacov od dátumu zostavenia UZ).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nezmenila v priebehu účtovného obdobia účtovné metódy a ani účtovné zásady. Účtovné metódy a účtovné zásady boli konzistentne aplikované v porovnaní s bezprostredne predchádzajúcim účtovným obdobím. 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Nenastali žiadne iné zmeny účtovných zásad a účtovných metód.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753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67"/>
        <w:gridCol w:w="3485"/>
      </w:tblGrid>
      <w:tr>
        <w:trPr>
          <w:trHeight w:val="251" w:hRule="atLeast"/>
        </w:trPr>
        <w:tc>
          <w:tcPr>
            <w:tcW w:w="6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51" w:hRule="atLeast"/>
        </w:trPr>
        <w:tc>
          <w:tcPr>
            <w:tcW w:w="6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51" w:hRule="atLeast"/>
        </w:trPr>
        <w:tc>
          <w:tcPr>
            <w:tcW w:w="6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iným spôsobom - darom</w:t>
            </w:r>
          </w:p>
        </w:tc>
        <w:tc>
          <w:tcPr>
            <w:tcW w:w="3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51" w:hRule="atLeast"/>
        </w:trPr>
        <w:tc>
          <w:tcPr>
            <w:tcW w:w="6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51" w:hRule="atLeast"/>
        </w:trPr>
        <w:tc>
          <w:tcPr>
            <w:tcW w:w="6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51" w:hRule="atLeast"/>
        </w:trPr>
        <w:tc>
          <w:tcPr>
            <w:tcW w:w="6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50" w:type="pct"/>
        <w:jc w:val="left"/>
        <w:tblInd w:w="9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265"/>
        <w:gridCol w:w="2481"/>
        <w:gridCol w:w="2465"/>
        <w:gridCol w:w="2466"/>
      </w:tblGrid>
      <w:tr>
        <w:trPr>
          <w:trHeight w:val="250" w:hRule="atLeast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4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50" w:hRule="atLeast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Hydraulický mobilný zdvihák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1/48</w:t>
            </w:r>
          </w:p>
        </w:tc>
        <w:tc>
          <w:tcPr>
            <w:tcW w:w="24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  <w:tr>
        <w:trPr>
          <w:trHeight w:val="250" w:hRule="atLeast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Osobný automobil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1/48</w:t>
            </w:r>
          </w:p>
        </w:tc>
        <w:tc>
          <w:tcPr>
            <w:tcW w:w="24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neúčtovala o opravných položkách k majetku.   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Organizácia neeviduje dlhodobý nehmotný majetok</w:t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573" w:type="dxa"/>
        <w:jc w:val="left"/>
        <w:tblInd w:w="-1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467"/>
        <w:gridCol w:w="709"/>
        <w:gridCol w:w="846"/>
        <w:gridCol w:w="854"/>
        <w:gridCol w:w="843"/>
        <w:gridCol w:w="989"/>
        <w:gridCol w:w="708"/>
        <w:gridCol w:w="858"/>
        <w:gridCol w:w="847"/>
        <w:gridCol w:w="848"/>
        <w:gridCol w:w="748"/>
        <w:gridCol w:w="855"/>
      </w:tblGrid>
      <w:tr>
        <w:trPr>
          <w:trHeight w:val="1020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1 715,00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12 977,97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14 692,97</w:t>
            </w:r>
          </w:p>
        </w:tc>
      </w:tr>
      <w:tr>
        <w:trPr>
          <w:trHeight w:val="28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1 715,00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12 977,97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14 692,97</w:t>
            </w:r>
          </w:p>
        </w:tc>
      </w:tr>
      <w:tr>
        <w:trPr>
          <w:trHeight w:val="40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893,23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4 311,35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5 204,58</w:t>
            </w:r>
          </w:p>
        </w:tc>
      </w:tr>
      <w:tr>
        <w:trPr>
          <w:trHeight w:val="28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428,75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3 244,49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3 673,24</w:t>
            </w:r>
          </w:p>
        </w:tc>
      </w:tr>
      <w:tr>
        <w:trPr>
          <w:trHeight w:val="28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1 321,98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7 555,84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8 877,82</w:t>
            </w:r>
          </w:p>
        </w:tc>
      </w:tr>
      <w:tr>
        <w:trPr>
          <w:trHeight w:val="40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057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821,77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8 666,62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9 488,39</w:t>
            </w:r>
          </w:p>
        </w:tc>
      </w:tr>
      <w:tr>
        <w:trPr>
          <w:trHeight w:val="408" w:hRule="atLeast"/>
        </w:trPr>
        <w:tc>
          <w:tcPr>
            <w:tcW w:w="1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393,02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5 422,13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5 815,15</w:t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nedisponuje s dlhodobým majetkom, na ktorý je zriadené záložné právo, resp. pri ktorom má účtovná jednotka obmedzené právo s ním nakladať.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realizuje svoju činnosť v prenajatých priestoroch od obce Rohožník, poistenie nehnuteľnosti je súčasťou nájomného. Poistenie jednotlivých zložiek majetku organizácia nemá uzatvorené.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neúčtuje o dlhodobom finančnom majetku.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>Organizácia neúčtovala o opravnej položke k dlhodobému finančnému majetku.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tbl>
      <w:tblPr>
        <w:tblW w:w="10185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60"/>
        <w:gridCol w:w="3449"/>
        <w:gridCol w:w="3476"/>
      </w:tblGrid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10 912,82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10 938,25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148,80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145,54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126 895,59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87 277,61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137 957,21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98 361,40</w:t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 xml:space="preserve">Organizácia vykazuje konečný stav zásob k 31.12.2022 vo výške 1 611,59 EUR (stav zásob k 31.12.2021 bol vo výške 1 768,50 EUR), ktorý predstavuje nespotrebované potravinové zásoby ku koncu roka v kuchyni na základe vykonanej fyzickej inventúry. Organizácia neúčtuje o opravnej položke k zásobám.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164"/>
        <w:gridCol w:w="4649"/>
        <w:gridCol w:w="2165"/>
      </w:tblGrid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1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Predaj služieb – stravné a ubytovanie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služieb – hlavná činnosť</w:t>
            </w:r>
          </w:p>
        </w:tc>
        <w:tc>
          <w:tcPr>
            <w:tcW w:w="21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11 283,93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1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11 283,93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neúčtovala o opravných položkách k pohľadávkam v priebehu účtovného obdobia.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10"/>
        <w:gridCol w:w="2927"/>
        <w:gridCol w:w="3141"/>
      </w:tblGrid>
      <w:tr>
        <w:trPr>
          <w:trHeight w:val="284" w:hRule="atLeast"/>
        </w:trPr>
        <w:tc>
          <w:tcPr>
            <w:tcW w:w="391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0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1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48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4 293,50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8 898,22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25 743,27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13 191,72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25 743,27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25"/>
        <w:gridCol w:w="4889"/>
        <w:gridCol w:w="2164"/>
      </w:tblGrid>
      <w:tr>
        <w:trPr>
          <w:trHeight w:val="284" w:hRule="atLeast"/>
        </w:trPr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2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poistenia Kooperatíva č. 6599443752 na rok 2023,doména,predplatné</w:t>
            </w:r>
          </w:p>
        </w:tc>
        <w:tc>
          <w:tcPr>
            <w:tcW w:w="2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378,24</w:t>
            </w:r>
          </w:p>
        </w:tc>
      </w:tr>
    </w:tbl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left"/>
        <w:rPr>
          <w:sz w:val="18"/>
          <w:szCs w:val="18"/>
        </w:rPr>
      </w:pPr>
      <w:r>
        <w:rPr>
          <w:sz w:val="18"/>
          <w:szCs w:val="18"/>
        </w:rPr>
      </w:r>
      <w:r>
        <w:br w:type="page"/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7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Nezisková organizácia bola zapísaná do Registra poskytovateľov sociálnych služieb Bratislavského samosprávneho kraja dňa 27.09.2017 pod registračným číslom 246/2017-SP. </w:t>
      </w:r>
    </w:p>
    <w:p>
      <w:pPr>
        <w:pStyle w:val="Normal"/>
        <w:numPr>
          <w:ilvl w:val="0"/>
          <w:numId w:val="7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>Organizácia neúčtovala o opravách významných chýb minulého obdobia v priebehu účtovného obdobia 2022.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8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98"/>
        <w:gridCol w:w="1139"/>
        <w:gridCol w:w="1138"/>
        <w:gridCol w:w="1141"/>
        <w:gridCol w:w="1136"/>
        <w:gridCol w:w="1225"/>
      </w:tblGrid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26 562,81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29 294,19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55 857,00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29 294,19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9 147,67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-29 294,19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9 147,67</w:t>
            </w:r>
          </w:p>
        </w:tc>
      </w:tr>
      <w:tr>
        <w:trPr>
          <w:trHeight w:val="255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55 857,00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9 147,67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65 004,67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385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433"/>
        <w:gridCol w:w="2249"/>
      </w:tblGrid>
      <w:tr>
        <w:trPr>
          <w:trHeight w:val="146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146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29 294,19</w:t>
            </w:r>
          </w:p>
        </w:tc>
      </w:tr>
      <w:tr>
        <w:trPr>
          <w:trHeight w:val="146" w:hRule="atLeast"/>
        </w:trPr>
        <w:tc>
          <w:tcPr>
            <w:tcW w:w="76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146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27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29 294,19</w:t>
            </w:r>
          </w:p>
        </w:tc>
      </w:tr>
      <w:tr>
        <w:trPr>
          <w:trHeight w:val="146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76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146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53"/>
        <w:gridCol w:w="1083"/>
        <w:gridCol w:w="1414"/>
        <w:gridCol w:w="1414"/>
        <w:gridCol w:w="1408"/>
        <w:gridCol w:w="1405"/>
      </w:tblGrid>
      <w:tr>
        <w:trPr>
          <w:trHeight w:val="284" w:hRule="atLeast"/>
        </w:trPr>
        <w:tc>
          <w:tcPr>
            <w:tcW w:w="32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32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Rezerva na štatutárny audit, účt. závierka</w:t>
            </w:r>
          </w:p>
        </w:tc>
        <w:tc>
          <w:tcPr>
            <w:tcW w:w="1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920,00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920,00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920,00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920,00</w:t>
            </w:r>
          </w:p>
        </w:tc>
      </w:tr>
      <w:tr>
        <w:trPr>
          <w:trHeight w:val="284" w:hRule="atLeast"/>
        </w:trPr>
        <w:tc>
          <w:tcPr>
            <w:tcW w:w="32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 vrát. odvodov</w:t>
            </w:r>
          </w:p>
        </w:tc>
        <w:tc>
          <w:tcPr>
            <w:tcW w:w="1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15 127,81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21 900,25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15 127,81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21 900,25</w:t>
            </w:r>
          </w:p>
        </w:tc>
      </w:tr>
      <w:tr>
        <w:trPr>
          <w:trHeight w:val="284" w:hRule="atLeast"/>
        </w:trPr>
        <w:tc>
          <w:tcPr>
            <w:tcW w:w="32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16 047,81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22 820,25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16 047,81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22 820,25</w:t>
            </w:r>
          </w:p>
        </w:tc>
      </w:tr>
      <w:tr>
        <w:trPr>
          <w:trHeight w:val="284" w:hRule="atLeast"/>
        </w:trPr>
        <w:tc>
          <w:tcPr>
            <w:tcW w:w="32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16 047,81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22 820,25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16 047,81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22 820,25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9921" w:type="dxa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1336"/>
        <w:gridCol w:w="1357"/>
        <w:gridCol w:w="1559"/>
        <w:gridCol w:w="1276"/>
      </w:tblGrid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záväzky - stravné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záväzky spolu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9921" w:type="dxa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2691"/>
        <w:gridCol w:w="2837"/>
      </w:tblGrid>
      <w:tr>
        <w:trPr>
          <w:trHeight w:val="284" w:hRule="atLeast"/>
        </w:trPr>
        <w:tc>
          <w:tcPr>
            <w:tcW w:w="43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3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3 203,08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2 554,90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3 203,08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2 554,90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 záväzkoch</w:t>
      </w:r>
    </w:p>
    <w:tbl>
      <w:tblPr>
        <w:tblW w:w="50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76"/>
        <w:gridCol w:w="2498"/>
        <w:gridCol w:w="2504"/>
      </w:tblGrid>
      <w:tr>
        <w:trPr>
          <w:trHeight w:val="284" w:hRule="atLeast"/>
        </w:trPr>
        <w:tc>
          <w:tcPr>
            <w:tcW w:w="497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0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7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51 925,59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51 344,73</w:t>
            </w:r>
          </w:p>
        </w:tc>
      </w:tr>
      <w:tr>
        <w:trPr>
          <w:trHeight w:val="284" w:hRule="atLeast"/>
        </w:trPr>
        <w:tc>
          <w:tcPr>
            <w:tcW w:w="4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51 925,59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51 344,73</w:t>
            </w:r>
          </w:p>
        </w:tc>
      </w:tr>
      <w:tr>
        <w:trPr>
          <w:trHeight w:val="284" w:hRule="atLeast"/>
        </w:trPr>
        <w:tc>
          <w:tcPr>
            <w:tcW w:w="4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7 977,04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10 319,69</w:t>
            </w:r>
          </w:p>
        </w:tc>
      </w:tr>
      <w:tr>
        <w:trPr>
          <w:trHeight w:val="284" w:hRule="atLeast"/>
        </w:trPr>
        <w:tc>
          <w:tcPr>
            <w:tcW w:w="4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7 977,04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10 319,69</w:t>
            </w:r>
          </w:p>
        </w:tc>
      </w:tr>
      <w:tr>
        <w:trPr>
          <w:trHeight w:val="284" w:hRule="atLeast"/>
        </w:trPr>
        <w:tc>
          <w:tcPr>
            <w:tcW w:w="4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59 902,63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61 664,42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19"/>
        <w:gridCol w:w="3147"/>
        <w:gridCol w:w="3112"/>
      </w:tblGrid>
      <w:tr>
        <w:trPr>
          <w:trHeight w:val="284" w:hRule="atLeast"/>
        </w:trPr>
        <w:tc>
          <w:tcPr>
            <w:tcW w:w="3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4 176,95</w:t>
            </w:r>
          </w:p>
        </w:tc>
        <w:tc>
          <w:tcPr>
            <w:tcW w:w="3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4 531,78</w:t>
            </w:r>
          </w:p>
        </w:tc>
      </w:tr>
      <w:tr>
        <w:trPr>
          <w:trHeight w:val="284" w:hRule="atLeast"/>
        </w:trPr>
        <w:tc>
          <w:tcPr>
            <w:tcW w:w="3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2 266,18</w:t>
            </w:r>
          </w:p>
        </w:tc>
        <w:tc>
          <w:tcPr>
            <w:tcW w:w="3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1 681,33</w:t>
            </w:r>
          </w:p>
        </w:tc>
      </w:tr>
      <w:tr>
        <w:trPr>
          <w:trHeight w:val="284" w:hRule="atLeast"/>
        </w:trPr>
        <w:tc>
          <w:tcPr>
            <w:tcW w:w="3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2 464,51</w:t>
            </w:r>
          </w:p>
        </w:tc>
        <w:tc>
          <w:tcPr>
            <w:tcW w:w="3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2 036,16</w:t>
            </w:r>
          </w:p>
        </w:tc>
      </w:tr>
      <w:tr>
        <w:trPr>
          <w:trHeight w:val="284" w:hRule="atLeast"/>
        </w:trPr>
        <w:tc>
          <w:tcPr>
            <w:tcW w:w="3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3 978,62</w:t>
            </w:r>
          </w:p>
        </w:tc>
        <w:tc>
          <w:tcPr>
            <w:tcW w:w="3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4 176,95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Účtovná jednotka neeviduje prijaté bankové úvery, pôžičky ani iné výpomoci. 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neeviduje významné položky na tomto účte časového rozlíšenia. 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významných položkách výnosov budúcich období 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darom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821,77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428,75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393,02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10 000,00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10 000,00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grantu na obstaranie motorového vozidla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1 333,34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500,00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833,34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</w:t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 xml:space="preserve">Organizácia má prenajatý dlhodobý finančný majetok formou finančného lízingu: Dacia Dokker v obstarávacej cene 12 627,17 EUR.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2"/>
        <w:gridCol w:w="2969"/>
        <w:gridCol w:w="2987"/>
      </w:tblGrid>
      <w:tr>
        <w:trPr>
          <w:trHeight w:val="284" w:hRule="atLeast"/>
        </w:trPr>
        <w:tc>
          <w:tcPr>
            <w:tcW w:w="40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 služby, z toho</w:t>
            </w:r>
          </w:p>
        </w:tc>
        <w:tc>
          <w:tcPr>
            <w:tcW w:w="29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8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611 465,98</w:t>
            </w:r>
          </w:p>
        </w:tc>
        <w:tc>
          <w:tcPr>
            <w:tcW w:w="29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605 687,14</w:t>
            </w:r>
          </w:p>
        </w:tc>
        <w:tc>
          <w:tcPr>
            <w:tcW w:w="298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5 778,84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prijaté od fyzických osôb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300,00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prijaté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Obec Rohožník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82 392,75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práce, sociálnych vecí a rodiny Slovenskej republiky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244 721,24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Úrad práce, sociálnych vecí a rodiny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5 800,25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výnosov.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potravín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43 898,27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pohonných látok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1 483,67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Čistiace a hygienické potreby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5 224,08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 položky spotreby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3 251,86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materiálu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53 857,88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energií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28 764,69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energie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28 764,69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Opravy a údržba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7 205,59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SW a licencie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2 422,08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i/>
                <w:sz w:val="16"/>
                <w:szCs w:val="16"/>
              </w:rPr>
              <w:t>Ekonomické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5 480,00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Telekomunikačné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1 304,62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Revízie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3 729,08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Školenia a kurzy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1 436,66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3 529,74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služby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17 902,18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Poplatky banke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144,43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 xml:space="preserve">Poistenie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1 114,53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71,40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ostatné náklady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557,68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795"/>
        <w:gridCol w:w="2733"/>
        <w:gridCol w:w="2250"/>
      </w:tblGrid>
      <w:tr>
        <w:trPr>
          <w:trHeight w:val="284" w:hRule="atLeast"/>
        </w:trPr>
        <w:tc>
          <w:tcPr>
            <w:tcW w:w="4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 xml:space="preserve">Materiál </w:t>
            </w:r>
          </w:p>
        </w:tc>
        <w:tc>
          <w:tcPr>
            <w:tcW w:w="2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1 872,00</w:t>
            </w:r>
          </w:p>
        </w:tc>
      </w:tr>
      <w:tr>
        <w:trPr>
          <w:trHeight w:val="284" w:hRule="atLeast"/>
        </w:trPr>
        <w:tc>
          <w:tcPr>
            <w:tcW w:w="4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 xml:space="preserve">Služby </w:t>
            </w:r>
          </w:p>
        </w:tc>
        <w:tc>
          <w:tcPr>
            <w:tcW w:w="2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7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nákladov. 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5"/>
        <w:gridCol w:w="3172"/>
      </w:tblGrid>
      <w:tr>
        <w:trPr>
          <w:trHeight w:val="284" w:hRule="atLeast"/>
        </w:trPr>
        <w:tc>
          <w:tcPr>
            <w:tcW w:w="6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závierky*</w:t>
            </w:r>
          </w:p>
        </w:tc>
        <w:tc>
          <w:tcPr>
            <w:tcW w:w="31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720,00</w:t>
            </w:r>
          </w:p>
        </w:tc>
      </w:tr>
      <w:tr>
        <w:trPr>
          <w:trHeight w:val="284" w:hRule="atLeast"/>
        </w:trPr>
        <w:tc>
          <w:tcPr>
            <w:tcW w:w="6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720,00</w:t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  <w:t>* hodnota obsahuje zákonnú DPH vo výške 120 EUR.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left"/>
        <w:rPr>
          <w:b/>
          <w:b/>
          <w:bCs/>
        </w:rPr>
      </w:pPr>
      <w:r>
        <w:rPr>
          <w:b/>
          <w:bCs/>
        </w:rPr>
      </w:r>
      <w:r>
        <w:br w:type="page"/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0"/>
        <w:rPr/>
      </w:pPr>
      <w:r>
        <w:rPr>
          <w:sz w:val="18"/>
          <w:szCs w:val="18"/>
        </w:rPr>
        <w:t xml:space="preserve">Nezisková organizácia má v prenájme nehnuteľnosť na adrese Pri Potoku 45/3,  906 38 Rohožník. Tieto priestory využíva na prevádzku zariadenia pre seniorov (vrátane ubytovania, stravovania), zariadenie opatrovateľskej služby, zariadenia práčovne a iné služby spojené s verejnoprospešnou činnosťou. Ročné náklady na prenájom sú 1 EUR. Zmluva s prenajímateľom je uzatvorená na dobu neurčitú od 01.01.2018. Nezisková organizácia vykazuje náklady na elektrickú energiu, vodné a stočné a na plyn, celková výška týchto nákladov za rok 2022 bola 28 764,69 EUR.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opčných obchodov,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4"/>
        </w:numPr>
        <w:spacing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iné povinnosti. 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ostatné finančné povinnosti,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nehnuteľných kultúrnych pamiatok, ktoré sú v správe alebo vo vlastníctve účtovnej jednotky.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vo vlastníctve ani v správe žiadne kultúrne pamiatky.</w:t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>
      <w:pPr>
        <w:pStyle w:val="Textopatrenia"/>
        <w:spacing w:before="0" w:after="120"/>
        <w:ind w:left="3" w:hanging="0"/>
        <w:rPr>
          <w:sz w:val="18"/>
          <w:szCs w:val="18"/>
        </w:rPr>
      </w:pPr>
      <w:r>
        <w:rPr>
          <w:sz w:val="18"/>
          <w:szCs w:val="18"/>
        </w:rPr>
        <w:t>Medzi dňom zostavenia účtovnej závierky a dňom, ku ktorému sa účtovná závierka zostavuje, nenastali žiadne iné významné skutočnosti, ktoré by mali významný vplyv na údaje vykázané v účtovnej závierke.</w:t>
      </w:r>
    </w:p>
    <w:p>
      <w:pPr>
        <w:pStyle w:val="Textopatrenia"/>
        <w:spacing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" w:hanging="0"/>
        <w:rPr/>
      </w:pPr>
      <w:r>
        <w:rPr/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cs="Arial Narrow" w:eastAsia="Times New Roman"/>
      <w:color w:val="00000A"/>
      <w:sz w:val="20"/>
      <w:szCs w:val="20"/>
      <w:lang w:eastAsia="cs-CZ" w:val="sk-SK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b/>
      <w:bCs/>
      <w:i w:val="false"/>
      <w:iCs w:val="false"/>
    </w:rPr>
  </w:style>
  <w:style w:type="character" w:styleId="ListLabel9" w:customStyle="1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Pr>
      <w:rFonts w:cs="Symbol"/>
      <w:b/>
      <w:sz w:val="16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Wingdings"/>
    </w:rPr>
  </w:style>
  <w:style w:type="character" w:styleId="ListLabel14" w:customStyle="1">
    <w:name w:val="ListLabel 14"/>
    <w:qFormat/>
    <w:rPr>
      <w:rFonts w:cs="Symbol"/>
    </w:rPr>
  </w:style>
  <w:style w:type="character" w:styleId="ListLabel15" w:customStyle="1">
    <w:name w:val="ListLabel 15"/>
    <w:qFormat/>
    <w:rPr>
      <w:rFonts w:cs="Courier New"/>
    </w:rPr>
  </w:style>
  <w:style w:type="character" w:styleId="ListLabel16" w:customStyle="1">
    <w:name w:val="ListLabel 16"/>
    <w:qFormat/>
    <w:rPr>
      <w:rFonts w:cs="Wingdings"/>
    </w:rPr>
  </w:style>
  <w:style w:type="character" w:styleId="ListLabel17" w:customStyle="1">
    <w:name w:val="ListLabel 17"/>
    <w:qFormat/>
    <w:rPr>
      <w:rFonts w:cs="Symbol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cs="Wingdings"/>
    </w:rPr>
  </w:style>
  <w:style w:type="character" w:styleId="ListLabel20" w:customStyle="1">
    <w:name w:val="ListLabel 20"/>
    <w:qFormat/>
    <w:rPr>
      <w:rFonts w:cs="Symbol"/>
      <w:sz w:val="16"/>
    </w:rPr>
  </w:style>
  <w:style w:type="character" w:styleId="ListLabel21" w:customStyle="1">
    <w:name w:val="ListLabel 21"/>
    <w:qFormat/>
    <w:rPr>
      <w:rFonts w:cs="Courier New"/>
    </w:rPr>
  </w:style>
  <w:style w:type="character" w:styleId="ListLabel22" w:customStyle="1">
    <w:name w:val="ListLabel 22"/>
    <w:qFormat/>
    <w:rPr>
      <w:rFonts w:cs="Wingdings"/>
    </w:rPr>
  </w:style>
  <w:style w:type="character" w:styleId="ListLabel23" w:customStyle="1">
    <w:name w:val="ListLabel 23"/>
    <w:qFormat/>
    <w:rPr>
      <w:rFonts w:cs="Symbol"/>
    </w:rPr>
  </w:style>
  <w:style w:type="character" w:styleId="ListLabel24" w:customStyle="1">
    <w:name w:val="ListLabel 24"/>
    <w:qFormat/>
    <w:rPr>
      <w:rFonts w:cs="Courier New"/>
    </w:rPr>
  </w:style>
  <w:style w:type="character" w:styleId="ListLabel25" w:customStyle="1">
    <w:name w:val="ListLabel 25"/>
    <w:qFormat/>
    <w:rPr>
      <w:rFonts w:cs="Wingdings"/>
    </w:rPr>
  </w:style>
  <w:style w:type="character" w:styleId="ListLabel26" w:customStyle="1">
    <w:name w:val="ListLabel 26"/>
    <w:qFormat/>
    <w:rPr>
      <w:rFonts w:cs="Symbol"/>
    </w:rPr>
  </w:style>
  <w:style w:type="character" w:styleId="ListLabel27" w:customStyle="1">
    <w:name w:val="ListLabel 27"/>
    <w:qFormat/>
    <w:rPr>
      <w:rFonts w:cs="Courier New"/>
    </w:rPr>
  </w:style>
  <w:style w:type="character" w:styleId="ListLabel28" w:customStyle="1">
    <w:name w:val="ListLabel 28"/>
    <w:qFormat/>
    <w:rPr>
      <w:rFonts w:cs="Wingdings"/>
    </w:rPr>
  </w:style>
  <w:style w:type="character" w:styleId="ListLabel29" w:customStyle="1">
    <w:name w:val="ListLabel 29"/>
    <w:qFormat/>
    <w:rPr>
      <w:rFonts w:cs="Symbol"/>
      <w:sz w:val="16"/>
    </w:rPr>
  </w:style>
  <w:style w:type="character" w:styleId="ListLabel30" w:customStyle="1">
    <w:name w:val="ListLabel 30"/>
    <w:qFormat/>
    <w:rPr>
      <w:rFonts w:cs="Courier New"/>
    </w:rPr>
  </w:style>
  <w:style w:type="character" w:styleId="ListLabel31" w:customStyle="1">
    <w:name w:val="ListLabel 31"/>
    <w:qFormat/>
    <w:rPr>
      <w:rFonts w:cs="Wingdings"/>
    </w:rPr>
  </w:style>
  <w:style w:type="character" w:styleId="ListLabel32" w:customStyle="1">
    <w:name w:val="ListLabel 32"/>
    <w:qFormat/>
    <w:rPr>
      <w:rFonts w:cs="Symbol"/>
    </w:rPr>
  </w:style>
  <w:style w:type="character" w:styleId="ListLabel33" w:customStyle="1">
    <w:name w:val="ListLabel 33"/>
    <w:qFormat/>
    <w:rPr>
      <w:rFonts w:cs="Courier New"/>
    </w:rPr>
  </w:style>
  <w:style w:type="character" w:styleId="ListLabel34" w:customStyle="1">
    <w:name w:val="ListLabel 34"/>
    <w:qFormat/>
    <w:rPr>
      <w:rFonts w:cs="Wingdings"/>
    </w:rPr>
  </w:style>
  <w:style w:type="character" w:styleId="ListLabel35" w:customStyle="1">
    <w:name w:val="ListLabel 35"/>
    <w:qFormat/>
    <w:rPr>
      <w:rFonts w:cs="Symbol"/>
    </w:rPr>
  </w:style>
  <w:style w:type="character" w:styleId="ListLabel36" w:customStyle="1">
    <w:name w:val="ListLabel 36"/>
    <w:qFormat/>
    <w:rPr>
      <w:rFonts w:cs="Courier New"/>
    </w:rPr>
  </w:style>
  <w:style w:type="character" w:styleId="ListLabel37" w:customStyle="1">
    <w:name w:val="ListLabel 37"/>
    <w:qFormat/>
    <w:rPr>
      <w:rFonts w:cs="Wingdings"/>
    </w:rPr>
  </w:style>
  <w:style w:type="character" w:styleId="ListLabel38" w:customStyle="1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Pr>
      <w:b/>
      <w:bCs/>
      <w:i w:val="false"/>
      <w:iCs w:val="false"/>
    </w:rPr>
  </w:style>
  <w:style w:type="character" w:styleId="ListLabel41" w:customStyle="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Pr>
      <w:rFonts w:cs="Symbol"/>
      <w:b/>
      <w:sz w:val="16"/>
    </w:rPr>
  </w:style>
  <w:style w:type="character" w:styleId="ListLabel44" w:customStyle="1">
    <w:name w:val="ListLabel 44"/>
    <w:qFormat/>
    <w:rPr>
      <w:rFonts w:cs="Courier New"/>
    </w:rPr>
  </w:style>
  <w:style w:type="character" w:styleId="ListLabel45" w:customStyle="1">
    <w:name w:val="ListLabel 45"/>
    <w:qFormat/>
    <w:rPr>
      <w:rFonts w:cs="Wingdings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Courier New"/>
    </w:rPr>
  </w:style>
  <w:style w:type="character" w:styleId="ListLabel48" w:customStyle="1">
    <w:name w:val="ListLabel 48"/>
    <w:qFormat/>
    <w:rPr>
      <w:rFonts w:cs="Wingdings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ListLabel52" w:customStyle="1">
    <w:name w:val="ListLabel 52"/>
    <w:qFormat/>
    <w:rPr>
      <w:rFonts w:cs="Symbol"/>
      <w:sz w:val="16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Symbol"/>
      <w:sz w:val="16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Courier New"/>
    </w:rPr>
  </w:style>
  <w:style w:type="character" w:styleId="ListLabel66" w:customStyle="1">
    <w:name w:val="ListLabel 66"/>
    <w:qFormat/>
    <w:rPr>
      <w:rFonts w:cs="Wingdings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Courier New"/>
    </w:rPr>
  </w:style>
  <w:style w:type="character" w:styleId="ListLabel69" w:customStyle="1">
    <w:name w:val="ListLabel 69"/>
    <w:qFormat/>
    <w:rPr>
      <w:rFonts w:cs="Wingdings"/>
    </w:rPr>
  </w:style>
  <w:style w:type="character" w:styleId="ListLabel70" w:customStyle="1">
    <w:name w:val="ListLabel 70"/>
    <w:qFormat/>
    <w:rPr>
      <w:rFonts w:cs="Arial"/>
      <w:b/>
      <w:bCs/>
      <w:i w:val="false"/>
      <w:iCs w:val="false"/>
      <w:sz w:val="24"/>
      <w:szCs w:val="24"/>
    </w:rPr>
  </w:style>
  <w:style w:type="character" w:styleId="ListLabel71" w:customStyle="1">
    <w:name w:val="ListLabel 71"/>
    <w:qFormat/>
    <w:rPr>
      <w:b/>
      <w:bCs/>
      <w:i w:val="false"/>
      <w:iCs w:val="false"/>
    </w:rPr>
  </w:style>
  <w:style w:type="character" w:styleId="ListLabel72" w:customStyle="1">
    <w:name w:val="ListLabel 72"/>
    <w:qFormat/>
    <w:rPr>
      <w:b w:val="false"/>
      <w:bCs w:val="false"/>
      <w:i w:val="false"/>
      <w:iCs w:val="false"/>
      <w:sz w:val="16"/>
    </w:rPr>
  </w:style>
  <w:style w:type="character" w:styleId="ListLabel73" w:customStyle="1">
    <w:name w:val="ListLabel 73"/>
    <w:qFormat/>
    <w:rPr>
      <w:b w:val="false"/>
      <w:bCs w:val="false"/>
      <w:i w:val="false"/>
      <w:iCs w:val="false"/>
      <w:sz w:val="18"/>
    </w:rPr>
  </w:style>
  <w:style w:type="character" w:styleId="ListLabel74" w:customStyle="1">
    <w:name w:val="ListLabel 74"/>
    <w:qFormat/>
    <w:rPr>
      <w:rFonts w:cs="Symbol"/>
      <w:b/>
      <w:sz w:val="16"/>
    </w:rPr>
  </w:style>
  <w:style w:type="character" w:styleId="ListLabel75" w:customStyle="1">
    <w:name w:val="ListLabel 75"/>
    <w:qFormat/>
    <w:rPr>
      <w:rFonts w:cs="Courier New"/>
    </w:rPr>
  </w:style>
  <w:style w:type="character" w:styleId="ListLabel76" w:customStyle="1">
    <w:name w:val="ListLabel 76"/>
    <w:qFormat/>
    <w:rPr>
      <w:rFonts w:cs="Wingdings"/>
    </w:rPr>
  </w:style>
  <w:style w:type="character" w:styleId="ListLabel77" w:customStyle="1">
    <w:name w:val="ListLabel 77"/>
    <w:qFormat/>
    <w:rPr>
      <w:rFonts w:cs="Symbol"/>
    </w:rPr>
  </w:style>
  <w:style w:type="character" w:styleId="ListLabel78" w:customStyle="1">
    <w:name w:val="ListLabel 78"/>
    <w:qFormat/>
    <w:rPr>
      <w:rFonts w:cs="Courier New"/>
    </w:rPr>
  </w:style>
  <w:style w:type="character" w:styleId="ListLabel79" w:customStyle="1">
    <w:name w:val="ListLabel 79"/>
    <w:qFormat/>
    <w:rPr>
      <w:rFonts w:cs="Wingdings"/>
    </w:rPr>
  </w:style>
  <w:style w:type="character" w:styleId="ListLabel80" w:customStyle="1">
    <w:name w:val="ListLabel 80"/>
    <w:qFormat/>
    <w:rPr>
      <w:rFonts w:cs="Symbol"/>
    </w:rPr>
  </w:style>
  <w:style w:type="character" w:styleId="ListLabel81" w:customStyle="1">
    <w:name w:val="ListLabel 81"/>
    <w:qFormat/>
    <w:rPr>
      <w:rFonts w:cs="Courier New"/>
    </w:rPr>
  </w:style>
  <w:style w:type="character" w:styleId="ListLabel82" w:customStyle="1">
    <w:name w:val="ListLabel 82"/>
    <w:qFormat/>
    <w:rPr>
      <w:rFonts w:cs="Wingdings"/>
    </w:rPr>
  </w:style>
  <w:style w:type="character" w:styleId="ListLabel83" w:customStyle="1">
    <w:name w:val="ListLabel 83"/>
    <w:qFormat/>
    <w:rPr>
      <w:rFonts w:cs="Symbol"/>
      <w:sz w:val="16"/>
    </w:rPr>
  </w:style>
  <w:style w:type="character" w:styleId="ListLabel84" w:customStyle="1">
    <w:name w:val="ListLabel 84"/>
    <w:qFormat/>
    <w:rPr>
      <w:rFonts w:cs="Courier New"/>
    </w:rPr>
  </w:style>
  <w:style w:type="character" w:styleId="ListLabel85" w:customStyle="1">
    <w:name w:val="ListLabel 85"/>
    <w:qFormat/>
    <w:rPr>
      <w:rFonts w:cs="Wingdings"/>
    </w:rPr>
  </w:style>
  <w:style w:type="character" w:styleId="ListLabel86" w:customStyle="1">
    <w:name w:val="ListLabel 86"/>
    <w:qFormat/>
    <w:rPr>
      <w:rFonts w:cs="Symbol"/>
    </w:rPr>
  </w:style>
  <w:style w:type="character" w:styleId="ListLabel87" w:customStyle="1">
    <w:name w:val="ListLabel 87"/>
    <w:qFormat/>
    <w:rPr>
      <w:rFonts w:cs="Courier New"/>
    </w:rPr>
  </w:style>
  <w:style w:type="character" w:styleId="ListLabel88" w:customStyle="1">
    <w:name w:val="ListLabel 88"/>
    <w:qFormat/>
    <w:rPr>
      <w:rFonts w:cs="Wingdings"/>
    </w:rPr>
  </w:style>
  <w:style w:type="character" w:styleId="ListLabel89" w:customStyle="1">
    <w:name w:val="ListLabel 89"/>
    <w:qFormat/>
    <w:rPr>
      <w:rFonts w:cs="Symbol"/>
    </w:rPr>
  </w:style>
  <w:style w:type="character" w:styleId="ListLabel90" w:customStyle="1">
    <w:name w:val="ListLabel 90"/>
    <w:qFormat/>
    <w:rPr>
      <w:rFonts w:cs="Courier New"/>
    </w:rPr>
  </w:style>
  <w:style w:type="character" w:styleId="ListLabel91" w:customStyle="1">
    <w:name w:val="ListLabel 91"/>
    <w:qFormat/>
    <w:rPr>
      <w:rFonts w:cs="Wingdings"/>
    </w:rPr>
  </w:style>
  <w:style w:type="character" w:styleId="ListLabel92" w:customStyle="1">
    <w:name w:val="ListLabel 92"/>
    <w:qFormat/>
    <w:rPr>
      <w:rFonts w:cs="Symbol"/>
      <w:sz w:val="16"/>
    </w:rPr>
  </w:style>
  <w:style w:type="character" w:styleId="ListLabel93" w:customStyle="1">
    <w:name w:val="ListLabel 93"/>
    <w:qFormat/>
    <w:rPr>
      <w:rFonts w:cs="Courier New"/>
    </w:rPr>
  </w:style>
  <w:style w:type="character" w:styleId="ListLabel94" w:customStyle="1">
    <w:name w:val="ListLabel 94"/>
    <w:qFormat/>
    <w:rPr>
      <w:rFonts w:cs="Wingdings"/>
    </w:rPr>
  </w:style>
  <w:style w:type="character" w:styleId="ListLabel95" w:customStyle="1">
    <w:name w:val="ListLabel 95"/>
    <w:qFormat/>
    <w:rPr>
      <w:rFonts w:cs="Symbol"/>
    </w:rPr>
  </w:style>
  <w:style w:type="character" w:styleId="ListLabel96" w:customStyle="1">
    <w:name w:val="ListLabel 96"/>
    <w:qFormat/>
    <w:rPr>
      <w:rFonts w:cs="Courier New"/>
    </w:rPr>
  </w:style>
  <w:style w:type="character" w:styleId="ListLabel97" w:customStyle="1">
    <w:name w:val="ListLabel 97"/>
    <w:qFormat/>
    <w:rPr>
      <w:rFonts w:cs="Wingdings"/>
    </w:rPr>
  </w:style>
  <w:style w:type="character" w:styleId="ListLabel98" w:customStyle="1">
    <w:name w:val="ListLabel 98"/>
    <w:qFormat/>
    <w:rPr>
      <w:rFonts w:cs="Symbol"/>
    </w:rPr>
  </w:style>
  <w:style w:type="character" w:styleId="ListLabel99" w:customStyle="1">
    <w:name w:val="ListLabel 99"/>
    <w:qFormat/>
    <w:rPr>
      <w:rFonts w:cs="Courier New"/>
    </w:rPr>
  </w:style>
  <w:style w:type="character" w:styleId="ListLabel100" w:customStyle="1">
    <w:name w:val="ListLabel 100"/>
    <w:qFormat/>
    <w:rPr>
      <w:rFonts w:cs="Wingdings"/>
    </w:rPr>
  </w:style>
  <w:style w:type="character" w:styleId="ListLabel101" w:customStyle="1">
    <w:name w:val="ListLabel 101"/>
    <w:qFormat/>
    <w:rPr>
      <w:sz w:val="18"/>
      <w:szCs w:val="16"/>
    </w:rPr>
  </w:style>
  <w:style w:type="character" w:styleId="ListLabel102" w:customStyle="1">
    <w:name w:val="ListLabel 102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emboss w:val="false"/>
      <w:imprint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103" w:customStyle="1">
    <w:name w:val="ListLabel 103"/>
    <w:qFormat/>
    <w:rPr>
      <w:rFonts w:cs="Times New Roman"/>
    </w:rPr>
  </w:style>
  <w:style w:type="character" w:styleId="ListLabel104" w:customStyle="1">
    <w:name w:val="ListLabel 104"/>
    <w:qFormat/>
    <w:rPr>
      <w:rFonts w:cs="Times New Roman"/>
    </w:rPr>
  </w:style>
  <w:style w:type="character" w:styleId="ListLabel105" w:customStyle="1">
    <w:name w:val="ListLabel 105"/>
    <w:qFormat/>
    <w:rPr>
      <w:rFonts w:cs="Times New Roman"/>
    </w:rPr>
  </w:style>
  <w:style w:type="character" w:styleId="ListLabel106" w:customStyle="1">
    <w:name w:val="ListLabel 106"/>
    <w:qFormat/>
    <w:rPr>
      <w:rFonts w:cs="Times New Roman"/>
    </w:rPr>
  </w:style>
  <w:style w:type="character" w:styleId="ListLabel107" w:customStyle="1">
    <w:name w:val="ListLabel 107"/>
    <w:qFormat/>
    <w:rPr>
      <w:rFonts w:cs="Times New Roman"/>
    </w:rPr>
  </w:style>
  <w:style w:type="character" w:styleId="ListLabel108" w:customStyle="1">
    <w:name w:val="ListLabel 108"/>
    <w:qFormat/>
    <w:rPr>
      <w:rFonts w:cs="Times New Roman"/>
    </w:rPr>
  </w:style>
  <w:style w:type="character" w:styleId="ListLabel109" w:customStyle="1">
    <w:name w:val="ListLabel 109"/>
    <w:qFormat/>
    <w:rPr>
      <w:rFonts w:cs="Times New Roman"/>
    </w:rPr>
  </w:style>
  <w:style w:type="character" w:styleId="ListLabel110" w:customStyle="1">
    <w:name w:val="ListLabel 110"/>
    <w:qFormat/>
    <w:rPr>
      <w:rFonts w:cs="Times New Roman"/>
    </w:rPr>
  </w:style>
  <w:style w:type="character" w:styleId="ListLabel111" w:customStyle="1">
    <w:name w:val="ListLabel 111"/>
    <w:qFormat/>
    <w:rPr>
      <w:b/>
      <w:i w:val="false"/>
      <w:sz w:val="18"/>
    </w:rPr>
  </w:style>
  <w:style w:type="character" w:styleId="ListLabel112" w:customStyle="1">
    <w:name w:val="ListLabel 112"/>
    <w:qFormat/>
    <w:rPr>
      <w:rFonts w:cs="Arial"/>
      <w:b/>
      <w:bCs/>
      <w:i w:val="false"/>
      <w:iCs w:val="false"/>
      <w:sz w:val="24"/>
      <w:szCs w:val="24"/>
    </w:rPr>
  </w:style>
  <w:style w:type="character" w:styleId="ListLabel113" w:customStyle="1">
    <w:name w:val="ListLabel 113"/>
    <w:qFormat/>
    <w:rPr>
      <w:b/>
      <w:bCs/>
      <w:i w:val="false"/>
      <w:iCs w:val="false"/>
    </w:rPr>
  </w:style>
  <w:style w:type="character" w:styleId="ListLabel114" w:customStyle="1">
    <w:name w:val="ListLabel 114"/>
    <w:qFormat/>
    <w:rPr>
      <w:b w:val="false"/>
      <w:bCs w:val="false"/>
      <w:i w:val="false"/>
      <w:iCs w:val="false"/>
      <w:sz w:val="16"/>
    </w:rPr>
  </w:style>
  <w:style w:type="character" w:styleId="ListLabel115" w:customStyle="1">
    <w:name w:val="ListLabel 115"/>
    <w:qFormat/>
    <w:rPr>
      <w:b w:val="false"/>
      <w:bCs w:val="false"/>
      <w:i w:val="false"/>
      <w:iCs w:val="false"/>
      <w:sz w:val="18"/>
    </w:rPr>
  </w:style>
  <w:style w:type="character" w:styleId="ListLabel116" w:customStyle="1">
    <w:name w:val="ListLabel 116"/>
    <w:qFormat/>
    <w:rPr>
      <w:rFonts w:cs="Symbol"/>
      <w:sz w:val="16"/>
    </w:rPr>
  </w:style>
  <w:style w:type="character" w:styleId="ListLabel117" w:customStyle="1">
    <w:name w:val="ListLabel 117"/>
    <w:qFormat/>
    <w:rPr>
      <w:rFonts w:cs="Courier New"/>
    </w:rPr>
  </w:style>
  <w:style w:type="character" w:styleId="ListLabel118" w:customStyle="1">
    <w:name w:val="ListLabel 118"/>
    <w:qFormat/>
    <w:rPr>
      <w:rFonts w:cs="Wingdings"/>
    </w:rPr>
  </w:style>
  <w:style w:type="character" w:styleId="ListLabel119" w:customStyle="1">
    <w:name w:val="ListLabel 119"/>
    <w:qFormat/>
    <w:rPr>
      <w:rFonts w:cs="Symbol"/>
    </w:rPr>
  </w:style>
  <w:style w:type="character" w:styleId="ListLabel120" w:customStyle="1">
    <w:name w:val="ListLabel 120"/>
    <w:qFormat/>
    <w:rPr>
      <w:rFonts w:cs="Courier New"/>
    </w:rPr>
  </w:style>
  <w:style w:type="character" w:styleId="ListLabel121" w:customStyle="1">
    <w:name w:val="ListLabel 121"/>
    <w:qFormat/>
    <w:rPr>
      <w:rFonts w:cs="Wingdings"/>
    </w:rPr>
  </w:style>
  <w:style w:type="character" w:styleId="ListLabel122" w:customStyle="1">
    <w:name w:val="ListLabel 122"/>
    <w:qFormat/>
    <w:rPr>
      <w:rFonts w:cs="Symbol"/>
    </w:rPr>
  </w:style>
  <w:style w:type="character" w:styleId="ListLabel123" w:customStyle="1">
    <w:name w:val="ListLabel 123"/>
    <w:qFormat/>
    <w:rPr>
      <w:rFonts w:cs="Courier New"/>
    </w:rPr>
  </w:style>
  <w:style w:type="character" w:styleId="ListLabel124" w:customStyle="1">
    <w:name w:val="ListLabel 124"/>
    <w:qFormat/>
    <w:rPr>
      <w:rFonts w:cs="Wingdings"/>
    </w:rPr>
  </w:style>
  <w:style w:type="character" w:styleId="ListLabel125" w:customStyle="1">
    <w:name w:val="ListLabel 125"/>
    <w:qFormat/>
    <w:rPr>
      <w:sz w:val="18"/>
      <w:szCs w:val="16"/>
    </w:rPr>
  </w:style>
  <w:style w:type="character" w:styleId="ListLabel126" w:customStyle="1">
    <w:name w:val="ListLabel 126"/>
    <w:qFormat/>
    <w:rPr>
      <w:b/>
      <w:i w:val="false"/>
      <w:sz w:val="18"/>
    </w:rPr>
  </w:style>
  <w:style w:type="character" w:styleId="ListLabel127" w:customStyle="1">
    <w:name w:val="ListLabel 127"/>
    <w:qFormat/>
    <w:rPr>
      <w:rFonts w:cs="Arial"/>
      <w:b/>
      <w:bCs/>
      <w:i w:val="false"/>
      <w:iCs w:val="false"/>
      <w:sz w:val="24"/>
      <w:szCs w:val="24"/>
    </w:rPr>
  </w:style>
  <w:style w:type="character" w:styleId="ListLabel128" w:customStyle="1">
    <w:name w:val="ListLabel 128"/>
    <w:qFormat/>
    <w:rPr>
      <w:b/>
      <w:bCs/>
      <w:i w:val="false"/>
      <w:iCs w:val="false"/>
    </w:rPr>
  </w:style>
  <w:style w:type="character" w:styleId="ListLabel129" w:customStyle="1">
    <w:name w:val="ListLabel 129"/>
    <w:qFormat/>
    <w:rPr>
      <w:b w:val="false"/>
      <w:bCs w:val="false"/>
      <w:i w:val="false"/>
      <w:iCs w:val="false"/>
      <w:sz w:val="16"/>
    </w:rPr>
  </w:style>
  <w:style w:type="character" w:styleId="ListLabel130" w:customStyle="1">
    <w:name w:val="ListLabel 130"/>
    <w:qFormat/>
    <w:rPr>
      <w:b w:val="false"/>
      <w:bCs w:val="false"/>
      <w:i w:val="false"/>
      <w:iCs w:val="false"/>
      <w:sz w:val="18"/>
    </w:rPr>
  </w:style>
  <w:style w:type="character" w:styleId="ListLabel131" w:customStyle="1">
    <w:name w:val="ListLabel 131"/>
    <w:qFormat/>
    <w:rPr>
      <w:rFonts w:cs="Symbol"/>
      <w:sz w:val="16"/>
    </w:rPr>
  </w:style>
  <w:style w:type="character" w:styleId="ListLabel132" w:customStyle="1">
    <w:name w:val="ListLabel 132"/>
    <w:qFormat/>
    <w:rPr>
      <w:rFonts w:cs="Courier New"/>
    </w:rPr>
  </w:style>
  <w:style w:type="character" w:styleId="ListLabel133" w:customStyle="1">
    <w:name w:val="ListLabel 133"/>
    <w:qFormat/>
    <w:rPr>
      <w:rFonts w:cs="Wingdings"/>
    </w:rPr>
  </w:style>
  <w:style w:type="character" w:styleId="ListLabel134" w:customStyle="1">
    <w:name w:val="ListLabel 134"/>
    <w:qFormat/>
    <w:rPr>
      <w:rFonts w:cs="Symbol"/>
    </w:rPr>
  </w:style>
  <w:style w:type="character" w:styleId="ListLabel135" w:customStyle="1">
    <w:name w:val="ListLabel 135"/>
    <w:qFormat/>
    <w:rPr>
      <w:rFonts w:cs="Courier New"/>
    </w:rPr>
  </w:style>
  <w:style w:type="character" w:styleId="ListLabel136" w:customStyle="1">
    <w:name w:val="ListLabel 136"/>
    <w:qFormat/>
    <w:rPr>
      <w:rFonts w:cs="Wingdings"/>
    </w:rPr>
  </w:style>
  <w:style w:type="character" w:styleId="ListLabel137" w:customStyle="1">
    <w:name w:val="ListLabel 137"/>
    <w:qFormat/>
    <w:rPr>
      <w:rFonts w:cs="Symbol"/>
    </w:rPr>
  </w:style>
  <w:style w:type="character" w:styleId="ListLabel138" w:customStyle="1">
    <w:name w:val="ListLabel 138"/>
    <w:qFormat/>
    <w:rPr>
      <w:rFonts w:cs="Courier New"/>
    </w:rPr>
  </w:style>
  <w:style w:type="character" w:styleId="ListLabel139" w:customStyle="1">
    <w:name w:val="ListLabel 139"/>
    <w:qFormat/>
    <w:rPr>
      <w:rFonts w:cs="Wingdings"/>
    </w:rPr>
  </w:style>
  <w:style w:type="character" w:styleId="ListLabel140" w:customStyle="1">
    <w:name w:val="ListLabel 140"/>
    <w:qFormat/>
    <w:rPr>
      <w:sz w:val="18"/>
      <w:szCs w:val="16"/>
    </w:rPr>
  </w:style>
  <w:style w:type="character" w:styleId="ListLabel141" w:customStyle="1">
    <w:name w:val="ListLabel 141"/>
    <w:qFormat/>
    <w:rPr>
      <w:b w:val="false"/>
      <w:i w:val="false"/>
      <w:sz w:val="18"/>
    </w:rPr>
  </w:style>
  <w:style w:type="character" w:styleId="ListLabel142" w:customStyle="1">
    <w:name w:val="ListLabel 142"/>
    <w:qFormat/>
    <w:rPr>
      <w:rFonts w:cs="Arial"/>
      <w:b/>
      <w:bCs/>
      <w:i w:val="false"/>
      <w:iCs w:val="false"/>
      <w:sz w:val="24"/>
      <w:szCs w:val="24"/>
    </w:rPr>
  </w:style>
  <w:style w:type="character" w:styleId="ListLabel143" w:customStyle="1">
    <w:name w:val="ListLabel 143"/>
    <w:qFormat/>
    <w:rPr>
      <w:b/>
      <w:bCs/>
      <w:i w:val="false"/>
      <w:iCs w:val="false"/>
    </w:rPr>
  </w:style>
  <w:style w:type="character" w:styleId="ListLabel144" w:customStyle="1">
    <w:name w:val="ListLabel 144"/>
    <w:qFormat/>
    <w:rPr>
      <w:b w:val="false"/>
      <w:bCs w:val="false"/>
      <w:i w:val="false"/>
      <w:iCs w:val="false"/>
      <w:sz w:val="16"/>
    </w:rPr>
  </w:style>
  <w:style w:type="character" w:styleId="ListLabel145" w:customStyle="1">
    <w:name w:val="ListLabel 145"/>
    <w:qFormat/>
    <w:rPr>
      <w:b w:val="false"/>
      <w:bCs w:val="false"/>
      <w:i w:val="false"/>
      <w:iCs w:val="false"/>
      <w:sz w:val="18"/>
    </w:rPr>
  </w:style>
  <w:style w:type="character" w:styleId="ListLabel146" w:customStyle="1">
    <w:name w:val="ListLabel 146"/>
    <w:qFormat/>
    <w:rPr>
      <w:rFonts w:cs="Symbol"/>
      <w:sz w:val="16"/>
    </w:rPr>
  </w:style>
  <w:style w:type="character" w:styleId="ListLabel147" w:customStyle="1">
    <w:name w:val="ListLabel 147"/>
    <w:qFormat/>
    <w:rPr>
      <w:rFonts w:cs="Courier New"/>
    </w:rPr>
  </w:style>
  <w:style w:type="character" w:styleId="ListLabel148" w:customStyle="1">
    <w:name w:val="ListLabel 148"/>
    <w:qFormat/>
    <w:rPr>
      <w:rFonts w:cs="Wingdings"/>
    </w:rPr>
  </w:style>
  <w:style w:type="character" w:styleId="ListLabel149" w:customStyle="1">
    <w:name w:val="ListLabel 149"/>
    <w:qFormat/>
    <w:rPr>
      <w:rFonts w:cs="Symbol"/>
    </w:rPr>
  </w:style>
  <w:style w:type="character" w:styleId="ListLabel150" w:customStyle="1">
    <w:name w:val="ListLabel 150"/>
    <w:qFormat/>
    <w:rPr>
      <w:rFonts w:cs="Courier New"/>
    </w:rPr>
  </w:style>
  <w:style w:type="character" w:styleId="ListLabel151" w:customStyle="1">
    <w:name w:val="ListLabel 151"/>
    <w:qFormat/>
    <w:rPr>
      <w:rFonts w:cs="Wingdings"/>
    </w:rPr>
  </w:style>
  <w:style w:type="character" w:styleId="ListLabel152" w:customStyle="1">
    <w:name w:val="ListLabel 152"/>
    <w:qFormat/>
    <w:rPr>
      <w:rFonts w:cs="Symbol"/>
    </w:rPr>
  </w:style>
  <w:style w:type="character" w:styleId="ListLabel153" w:customStyle="1">
    <w:name w:val="ListLabel 153"/>
    <w:qFormat/>
    <w:rPr>
      <w:rFonts w:cs="Courier New"/>
    </w:rPr>
  </w:style>
  <w:style w:type="character" w:styleId="ListLabel154" w:customStyle="1">
    <w:name w:val="ListLabel 154"/>
    <w:qFormat/>
    <w:rPr>
      <w:rFonts w:cs="Wingdings"/>
    </w:rPr>
  </w:style>
  <w:style w:type="character" w:styleId="ListLabel155" w:customStyle="1">
    <w:name w:val="ListLabel 155"/>
    <w:qFormat/>
    <w:rPr>
      <w:sz w:val="18"/>
      <w:szCs w:val="16"/>
    </w:rPr>
  </w:style>
  <w:style w:type="character" w:styleId="ListLabel156" w:customStyle="1">
    <w:name w:val="ListLabel 156"/>
    <w:qFormat/>
    <w:rPr>
      <w:b w:val="false"/>
      <w:i w:val="false"/>
      <w:sz w:val="18"/>
    </w:rPr>
  </w:style>
  <w:style w:type="character" w:styleId="ListLabel157" w:customStyle="1">
    <w:name w:val="ListLabel 157"/>
    <w:qFormat/>
    <w:rPr>
      <w:rFonts w:cs="Arial"/>
      <w:b/>
      <w:bCs/>
      <w:i w:val="false"/>
      <w:iCs w:val="false"/>
      <w:sz w:val="24"/>
      <w:szCs w:val="24"/>
    </w:rPr>
  </w:style>
  <w:style w:type="character" w:styleId="ListLabel158" w:customStyle="1">
    <w:name w:val="ListLabel 158"/>
    <w:qFormat/>
    <w:rPr>
      <w:b/>
      <w:bCs/>
      <w:i w:val="false"/>
      <w:iCs w:val="false"/>
    </w:rPr>
  </w:style>
  <w:style w:type="character" w:styleId="ListLabel159" w:customStyle="1">
    <w:name w:val="ListLabel 159"/>
    <w:qFormat/>
    <w:rPr>
      <w:b w:val="false"/>
      <w:bCs w:val="false"/>
      <w:i w:val="false"/>
      <w:iCs w:val="false"/>
      <w:sz w:val="16"/>
    </w:rPr>
  </w:style>
  <w:style w:type="character" w:styleId="ListLabel160" w:customStyle="1">
    <w:name w:val="ListLabel 160"/>
    <w:qFormat/>
    <w:rPr>
      <w:b w:val="false"/>
      <w:bCs w:val="false"/>
      <w:i w:val="false"/>
      <w:iCs w:val="false"/>
      <w:sz w:val="18"/>
    </w:rPr>
  </w:style>
  <w:style w:type="character" w:styleId="ListLabel161" w:customStyle="1">
    <w:name w:val="ListLabel 161"/>
    <w:qFormat/>
    <w:rPr>
      <w:rFonts w:cs="Symbol"/>
      <w:sz w:val="16"/>
    </w:rPr>
  </w:style>
  <w:style w:type="character" w:styleId="ListLabel162" w:customStyle="1">
    <w:name w:val="ListLabel 162"/>
    <w:qFormat/>
    <w:rPr>
      <w:rFonts w:cs="Courier New"/>
    </w:rPr>
  </w:style>
  <w:style w:type="character" w:styleId="ListLabel163" w:customStyle="1">
    <w:name w:val="ListLabel 163"/>
    <w:qFormat/>
    <w:rPr>
      <w:rFonts w:cs="Wingdings"/>
    </w:rPr>
  </w:style>
  <w:style w:type="character" w:styleId="ListLabel164" w:customStyle="1">
    <w:name w:val="ListLabel 164"/>
    <w:qFormat/>
    <w:rPr>
      <w:rFonts w:cs="Symbol"/>
    </w:rPr>
  </w:style>
  <w:style w:type="character" w:styleId="ListLabel165" w:customStyle="1">
    <w:name w:val="ListLabel 165"/>
    <w:qFormat/>
    <w:rPr>
      <w:rFonts w:cs="Courier New"/>
    </w:rPr>
  </w:style>
  <w:style w:type="character" w:styleId="ListLabel166" w:customStyle="1">
    <w:name w:val="ListLabel 166"/>
    <w:qFormat/>
    <w:rPr>
      <w:rFonts w:cs="Wingdings"/>
    </w:rPr>
  </w:style>
  <w:style w:type="character" w:styleId="ListLabel167" w:customStyle="1">
    <w:name w:val="ListLabel 167"/>
    <w:qFormat/>
    <w:rPr>
      <w:rFonts w:cs="Symbol"/>
    </w:rPr>
  </w:style>
  <w:style w:type="character" w:styleId="ListLabel168" w:customStyle="1">
    <w:name w:val="ListLabel 168"/>
    <w:qFormat/>
    <w:rPr>
      <w:rFonts w:cs="Courier New"/>
    </w:rPr>
  </w:style>
  <w:style w:type="character" w:styleId="ListLabel169" w:customStyle="1">
    <w:name w:val="ListLabel 169"/>
    <w:qFormat/>
    <w:rPr>
      <w:rFonts w:cs="Wingdings"/>
    </w:rPr>
  </w:style>
  <w:style w:type="character" w:styleId="ListLabel170" w:customStyle="1">
    <w:name w:val="ListLabel 170"/>
    <w:qFormat/>
    <w:rPr>
      <w:sz w:val="18"/>
      <w:szCs w:val="16"/>
    </w:rPr>
  </w:style>
  <w:style w:type="character" w:styleId="ListLabel171" w:customStyle="1">
    <w:name w:val="ListLabel 171"/>
    <w:qFormat/>
    <w:rPr>
      <w:rFonts w:cs="Arial"/>
      <w:b/>
      <w:bCs/>
      <w:i w:val="false"/>
      <w:iCs w:val="false"/>
      <w:sz w:val="24"/>
      <w:szCs w:val="24"/>
    </w:rPr>
  </w:style>
  <w:style w:type="character" w:styleId="ListLabel172" w:customStyle="1">
    <w:name w:val="ListLabel 172"/>
    <w:qFormat/>
    <w:rPr>
      <w:b/>
      <w:bCs/>
      <w:i w:val="false"/>
      <w:iCs w:val="false"/>
    </w:rPr>
  </w:style>
  <w:style w:type="character" w:styleId="ListLabel173" w:customStyle="1">
    <w:name w:val="ListLabel 173"/>
    <w:qFormat/>
    <w:rPr>
      <w:b w:val="false"/>
      <w:bCs w:val="false"/>
      <w:i w:val="false"/>
      <w:iCs w:val="false"/>
      <w:sz w:val="16"/>
    </w:rPr>
  </w:style>
  <w:style w:type="character" w:styleId="ListLabel174" w:customStyle="1">
    <w:name w:val="ListLabel 174"/>
    <w:qFormat/>
    <w:rPr>
      <w:b w:val="false"/>
      <w:bCs w:val="false"/>
      <w:i w:val="false"/>
      <w:iCs w:val="false"/>
      <w:sz w:val="18"/>
    </w:rPr>
  </w:style>
  <w:style w:type="character" w:styleId="ListLabel175" w:customStyle="1">
    <w:name w:val="ListLabel 175"/>
    <w:qFormat/>
    <w:rPr>
      <w:rFonts w:cs="Symbol"/>
      <w:sz w:val="16"/>
    </w:rPr>
  </w:style>
  <w:style w:type="character" w:styleId="ListLabel176" w:customStyle="1">
    <w:name w:val="ListLabel 176"/>
    <w:qFormat/>
    <w:rPr>
      <w:rFonts w:cs="Courier New"/>
    </w:rPr>
  </w:style>
  <w:style w:type="character" w:styleId="ListLabel177" w:customStyle="1">
    <w:name w:val="ListLabel 177"/>
    <w:qFormat/>
    <w:rPr>
      <w:rFonts w:cs="Wingdings"/>
    </w:rPr>
  </w:style>
  <w:style w:type="character" w:styleId="ListLabel178" w:customStyle="1">
    <w:name w:val="ListLabel 178"/>
    <w:qFormat/>
    <w:rPr>
      <w:rFonts w:cs="Symbol"/>
    </w:rPr>
  </w:style>
  <w:style w:type="character" w:styleId="ListLabel179" w:customStyle="1">
    <w:name w:val="ListLabel 179"/>
    <w:qFormat/>
    <w:rPr>
      <w:rFonts w:cs="Courier New"/>
    </w:rPr>
  </w:style>
  <w:style w:type="character" w:styleId="ListLabel180" w:customStyle="1">
    <w:name w:val="ListLabel 180"/>
    <w:qFormat/>
    <w:rPr>
      <w:rFonts w:cs="Wingdings"/>
    </w:rPr>
  </w:style>
  <w:style w:type="character" w:styleId="ListLabel181" w:customStyle="1">
    <w:name w:val="ListLabel 181"/>
    <w:qFormat/>
    <w:rPr>
      <w:rFonts w:cs="Symbol"/>
    </w:rPr>
  </w:style>
  <w:style w:type="character" w:styleId="ListLabel182" w:customStyle="1">
    <w:name w:val="ListLabel 182"/>
    <w:qFormat/>
    <w:rPr>
      <w:rFonts w:cs="Courier New"/>
    </w:rPr>
  </w:style>
  <w:style w:type="character" w:styleId="ListLabel183" w:customStyle="1">
    <w:name w:val="ListLabel 183"/>
    <w:qFormat/>
    <w:rPr>
      <w:rFonts w:cs="Wingdings"/>
    </w:rPr>
  </w:style>
  <w:style w:type="character" w:styleId="ListLabel184" w:customStyle="1">
    <w:name w:val="ListLabel 184"/>
    <w:qFormat/>
    <w:rPr>
      <w:sz w:val="18"/>
      <w:szCs w:val="16"/>
    </w:rPr>
  </w:style>
  <w:style w:type="character" w:styleId="ListLabel185" w:customStyle="1">
    <w:name w:val="ListLabel 185"/>
    <w:qFormat/>
    <w:rPr>
      <w:rFonts w:cs="Arial"/>
      <w:b/>
      <w:bCs/>
      <w:i w:val="false"/>
      <w:iCs w:val="false"/>
      <w:sz w:val="24"/>
      <w:szCs w:val="24"/>
    </w:rPr>
  </w:style>
  <w:style w:type="character" w:styleId="ListLabel186" w:customStyle="1">
    <w:name w:val="ListLabel 186"/>
    <w:qFormat/>
    <w:rPr>
      <w:b/>
      <w:bCs/>
      <w:i w:val="false"/>
      <w:iCs w:val="false"/>
    </w:rPr>
  </w:style>
  <w:style w:type="character" w:styleId="ListLabel187" w:customStyle="1">
    <w:name w:val="ListLabel 187"/>
    <w:qFormat/>
    <w:rPr>
      <w:b w:val="false"/>
      <w:bCs w:val="false"/>
      <w:i w:val="false"/>
      <w:iCs w:val="false"/>
      <w:sz w:val="16"/>
    </w:rPr>
  </w:style>
  <w:style w:type="character" w:styleId="ListLabel188" w:customStyle="1">
    <w:name w:val="ListLabel 188"/>
    <w:qFormat/>
    <w:rPr>
      <w:b w:val="false"/>
      <w:bCs w:val="false"/>
      <w:i w:val="false"/>
      <w:iCs w:val="false"/>
      <w:sz w:val="18"/>
    </w:rPr>
  </w:style>
  <w:style w:type="character" w:styleId="ListLabel189" w:customStyle="1">
    <w:name w:val="ListLabel 189"/>
    <w:qFormat/>
    <w:rPr>
      <w:rFonts w:cs="Symbol"/>
      <w:sz w:val="16"/>
    </w:rPr>
  </w:style>
  <w:style w:type="character" w:styleId="ListLabel190" w:customStyle="1">
    <w:name w:val="ListLabel 190"/>
    <w:qFormat/>
    <w:rPr>
      <w:rFonts w:cs="Courier New"/>
    </w:rPr>
  </w:style>
  <w:style w:type="character" w:styleId="ListLabel191" w:customStyle="1">
    <w:name w:val="ListLabel 191"/>
    <w:qFormat/>
    <w:rPr>
      <w:rFonts w:cs="Wingdings"/>
    </w:rPr>
  </w:style>
  <w:style w:type="character" w:styleId="ListLabel192" w:customStyle="1">
    <w:name w:val="ListLabel 192"/>
    <w:qFormat/>
    <w:rPr>
      <w:rFonts w:cs="Symbol"/>
    </w:rPr>
  </w:style>
  <w:style w:type="character" w:styleId="ListLabel193" w:customStyle="1">
    <w:name w:val="ListLabel 193"/>
    <w:qFormat/>
    <w:rPr>
      <w:rFonts w:cs="Courier New"/>
    </w:rPr>
  </w:style>
  <w:style w:type="character" w:styleId="ListLabel194" w:customStyle="1">
    <w:name w:val="ListLabel 194"/>
    <w:qFormat/>
    <w:rPr>
      <w:rFonts w:cs="Wingdings"/>
    </w:rPr>
  </w:style>
  <w:style w:type="character" w:styleId="ListLabel195" w:customStyle="1">
    <w:name w:val="ListLabel 195"/>
    <w:qFormat/>
    <w:rPr>
      <w:rFonts w:cs="Symbol"/>
    </w:rPr>
  </w:style>
  <w:style w:type="character" w:styleId="ListLabel196" w:customStyle="1">
    <w:name w:val="ListLabel 196"/>
    <w:qFormat/>
    <w:rPr>
      <w:rFonts w:cs="Courier New"/>
    </w:rPr>
  </w:style>
  <w:style w:type="character" w:styleId="ListLabel197" w:customStyle="1">
    <w:name w:val="ListLabel 197"/>
    <w:qFormat/>
    <w:rPr>
      <w:rFonts w:cs="Wingdings"/>
    </w:rPr>
  </w:style>
  <w:style w:type="character" w:styleId="ListLabel198" w:customStyle="1">
    <w:name w:val="ListLabel 198"/>
    <w:qFormat/>
    <w:rPr>
      <w:sz w:val="18"/>
      <w:szCs w:val="16"/>
    </w:rPr>
  </w:style>
  <w:style w:type="character" w:styleId="ListLabel199" w:customStyle="1">
    <w:name w:val="ListLabel 199"/>
    <w:qFormat/>
    <w:rPr>
      <w:rFonts w:cs="Arial"/>
      <w:b/>
      <w:bCs/>
      <w:i w:val="false"/>
      <w:iCs w:val="false"/>
      <w:sz w:val="24"/>
      <w:szCs w:val="24"/>
    </w:rPr>
  </w:style>
  <w:style w:type="character" w:styleId="ListLabel200" w:customStyle="1">
    <w:name w:val="ListLabel 200"/>
    <w:qFormat/>
    <w:rPr>
      <w:b/>
      <w:bCs/>
      <w:i w:val="false"/>
      <w:iCs w:val="false"/>
    </w:rPr>
  </w:style>
  <w:style w:type="character" w:styleId="ListLabel201" w:customStyle="1">
    <w:name w:val="ListLabel 201"/>
    <w:qFormat/>
    <w:rPr>
      <w:b w:val="false"/>
      <w:bCs w:val="false"/>
      <w:i w:val="false"/>
      <w:iCs w:val="false"/>
      <w:sz w:val="16"/>
    </w:rPr>
  </w:style>
  <w:style w:type="character" w:styleId="ListLabel202" w:customStyle="1">
    <w:name w:val="ListLabel 202"/>
    <w:qFormat/>
    <w:rPr>
      <w:b w:val="false"/>
      <w:bCs w:val="false"/>
      <w:i w:val="false"/>
      <w:iCs w:val="false"/>
      <w:sz w:val="18"/>
    </w:rPr>
  </w:style>
  <w:style w:type="character" w:styleId="ListLabel203" w:customStyle="1">
    <w:name w:val="ListLabel 203"/>
    <w:qFormat/>
    <w:rPr>
      <w:rFonts w:cs="Symbol"/>
      <w:sz w:val="16"/>
    </w:rPr>
  </w:style>
  <w:style w:type="character" w:styleId="ListLabel204" w:customStyle="1">
    <w:name w:val="ListLabel 204"/>
    <w:qFormat/>
    <w:rPr>
      <w:rFonts w:cs="Courier New"/>
    </w:rPr>
  </w:style>
  <w:style w:type="character" w:styleId="ListLabel205" w:customStyle="1">
    <w:name w:val="ListLabel 205"/>
    <w:qFormat/>
    <w:rPr>
      <w:rFonts w:cs="Wingdings"/>
    </w:rPr>
  </w:style>
  <w:style w:type="character" w:styleId="ListLabel206" w:customStyle="1">
    <w:name w:val="ListLabel 206"/>
    <w:qFormat/>
    <w:rPr>
      <w:rFonts w:cs="Symbol"/>
    </w:rPr>
  </w:style>
  <w:style w:type="character" w:styleId="ListLabel207" w:customStyle="1">
    <w:name w:val="ListLabel 207"/>
    <w:qFormat/>
    <w:rPr>
      <w:rFonts w:cs="Courier New"/>
    </w:rPr>
  </w:style>
  <w:style w:type="character" w:styleId="ListLabel208" w:customStyle="1">
    <w:name w:val="ListLabel 208"/>
    <w:qFormat/>
    <w:rPr>
      <w:rFonts w:cs="Wingdings"/>
    </w:rPr>
  </w:style>
  <w:style w:type="character" w:styleId="ListLabel209" w:customStyle="1">
    <w:name w:val="ListLabel 209"/>
    <w:qFormat/>
    <w:rPr>
      <w:rFonts w:cs="Symbol"/>
    </w:rPr>
  </w:style>
  <w:style w:type="character" w:styleId="ListLabel210" w:customStyle="1">
    <w:name w:val="ListLabel 210"/>
    <w:qFormat/>
    <w:rPr>
      <w:rFonts w:cs="Courier New"/>
    </w:rPr>
  </w:style>
  <w:style w:type="character" w:styleId="ListLabel211" w:customStyle="1">
    <w:name w:val="ListLabel 211"/>
    <w:qFormat/>
    <w:rPr>
      <w:rFonts w:cs="Wingdings"/>
    </w:rPr>
  </w:style>
  <w:style w:type="character" w:styleId="ListLabel212" w:customStyle="1">
    <w:name w:val="ListLabel 212"/>
    <w:qFormat/>
    <w:rPr>
      <w:sz w:val="18"/>
      <w:szCs w:val="16"/>
    </w:rPr>
  </w:style>
  <w:style w:type="character" w:styleId="ListLabel213">
    <w:name w:val="ListLabel 213"/>
    <w:qFormat/>
    <w:rPr>
      <w:rFonts w:cs="Arial"/>
      <w:b/>
      <w:bCs/>
      <w:i w:val="false"/>
      <w:iCs w:val="false"/>
      <w:sz w:val="24"/>
      <w:szCs w:val="24"/>
    </w:rPr>
  </w:style>
  <w:style w:type="character" w:styleId="ListLabel214">
    <w:name w:val="ListLabel 214"/>
    <w:qFormat/>
    <w:rPr>
      <w:b/>
      <w:bCs/>
      <w:i w:val="false"/>
      <w:iCs w:val="false"/>
    </w:rPr>
  </w:style>
  <w:style w:type="character" w:styleId="ListLabel215">
    <w:name w:val="ListLabel 215"/>
    <w:qFormat/>
    <w:rPr>
      <w:b w:val="false"/>
      <w:bCs w:val="false"/>
      <w:i w:val="false"/>
      <w:iCs w:val="false"/>
      <w:sz w:val="16"/>
    </w:rPr>
  </w:style>
  <w:style w:type="character" w:styleId="ListLabel216">
    <w:name w:val="ListLabel 216"/>
    <w:qFormat/>
    <w:rPr>
      <w:b w:val="false"/>
      <w:bCs w:val="false"/>
      <w:i w:val="false"/>
      <w:iCs w:val="false"/>
      <w:sz w:val="18"/>
    </w:rPr>
  </w:style>
  <w:style w:type="character" w:styleId="ListLabel217">
    <w:name w:val="ListLabel 217"/>
    <w:qFormat/>
    <w:rPr>
      <w:rFonts w:cs="Symbol"/>
      <w:sz w:val="16"/>
    </w:rPr>
  </w:style>
  <w:style w:type="character" w:styleId="ListLabel218">
    <w:name w:val="ListLabel 218"/>
    <w:qFormat/>
    <w:rPr>
      <w:rFonts w:cs="Courier New"/>
    </w:rPr>
  </w:style>
  <w:style w:type="character" w:styleId="ListLabel219">
    <w:name w:val="ListLabel 219"/>
    <w:qFormat/>
    <w:rPr>
      <w:rFonts w:cs="Wingdings"/>
    </w:rPr>
  </w:style>
  <w:style w:type="character" w:styleId="ListLabel220">
    <w:name w:val="ListLabel 220"/>
    <w:qFormat/>
    <w:rPr>
      <w:rFonts w:cs="Symbol"/>
    </w:rPr>
  </w:style>
  <w:style w:type="character" w:styleId="ListLabel221">
    <w:name w:val="ListLabel 221"/>
    <w:qFormat/>
    <w:rPr>
      <w:rFonts w:cs="Courier New"/>
    </w:rPr>
  </w:style>
  <w:style w:type="character" w:styleId="ListLabel222">
    <w:name w:val="ListLabel 222"/>
    <w:qFormat/>
    <w:rPr>
      <w:rFonts w:cs="Wingdings"/>
    </w:rPr>
  </w:style>
  <w:style w:type="character" w:styleId="ListLabel223">
    <w:name w:val="ListLabel 223"/>
    <w:qFormat/>
    <w:rPr>
      <w:rFonts w:cs="Symbol"/>
    </w:rPr>
  </w:style>
  <w:style w:type="character" w:styleId="ListLabel224">
    <w:name w:val="ListLabel 224"/>
    <w:qFormat/>
    <w:rPr>
      <w:rFonts w:cs="Courier New"/>
    </w:rPr>
  </w:style>
  <w:style w:type="character" w:styleId="ListLabel225">
    <w:name w:val="ListLabel 225"/>
    <w:qFormat/>
    <w:rPr>
      <w:rFonts w:cs="Wingdings"/>
    </w:rPr>
  </w:style>
  <w:style w:type="character" w:styleId="ListLabel226">
    <w:name w:val="ListLabel 226"/>
    <w:qFormat/>
    <w:rPr>
      <w:sz w:val="18"/>
      <w:szCs w:val="16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/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</w:pPr>
    <w:rPr>
      <w:rFonts w:cs="Arial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cs="Arial" w:eastAsia="Times New Roman"/>
      <w:color w:val="000000"/>
      <w:sz w:val="24"/>
      <w:szCs w:val="24"/>
      <w:lang w:eastAsia="cs-CZ" w:val="sk-SK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cs="Arial" w:eastAsia="Times New Roman"/>
      <w:b/>
      <w:bCs/>
      <w:color w:val="00000A"/>
      <w:sz w:val="24"/>
      <w:szCs w:val="24"/>
      <w:lang w:eastAsia="cs-CZ" w:val="sk-SK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cs="Arial" w:eastAsia="Times New Roman"/>
      <w:color w:val="00000A"/>
      <w:sz w:val="16"/>
      <w:szCs w:val="16"/>
      <w:lang w:eastAsia="cs-CZ" w:val="sk-SK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cs="Arial" w:eastAsia="Times New Roman"/>
      <w:color w:val="00000A"/>
      <w:sz w:val="24"/>
      <w:szCs w:val="24"/>
      <w:lang w:eastAsia="cs-CZ" w:val="sk-SK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cs="Arial Narrow" w:eastAsia="Times New Roman"/>
      <w:color w:val="00000A"/>
      <w:sz w:val="20"/>
      <w:szCs w:val="22"/>
      <w:lang w:eastAsia="cs-CZ" w:val="sk-SK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583</TotalTime>
  <Application>LibreOffice/5.3.4.2$Windows_x86 LibreOffice_project/f82d347ccc0be322489bf7da61d7e4ad13fe2ff3</Application>
  <Pages>24</Pages>
  <Words>3598</Words>
  <Characters>21616</Characters>
  <CharactersWithSpaces>24670</CharactersWithSpaces>
  <Paragraphs>648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2018-03-26T09:24:00Z</dcterms:created>
  <dc:creator>Vlaďka</dc:creator>
  <dc:description/>
  <dc:language>sk-SK</dc:language>
  <cp:lastModifiedBy>Milan Drenina</cp:lastModifiedBy>
  <cp:lastPrinted>2014-01-20T21:18:00Z</cp:lastPrinted>
  <dcterms:modified xsi:type="dcterms:W3CDTF">2023-06-22T12:01:00Z</dcterms:modified>
  <cp:revision>369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