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9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1"/>
      </w:tblGrid>
      <w:tr>
        <w:trPr/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Obec Rohožník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Školské námestie 406/1, 906 38 Rohožník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03.07.2017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Monika Czeilingerová, štatutárna zástupkyňa a riaditeľka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(Správna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Švaral, predseda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PharmDr. Elena Šurláková,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Jana Vrablicová,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Marušca Feriková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7"/>
        <w:gridCol w:w="6974"/>
      </w:tblGrid>
      <w:tr>
        <w:trPr>
          <w:trHeight w:val="284" w:hRule="atLeast"/>
        </w:trPr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práčovne.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610"/>
        <w:gridCol w:w="2637"/>
      </w:tblGrid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28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V prvých mesiacoch roku 2020 sa vírus COVID-19, ktorý sa objavil koncom roku 2019 v Číne, rozšíril do celého sveta a negatívne ovplyvnil mnoho krajín a ich hospodárske a obchodné prostredie. Tento trend a jeho dopady kulminovali koncom kalendárneho roka 2020. Samozrejme tieto globálne dopady sa zákonite prejavili aj na neziskovú sféru na Slovensku. Najzásadnejším faktorom je nepredvídateľnosť, ktorá pretrváva, či už ide o parameter času alebo dopadov aj v r. 2022. Organizácia nezaznamenala z dôvodu celosvetovej pandémie pokles tržieb, resp. významne menší objem dotácií a príspevkov na činnosť neziskovej organizácie.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nezmenila v priebehu účtovného obdobia účtovné metódy a ani účtovné zásady. Účtovné metódy a účtovné zásady boli konzistentne aplikované v porovnaní s bezprostredne predchádzajúcim účtovným obdobím. 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7"/>
        <w:gridCol w:w="3485"/>
      </w:tblGrid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5"/>
        <w:gridCol w:w="2481"/>
        <w:gridCol w:w="2465"/>
        <w:gridCol w:w="2466"/>
      </w:tblGrid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Hydraulický mobilný zdvihák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Osobný automobil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majetku.  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573" w:type="dxa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67"/>
        <w:gridCol w:w="709"/>
        <w:gridCol w:w="846"/>
        <w:gridCol w:w="854"/>
        <w:gridCol w:w="843"/>
        <w:gridCol w:w="989"/>
        <w:gridCol w:w="708"/>
        <w:gridCol w:w="858"/>
        <w:gridCol w:w="847"/>
        <w:gridCol w:w="848"/>
        <w:gridCol w:w="748"/>
        <w:gridCol w:w="855"/>
      </w:tblGrid>
      <w:tr>
        <w:trPr>
          <w:trHeight w:val="1020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893,23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4 311,35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5 204,58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428,75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3 244,49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3 673,24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1 321,98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7 555,84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8 877,82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057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821,77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8 666,62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9 488,39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393,02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5 422,13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5 815,15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 od obce Rohožník,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49"/>
        <w:gridCol w:w="3476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10 912,82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10 938,25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148,80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145,54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126 895,59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87 277,61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137 957,21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98 361,40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vykazuje konečný stav zásob k 31.12.2022 vo výške 1 611,59 EUR (stav zásob k 31.12.2021 bol vo výške 1 768,50 EUR), ktorý predstavuje nespotrebované potravinové zásoby ku koncu roka v kuchyni na základe vykonanej fyzickej inventúry. Organizácia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49"/>
        <w:gridCol w:w="2165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Predaj služieb – stravné a ubytovanie</w:t>
            </w:r>
          </w:p>
        </w:tc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– hlavná činnosť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11 283,93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11 283,93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pohľadávkam v priebehu účtovného obdobia.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27"/>
        <w:gridCol w:w="3141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4 293,50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8 898,22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25 743,27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13 191,72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25 743,27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5"/>
        <w:gridCol w:w="4889"/>
        <w:gridCol w:w="2164"/>
      </w:tblGrid>
      <w:tr>
        <w:trPr>
          <w:trHeight w:val="284" w:hRule="atLeast"/>
        </w:trPr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poistenia Kooperatíva č. 6599443752 na rok 2023,doména,predplatné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378,24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Nezisková organizácia bola zapísaná do Registra poskytovateľov sociálnych služieb Bratislavského samosprávneho kraja dňa 27.09.2017 pod registračným číslom 246/2017-SP. 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Organizácia neúčtovala o opravách významných chýb minulého obdobia v priebehu účtovného obdobia 2022.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8"/>
        <w:gridCol w:w="1141"/>
        <w:gridCol w:w="1136"/>
        <w:gridCol w:w="1225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26 562,81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29 294,19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55 857,00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29 294,19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9 147,67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-29 294,19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9 147,67</w:t>
            </w:r>
          </w:p>
        </w:tc>
      </w:tr>
      <w:tr>
        <w:trPr>
          <w:trHeight w:val="255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55 857,00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9 147,67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65 004,67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3"/>
        <w:gridCol w:w="2249"/>
      </w:tblGrid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29 294,19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27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29 294,19</w:t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53"/>
        <w:gridCol w:w="1083"/>
        <w:gridCol w:w="1414"/>
        <w:gridCol w:w="1414"/>
        <w:gridCol w:w="1408"/>
        <w:gridCol w:w="1405"/>
      </w:tblGrid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štatutárny audit, účt. závierka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920,00</w:t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15 127,81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21 900,25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15 127,81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21 900,25</w:t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16 047,81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22 820,25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16 047,81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22 820,25</w:t>
            </w:r>
          </w:p>
        </w:tc>
      </w:tr>
      <w:tr>
        <w:trPr>
          <w:trHeight w:val="284" w:hRule="atLeast"/>
        </w:trPr>
        <w:tc>
          <w:tcPr>
            <w:tcW w:w="3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16 047,81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22 820,25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16 047,81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22 820,25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- stravné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3 203,08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2 554,90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3 203,08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2 554,90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76"/>
        <w:gridCol w:w="2498"/>
        <w:gridCol w:w="2504"/>
      </w:tblGrid>
      <w:tr>
        <w:trPr>
          <w:trHeight w:val="284" w:hRule="atLeast"/>
        </w:trPr>
        <w:tc>
          <w:tcPr>
            <w:tcW w:w="49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7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51 925,59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51 344,73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51 925,59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51 344,73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7 977,04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10 319,69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7 977,04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10 319,69</w:t>
            </w:r>
          </w:p>
        </w:tc>
      </w:tr>
      <w:tr>
        <w:trPr>
          <w:trHeight w:val="284" w:hRule="atLeast"/>
        </w:trPr>
        <w:tc>
          <w:tcPr>
            <w:tcW w:w="4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59 902,63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61 664,42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9"/>
        <w:gridCol w:w="3147"/>
        <w:gridCol w:w="3112"/>
      </w:tblGrid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4 176,95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4 531,78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2 266,18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1 681,33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2 464,51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2 036,16</w:t>
            </w:r>
          </w:p>
        </w:tc>
      </w:tr>
      <w:tr>
        <w:trPr>
          <w:trHeight w:val="284" w:hRule="atLeast"/>
        </w:trPr>
        <w:tc>
          <w:tcPr>
            <w:tcW w:w="3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3 978,62</w:t>
            </w:r>
          </w:p>
        </w:tc>
        <w:tc>
          <w:tcPr>
            <w:tcW w:w="3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4 176,95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821,77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428,75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393,02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grantu na obstaranie motorového vozidla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1 333,34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833,34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má prenajatý dlhodobý finančný majetok formou finančného lízingu: Dacia Dokker v obstarávacej cene 12 627,17 EUR.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2"/>
        <w:gridCol w:w="2969"/>
        <w:gridCol w:w="2987"/>
      </w:tblGrid>
      <w:tr>
        <w:trPr>
          <w:trHeight w:val="284" w:hRule="atLeast"/>
        </w:trPr>
        <w:tc>
          <w:tcPr>
            <w:tcW w:w="4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611 465,98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605 687,14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5 778,84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Rohožník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82 392,75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244 721,24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 rodiny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5 800,25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potravín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43 898,27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1 483,67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Čistiace a 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5 224,08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3 251,86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53 857,88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energií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28 764,69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28 764,69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a 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7 205,59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SW a licencie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2 422,08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5 480,00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1 304,62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3 729,08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 a kurzy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1 436,66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3 529,74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17 902,18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144,43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1 114,53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71,40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557,68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95"/>
        <w:gridCol w:w="2733"/>
        <w:gridCol w:w="2250"/>
      </w:tblGrid>
      <w:tr>
        <w:trPr>
          <w:trHeight w:val="284" w:hRule="atLeast"/>
        </w:trPr>
        <w:tc>
          <w:tcPr>
            <w:tcW w:w="4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Materiál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1 872,00</w:t>
            </w:r>
          </w:p>
        </w:tc>
      </w:tr>
      <w:tr>
        <w:trPr>
          <w:trHeight w:val="284" w:hRule="atLeast"/>
        </w:trPr>
        <w:tc>
          <w:tcPr>
            <w:tcW w:w="4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Služby 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5"/>
        <w:gridCol w:w="3172"/>
      </w:tblGrid>
      <w:tr>
        <w:trPr>
          <w:trHeight w:val="284" w:hRule="atLeast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6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obsahuje zákonnú DPH vo výške 120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Nezisková organizácia má v prenájme nehnuteľnosť na adrese Pri Potoku 45/3,  906 38 Rohožník. Tieto priestory využíva na prevádzku zariadenia pre seniorov (vrátane ubytovania, stravovania), zariadenie opatrovateľskej služby, zariadenia práčovne a iné služby spojené s verejnoprospešnou činnosťou. Ročné náklady na prenájom sú 1 EUR. Zmluva s prenajímateľom je uzatvorená na dobu neurčitú od 01.01.2018. Nezisková organizácia vykazuje náklady na elektrickú energiu, vodné a stočné a na plyn, celková výška týchto nákladov za rok 2022 bola 28 764,69 EUR.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sz w:val="18"/>
      <w:szCs w:val="16"/>
    </w:rPr>
  </w:style>
  <w:style w:type="character" w:styleId="ListLabel102" w:customStyle="1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Times New Roman"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b/>
      <w:i w:val="false"/>
      <w:sz w:val="18"/>
    </w:rPr>
  </w:style>
  <w:style w:type="character" w:styleId="ListLabel112" w:customStyle="1">
    <w:name w:val="ListLabel 112"/>
    <w:qFormat/>
    <w:rPr>
      <w:rFonts w:cs="Arial"/>
      <w:b/>
      <w:bCs/>
      <w:i w:val="false"/>
      <w:iCs w:val="false"/>
      <w:sz w:val="24"/>
      <w:szCs w:val="24"/>
    </w:rPr>
  </w:style>
  <w:style w:type="character" w:styleId="ListLabel113" w:customStyle="1">
    <w:name w:val="ListLabel 113"/>
    <w:qFormat/>
    <w:rPr>
      <w:b/>
      <w:bCs/>
      <w:i w:val="false"/>
      <w:iCs w:val="false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sz w:val="16"/>
    </w:rPr>
  </w:style>
  <w:style w:type="character" w:styleId="ListLabel115" w:customStyle="1">
    <w:name w:val="ListLabel 115"/>
    <w:qFormat/>
    <w:rPr>
      <w:b w:val="false"/>
      <w:bCs w:val="false"/>
      <w:i w:val="false"/>
      <w:iCs w:val="false"/>
      <w:sz w:val="18"/>
    </w:rPr>
  </w:style>
  <w:style w:type="character" w:styleId="ListLabel116" w:customStyle="1">
    <w:name w:val="ListLabel 116"/>
    <w:qFormat/>
    <w:rPr>
      <w:rFonts w:cs="Symbol"/>
      <w:sz w:val="16"/>
    </w:rPr>
  </w:style>
  <w:style w:type="character" w:styleId="ListLabel117" w:customStyle="1">
    <w:name w:val="ListLabel 117"/>
    <w:qFormat/>
    <w:rPr>
      <w:rFonts w:cs="Courier New"/>
    </w:rPr>
  </w:style>
  <w:style w:type="character" w:styleId="ListLabel118" w:customStyle="1">
    <w:name w:val="ListLabel 118"/>
    <w:qFormat/>
    <w:rPr>
      <w:rFonts w:cs="Wingdings"/>
    </w:rPr>
  </w:style>
  <w:style w:type="character" w:styleId="ListLabel119" w:customStyle="1">
    <w:name w:val="ListLabel 119"/>
    <w:qFormat/>
    <w:rPr>
      <w:rFonts w:cs="Symbol"/>
    </w:rPr>
  </w:style>
  <w:style w:type="character" w:styleId="ListLabel120" w:customStyle="1">
    <w:name w:val="ListLabel 120"/>
    <w:qFormat/>
    <w:rPr>
      <w:rFonts w:cs="Courier New"/>
    </w:rPr>
  </w:style>
  <w:style w:type="character" w:styleId="ListLabel121" w:customStyle="1">
    <w:name w:val="ListLabel 121"/>
    <w:qFormat/>
    <w:rPr>
      <w:rFonts w:cs="Wingdings"/>
    </w:rPr>
  </w:style>
  <w:style w:type="character" w:styleId="ListLabel122" w:customStyle="1">
    <w:name w:val="ListLabel 122"/>
    <w:qFormat/>
    <w:rPr>
      <w:rFonts w:cs="Symbol"/>
    </w:rPr>
  </w:style>
  <w:style w:type="character" w:styleId="ListLabel123" w:customStyle="1">
    <w:name w:val="ListLabel 123"/>
    <w:qFormat/>
    <w:rPr>
      <w:rFonts w:cs="Courier New"/>
    </w:rPr>
  </w:style>
  <w:style w:type="character" w:styleId="ListLabel124" w:customStyle="1">
    <w:name w:val="ListLabel 124"/>
    <w:qFormat/>
    <w:rPr>
      <w:rFonts w:cs="Wingdings"/>
    </w:rPr>
  </w:style>
  <w:style w:type="character" w:styleId="ListLabel125" w:customStyle="1">
    <w:name w:val="ListLabel 125"/>
    <w:qFormat/>
    <w:rPr>
      <w:sz w:val="18"/>
      <w:szCs w:val="16"/>
    </w:rPr>
  </w:style>
  <w:style w:type="character" w:styleId="ListLabel126" w:customStyle="1">
    <w:name w:val="ListLabel 126"/>
    <w:qFormat/>
    <w:rPr>
      <w:b/>
      <w:i w:val="false"/>
      <w:sz w:val="18"/>
    </w:rPr>
  </w:style>
  <w:style w:type="character" w:styleId="ListLabel127" w:customStyle="1">
    <w:name w:val="ListLabel 127"/>
    <w:qFormat/>
    <w:rPr>
      <w:rFonts w:cs="Arial"/>
      <w:b/>
      <w:bCs/>
      <w:i w:val="false"/>
      <w:iCs w:val="false"/>
      <w:sz w:val="24"/>
      <w:szCs w:val="24"/>
    </w:rPr>
  </w:style>
  <w:style w:type="character" w:styleId="ListLabel128" w:customStyle="1">
    <w:name w:val="ListLabel 128"/>
    <w:qFormat/>
    <w:rPr>
      <w:b/>
      <w:bCs/>
      <w:i w:val="false"/>
      <w:iCs w:val="false"/>
    </w:rPr>
  </w:style>
  <w:style w:type="character" w:styleId="ListLabel129" w:customStyle="1">
    <w:name w:val="ListLabel 129"/>
    <w:qFormat/>
    <w:rPr>
      <w:b w:val="false"/>
      <w:bCs w:val="false"/>
      <w:i w:val="false"/>
      <w:iCs w:val="false"/>
      <w:sz w:val="16"/>
    </w:rPr>
  </w:style>
  <w:style w:type="character" w:styleId="ListLabel130" w:customStyle="1">
    <w:name w:val="ListLabel 130"/>
    <w:qFormat/>
    <w:rPr>
      <w:b w:val="false"/>
      <w:bCs w:val="false"/>
      <w:i w:val="false"/>
      <w:iCs w:val="false"/>
      <w:sz w:val="18"/>
    </w:rPr>
  </w:style>
  <w:style w:type="character" w:styleId="ListLabel131" w:customStyle="1">
    <w:name w:val="ListLabel 131"/>
    <w:qFormat/>
    <w:rPr>
      <w:rFonts w:cs="Symbol"/>
      <w:sz w:val="16"/>
    </w:rPr>
  </w:style>
  <w:style w:type="character" w:styleId="ListLabel132" w:customStyle="1">
    <w:name w:val="ListLabel 132"/>
    <w:qFormat/>
    <w:rPr>
      <w:rFonts w:cs="Courier New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Symbol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sz w:val="18"/>
      <w:szCs w:val="16"/>
    </w:rPr>
  </w:style>
  <w:style w:type="character" w:styleId="ListLabel141" w:customStyle="1">
    <w:name w:val="ListLabel 141"/>
    <w:qFormat/>
    <w:rPr>
      <w:b w:val="false"/>
      <w:i w:val="false"/>
      <w:sz w:val="18"/>
    </w:rPr>
  </w:style>
  <w:style w:type="character" w:styleId="ListLabel142" w:customStyle="1">
    <w:name w:val="ListLabel 142"/>
    <w:qFormat/>
    <w:rPr>
      <w:rFonts w:cs="Arial"/>
      <w:b/>
      <w:bCs/>
      <w:i w:val="false"/>
      <w:iCs w:val="false"/>
      <w:sz w:val="24"/>
      <w:szCs w:val="24"/>
    </w:rPr>
  </w:style>
  <w:style w:type="character" w:styleId="ListLabel143" w:customStyle="1">
    <w:name w:val="ListLabel 143"/>
    <w:qFormat/>
    <w:rPr>
      <w:b/>
      <w:bCs/>
      <w:i w:val="false"/>
      <w:iCs w:val="false"/>
    </w:rPr>
  </w:style>
  <w:style w:type="character" w:styleId="ListLabel144" w:customStyle="1">
    <w:name w:val="ListLabel 144"/>
    <w:qFormat/>
    <w:rPr>
      <w:b w:val="false"/>
      <w:bCs w:val="false"/>
      <w:i w:val="false"/>
      <w:iCs w:val="false"/>
      <w:sz w:val="16"/>
    </w:rPr>
  </w:style>
  <w:style w:type="character" w:styleId="ListLabel145" w:customStyle="1">
    <w:name w:val="ListLabel 145"/>
    <w:qFormat/>
    <w:rPr>
      <w:b w:val="false"/>
      <w:bCs w:val="false"/>
      <w:i w:val="false"/>
      <w:iCs w:val="false"/>
      <w:sz w:val="18"/>
    </w:rPr>
  </w:style>
  <w:style w:type="character" w:styleId="ListLabel146" w:customStyle="1">
    <w:name w:val="ListLabel 146"/>
    <w:qFormat/>
    <w:rPr>
      <w:rFonts w:cs="Symbol"/>
      <w:sz w:val="16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Symbol"/>
    </w:rPr>
  </w:style>
  <w:style w:type="character" w:styleId="ListLabel150" w:customStyle="1">
    <w:name w:val="ListLabel 150"/>
    <w:qFormat/>
    <w:rPr>
      <w:rFonts w:cs="Courier New"/>
    </w:rPr>
  </w:style>
  <w:style w:type="character" w:styleId="ListLabel151" w:customStyle="1">
    <w:name w:val="ListLabel 151"/>
    <w:qFormat/>
    <w:rPr>
      <w:rFonts w:cs="Wingdings"/>
    </w:rPr>
  </w:style>
  <w:style w:type="character" w:styleId="ListLabel152" w:customStyle="1">
    <w:name w:val="ListLabel 152"/>
    <w:qFormat/>
    <w:rPr>
      <w:rFonts w:cs="Symbol"/>
    </w:rPr>
  </w:style>
  <w:style w:type="character" w:styleId="ListLabel153" w:customStyle="1">
    <w:name w:val="ListLabel 153"/>
    <w:qFormat/>
    <w:rPr>
      <w:rFonts w:cs="Courier New"/>
    </w:rPr>
  </w:style>
  <w:style w:type="character" w:styleId="ListLabel154" w:customStyle="1">
    <w:name w:val="ListLabel 154"/>
    <w:qFormat/>
    <w:rPr>
      <w:rFonts w:cs="Wingdings"/>
    </w:rPr>
  </w:style>
  <w:style w:type="character" w:styleId="ListLabel155" w:customStyle="1">
    <w:name w:val="ListLabel 155"/>
    <w:qFormat/>
    <w:rPr>
      <w:sz w:val="18"/>
      <w:szCs w:val="16"/>
    </w:rPr>
  </w:style>
  <w:style w:type="character" w:styleId="ListLabel156" w:customStyle="1">
    <w:name w:val="ListLabel 156"/>
    <w:qFormat/>
    <w:rPr>
      <w:b w:val="false"/>
      <w:i w:val="false"/>
      <w:sz w:val="18"/>
    </w:rPr>
  </w:style>
  <w:style w:type="character" w:styleId="ListLabel157" w:customStyle="1">
    <w:name w:val="ListLabel 157"/>
    <w:qFormat/>
    <w:rPr>
      <w:rFonts w:cs="Arial"/>
      <w:b/>
      <w:bCs/>
      <w:i w:val="false"/>
      <w:iCs w:val="false"/>
      <w:sz w:val="24"/>
      <w:szCs w:val="24"/>
    </w:rPr>
  </w:style>
  <w:style w:type="character" w:styleId="ListLabel158" w:customStyle="1">
    <w:name w:val="ListLabel 158"/>
    <w:qFormat/>
    <w:rPr>
      <w:b/>
      <w:bCs/>
      <w:i w:val="false"/>
      <w:iCs w:val="false"/>
    </w:rPr>
  </w:style>
  <w:style w:type="character" w:styleId="ListLabel159" w:customStyle="1">
    <w:name w:val="ListLabel 159"/>
    <w:qFormat/>
    <w:rPr>
      <w:b w:val="false"/>
      <w:bCs w:val="false"/>
      <w:i w:val="false"/>
      <w:iCs w:val="false"/>
      <w:sz w:val="16"/>
    </w:rPr>
  </w:style>
  <w:style w:type="character" w:styleId="ListLabel160" w:customStyle="1">
    <w:name w:val="ListLabel 160"/>
    <w:qFormat/>
    <w:rPr>
      <w:b w:val="false"/>
      <w:bCs w:val="false"/>
      <w:i w:val="false"/>
      <w:iCs w:val="false"/>
      <w:sz w:val="18"/>
    </w:rPr>
  </w:style>
  <w:style w:type="character" w:styleId="ListLabel161" w:customStyle="1">
    <w:name w:val="ListLabel 161"/>
    <w:qFormat/>
    <w:rPr>
      <w:rFonts w:cs="Symbol"/>
      <w:sz w:val="16"/>
    </w:rPr>
  </w:style>
  <w:style w:type="character" w:styleId="ListLabel162" w:customStyle="1">
    <w:name w:val="ListLabel 162"/>
    <w:qFormat/>
    <w:rPr>
      <w:rFonts w:cs="Courier New"/>
    </w:rPr>
  </w:style>
  <w:style w:type="character" w:styleId="ListLabel163" w:customStyle="1">
    <w:name w:val="ListLabel 163"/>
    <w:qFormat/>
    <w:rPr>
      <w:rFonts w:cs="Wingdings"/>
    </w:rPr>
  </w:style>
  <w:style w:type="character" w:styleId="ListLabel164" w:customStyle="1">
    <w:name w:val="ListLabel 164"/>
    <w:qFormat/>
    <w:rPr>
      <w:rFonts w:cs="Symbol"/>
    </w:rPr>
  </w:style>
  <w:style w:type="character" w:styleId="ListLabel165" w:customStyle="1">
    <w:name w:val="ListLabel 165"/>
    <w:qFormat/>
    <w:rPr>
      <w:rFonts w:cs="Courier New"/>
    </w:rPr>
  </w:style>
  <w:style w:type="character" w:styleId="ListLabel166" w:customStyle="1">
    <w:name w:val="ListLabel 166"/>
    <w:qFormat/>
    <w:rPr>
      <w:rFonts w:cs="Wingdings"/>
    </w:rPr>
  </w:style>
  <w:style w:type="character" w:styleId="ListLabel167" w:customStyle="1">
    <w:name w:val="ListLabel 167"/>
    <w:qFormat/>
    <w:rPr>
      <w:rFonts w:cs="Symbol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Wingdings"/>
    </w:rPr>
  </w:style>
  <w:style w:type="character" w:styleId="ListLabel170" w:customStyle="1">
    <w:name w:val="ListLabel 170"/>
    <w:qFormat/>
    <w:rPr>
      <w:sz w:val="18"/>
      <w:szCs w:val="16"/>
    </w:rPr>
  </w:style>
  <w:style w:type="character" w:styleId="ListLabel171" w:customStyle="1">
    <w:name w:val="ListLabel 171"/>
    <w:qFormat/>
    <w:rPr>
      <w:rFonts w:cs="Arial"/>
      <w:b/>
      <w:bCs/>
      <w:i w:val="false"/>
      <w:iCs w:val="false"/>
      <w:sz w:val="24"/>
      <w:szCs w:val="24"/>
    </w:rPr>
  </w:style>
  <w:style w:type="character" w:styleId="ListLabel172" w:customStyle="1">
    <w:name w:val="ListLabel 172"/>
    <w:qFormat/>
    <w:rPr>
      <w:b/>
      <w:bCs/>
      <w:i w:val="false"/>
      <w:iCs w:val="false"/>
    </w:rPr>
  </w:style>
  <w:style w:type="character" w:styleId="ListLabel173" w:customStyle="1">
    <w:name w:val="ListLabel 173"/>
    <w:qFormat/>
    <w:rPr>
      <w:b w:val="false"/>
      <w:bCs w:val="false"/>
      <w:i w:val="false"/>
      <w:iCs w:val="false"/>
      <w:sz w:val="16"/>
    </w:rPr>
  </w:style>
  <w:style w:type="character" w:styleId="ListLabel174" w:customStyle="1">
    <w:name w:val="ListLabel 174"/>
    <w:qFormat/>
    <w:rPr>
      <w:b w:val="false"/>
      <w:bCs w:val="false"/>
      <w:i w:val="false"/>
      <w:iCs w:val="false"/>
      <w:sz w:val="18"/>
    </w:rPr>
  </w:style>
  <w:style w:type="character" w:styleId="ListLabel175" w:customStyle="1">
    <w:name w:val="ListLabel 175"/>
    <w:qFormat/>
    <w:rPr>
      <w:rFonts w:cs="Symbol"/>
      <w:sz w:val="16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Courier New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Courier New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sz w:val="18"/>
      <w:szCs w:val="16"/>
    </w:rPr>
  </w:style>
  <w:style w:type="character" w:styleId="ListLabel185" w:customStyle="1">
    <w:name w:val="ListLabel 185"/>
    <w:qFormat/>
    <w:rPr>
      <w:rFonts w:cs="Arial"/>
      <w:b/>
      <w:bCs/>
      <w:i w:val="false"/>
      <w:iCs w:val="false"/>
      <w:sz w:val="24"/>
      <w:szCs w:val="24"/>
    </w:rPr>
  </w:style>
  <w:style w:type="character" w:styleId="ListLabel186" w:customStyle="1">
    <w:name w:val="ListLabel 186"/>
    <w:qFormat/>
    <w:rPr>
      <w:b/>
      <w:bCs/>
      <w:i w:val="false"/>
      <w:iCs w:val="false"/>
    </w:rPr>
  </w:style>
  <w:style w:type="character" w:styleId="ListLabel187" w:customStyle="1">
    <w:name w:val="ListLabel 187"/>
    <w:qFormat/>
    <w:rPr>
      <w:b w:val="false"/>
      <w:bCs w:val="false"/>
      <w:i w:val="false"/>
      <w:iCs w:val="false"/>
      <w:sz w:val="16"/>
    </w:rPr>
  </w:style>
  <w:style w:type="character" w:styleId="ListLabel188" w:customStyle="1">
    <w:name w:val="ListLabel 188"/>
    <w:qFormat/>
    <w:rPr>
      <w:b w:val="false"/>
      <w:bCs w:val="false"/>
      <w:i w:val="false"/>
      <w:iCs w:val="false"/>
      <w:sz w:val="18"/>
    </w:rPr>
  </w:style>
  <w:style w:type="character" w:styleId="ListLabel189" w:customStyle="1">
    <w:name w:val="ListLabel 189"/>
    <w:qFormat/>
    <w:rPr>
      <w:rFonts w:cs="Symbol"/>
      <w:sz w:val="16"/>
    </w:rPr>
  </w:style>
  <w:style w:type="character" w:styleId="ListLabel190" w:customStyle="1">
    <w:name w:val="ListLabel 190"/>
    <w:qFormat/>
    <w:rPr>
      <w:rFonts w:cs="Courier New"/>
    </w:rPr>
  </w:style>
  <w:style w:type="character" w:styleId="ListLabel191" w:customStyle="1">
    <w:name w:val="ListLabel 191"/>
    <w:qFormat/>
    <w:rPr>
      <w:rFonts w:cs="Wingdings"/>
    </w:rPr>
  </w:style>
  <w:style w:type="character" w:styleId="ListLabel192" w:customStyle="1">
    <w:name w:val="ListLabel 192"/>
    <w:qFormat/>
    <w:rPr>
      <w:rFonts w:cs="Symbol"/>
    </w:rPr>
  </w:style>
  <w:style w:type="character" w:styleId="ListLabel193" w:customStyle="1">
    <w:name w:val="ListLabel 193"/>
    <w:qFormat/>
    <w:rPr>
      <w:rFonts w:cs="Courier New"/>
    </w:rPr>
  </w:style>
  <w:style w:type="character" w:styleId="ListLabel194" w:customStyle="1">
    <w:name w:val="ListLabel 194"/>
    <w:qFormat/>
    <w:rPr>
      <w:rFonts w:cs="Wingdings"/>
    </w:rPr>
  </w:style>
  <w:style w:type="character" w:styleId="ListLabel195" w:customStyle="1">
    <w:name w:val="ListLabel 195"/>
    <w:qFormat/>
    <w:rPr>
      <w:rFonts w:cs="Symbol"/>
    </w:rPr>
  </w:style>
  <w:style w:type="character" w:styleId="ListLabel196" w:customStyle="1">
    <w:name w:val="ListLabel 196"/>
    <w:qFormat/>
    <w:rPr>
      <w:rFonts w:cs="Courier New"/>
    </w:rPr>
  </w:style>
  <w:style w:type="character" w:styleId="ListLabel197" w:customStyle="1">
    <w:name w:val="ListLabel 197"/>
    <w:qFormat/>
    <w:rPr>
      <w:rFonts w:cs="Wingdings"/>
    </w:rPr>
  </w:style>
  <w:style w:type="character" w:styleId="ListLabel198" w:customStyle="1">
    <w:name w:val="ListLabel 198"/>
    <w:qFormat/>
    <w:rPr>
      <w:sz w:val="18"/>
      <w:szCs w:val="16"/>
    </w:rPr>
  </w:style>
  <w:style w:type="character" w:styleId="ListLabel199" w:customStyle="1">
    <w:name w:val="ListLabel 199"/>
    <w:qFormat/>
    <w:rPr>
      <w:rFonts w:cs="Arial"/>
      <w:b/>
      <w:bCs/>
      <w:i w:val="false"/>
      <w:iCs w:val="false"/>
      <w:sz w:val="24"/>
      <w:szCs w:val="24"/>
    </w:rPr>
  </w:style>
  <w:style w:type="character" w:styleId="ListLabel200" w:customStyle="1">
    <w:name w:val="ListLabel 200"/>
    <w:qFormat/>
    <w:rPr>
      <w:b/>
      <w:bCs/>
      <w:i w:val="false"/>
      <w:iCs w:val="false"/>
    </w:rPr>
  </w:style>
  <w:style w:type="character" w:styleId="ListLabel201" w:customStyle="1">
    <w:name w:val="ListLabel 201"/>
    <w:qFormat/>
    <w:rPr>
      <w:b w:val="false"/>
      <w:bCs w:val="false"/>
      <w:i w:val="false"/>
      <w:iCs w:val="false"/>
      <w:sz w:val="16"/>
    </w:rPr>
  </w:style>
  <w:style w:type="character" w:styleId="ListLabel202" w:customStyle="1">
    <w:name w:val="ListLabel 202"/>
    <w:qFormat/>
    <w:rPr>
      <w:b w:val="false"/>
      <w:bCs w:val="false"/>
      <w:i w:val="false"/>
      <w:iCs w:val="false"/>
      <w:sz w:val="18"/>
    </w:rPr>
  </w:style>
  <w:style w:type="character" w:styleId="ListLabel203" w:customStyle="1">
    <w:name w:val="ListLabel 203"/>
    <w:qFormat/>
    <w:rPr>
      <w:rFonts w:cs="Symbol"/>
      <w:sz w:val="16"/>
    </w:rPr>
  </w:style>
  <w:style w:type="character" w:styleId="ListLabel204" w:customStyle="1">
    <w:name w:val="ListLabel 204"/>
    <w:qFormat/>
    <w:rPr>
      <w:rFonts w:cs="Courier New"/>
    </w:rPr>
  </w:style>
  <w:style w:type="character" w:styleId="ListLabel205" w:customStyle="1">
    <w:name w:val="ListLabel 205"/>
    <w:qFormat/>
    <w:rPr>
      <w:rFonts w:cs="Wingdings"/>
    </w:rPr>
  </w:style>
  <w:style w:type="character" w:styleId="ListLabel206" w:customStyle="1">
    <w:name w:val="ListLabel 206"/>
    <w:qFormat/>
    <w:rPr>
      <w:rFonts w:cs="Symbol"/>
    </w:rPr>
  </w:style>
  <w:style w:type="character" w:styleId="ListLabel207" w:customStyle="1">
    <w:name w:val="ListLabel 207"/>
    <w:qFormat/>
    <w:rPr>
      <w:rFonts w:cs="Courier New"/>
    </w:rPr>
  </w:style>
  <w:style w:type="character" w:styleId="ListLabel208" w:customStyle="1">
    <w:name w:val="ListLabel 208"/>
    <w:qFormat/>
    <w:rPr>
      <w:rFonts w:cs="Wingdings"/>
    </w:rPr>
  </w:style>
  <w:style w:type="character" w:styleId="ListLabel209" w:customStyle="1">
    <w:name w:val="ListLabel 209"/>
    <w:qFormat/>
    <w:rPr>
      <w:rFonts w:cs="Symbol"/>
    </w:rPr>
  </w:style>
  <w:style w:type="character" w:styleId="ListLabel210" w:customStyle="1">
    <w:name w:val="ListLabel 210"/>
    <w:qFormat/>
    <w:rPr>
      <w:rFonts w:cs="Courier New"/>
    </w:rPr>
  </w:style>
  <w:style w:type="character" w:styleId="ListLabel211" w:customStyle="1">
    <w:name w:val="ListLabel 211"/>
    <w:qFormat/>
    <w:rPr>
      <w:rFonts w:cs="Wingdings"/>
    </w:rPr>
  </w:style>
  <w:style w:type="character" w:styleId="ListLabel212" w:customStyle="1">
    <w:name w:val="ListLabel 212"/>
    <w:qFormat/>
    <w:rPr>
      <w:sz w:val="18"/>
      <w:szCs w:val="16"/>
    </w:rPr>
  </w:style>
  <w:style w:type="character" w:styleId="ListLabel213">
    <w:name w:val="ListLabel 213"/>
    <w:qFormat/>
    <w:rPr>
      <w:rFonts w:cs="Arial"/>
      <w:b/>
      <w:bCs/>
      <w:i w:val="false"/>
      <w:iCs w:val="false"/>
      <w:sz w:val="24"/>
      <w:szCs w:val="24"/>
    </w:rPr>
  </w:style>
  <w:style w:type="character" w:styleId="ListLabel214">
    <w:name w:val="ListLabel 214"/>
    <w:qFormat/>
    <w:rPr>
      <w:b/>
      <w:bCs/>
      <w:i w:val="false"/>
      <w:iCs w:val="false"/>
    </w:rPr>
  </w:style>
  <w:style w:type="character" w:styleId="ListLabel215">
    <w:name w:val="ListLabel 215"/>
    <w:qFormat/>
    <w:rPr>
      <w:b w:val="false"/>
      <w:bCs w:val="false"/>
      <w:i w:val="false"/>
      <w:iCs w:val="false"/>
      <w:sz w:val="16"/>
    </w:rPr>
  </w:style>
  <w:style w:type="character" w:styleId="ListLabel216">
    <w:name w:val="ListLabel 216"/>
    <w:qFormat/>
    <w:rPr>
      <w:b w:val="false"/>
      <w:bCs w:val="false"/>
      <w:i w:val="false"/>
      <w:iCs w:val="false"/>
      <w:sz w:val="18"/>
    </w:rPr>
  </w:style>
  <w:style w:type="character" w:styleId="ListLabel217">
    <w:name w:val="ListLabel 217"/>
    <w:qFormat/>
    <w:rPr>
      <w:rFonts w:cs="Symbol"/>
      <w:sz w:val="16"/>
    </w:rPr>
  </w:style>
  <w:style w:type="character" w:styleId="ListLabel218">
    <w:name w:val="ListLabel 218"/>
    <w:qFormat/>
    <w:rPr>
      <w:rFonts w:cs="Courier New"/>
    </w:rPr>
  </w:style>
  <w:style w:type="character" w:styleId="ListLabel219">
    <w:name w:val="ListLabel 219"/>
    <w:qFormat/>
    <w:rPr>
      <w:rFonts w:cs="Wingdings"/>
    </w:rPr>
  </w:style>
  <w:style w:type="character" w:styleId="ListLabel220">
    <w:name w:val="ListLabel 220"/>
    <w:qFormat/>
    <w:rPr>
      <w:rFonts w:cs="Symbol"/>
    </w:rPr>
  </w:style>
  <w:style w:type="character" w:styleId="ListLabel221">
    <w:name w:val="ListLabel 221"/>
    <w:qFormat/>
    <w:rPr>
      <w:rFonts w:cs="Courier New"/>
    </w:rPr>
  </w:style>
  <w:style w:type="character" w:styleId="ListLabel222">
    <w:name w:val="ListLabel 222"/>
    <w:qFormat/>
    <w:rPr>
      <w:rFonts w:cs="Wingdings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cs="Wingdings"/>
    </w:rPr>
  </w:style>
  <w:style w:type="character" w:styleId="ListLabel226">
    <w:name w:val="ListLabel 226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Application>LibreOffice/5.3.4.2$Windows_x86 LibreOffice_project/f82d347ccc0be322489bf7da61d7e4ad13fe2ff3</Application>
  <Pages>24</Pages>
  <Words>3598</Words>
  <Characters>21616</Characters>
  <CharactersWithSpaces>24670</CharactersWithSpaces>
  <Paragraphs>648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Milan Drenina</cp:lastModifiedBy>
  <cp:lastPrinted>2014-01-20T21:18:00Z</cp:lastPrinted>
  <dcterms:modified xsi:type="dcterms:W3CDTF">2023-06-22T12:01:00Z</dcterms:modified>
  <cp:revision>369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