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4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292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55"/>
        <w:gridCol w:w="255"/>
        <w:gridCol w:w="240"/>
        <w:gridCol w:w="255"/>
        <w:gridCol w:w="240"/>
        <w:gridCol w:w="270"/>
        <w:gridCol w:w="240"/>
        <w:gridCol w:w="21"/>
        <w:gridCol w:w="234"/>
        <w:gridCol w:w="40"/>
        <w:gridCol w:w="40"/>
        <w:gridCol w:w="40"/>
        <w:gridCol w:w="40"/>
        <w:gridCol w:w="20"/>
        <w:gridCol w:w="60"/>
      </w:tblGrid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6561" w:type="dxa"/>
            <w:gridSpan w:val="2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1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Poznámky Úč POD 3 - 04</w:t>
            </w:r>
          </w:p>
        </w:tc>
      </w:tr>
      <w:tr w:rsidR="001E79E0" w:rsidRPr="001E79E0" w:rsidTr="005404D8">
        <w:trPr>
          <w:trHeight w:val="182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POZNÁMKY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individuálnej účtovnej závierky 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zostavenej k 31. 12. 2022.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100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v zmysle prílohy č. 3 k opatreniu 4455/2003-92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92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v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val="pl-PL" w:eastAsia="ar-SA"/>
              </w:rPr>
            </w:pPr>
          </w:p>
        </w:tc>
        <w:tc>
          <w:tcPr>
            <w:tcW w:w="2490" w:type="dxa"/>
            <w:gridSpan w:val="10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trike/>
                <w:sz w:val="20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-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x</w:t>
            </w:r>
          </w:p>
        </w:tc>
        <w:tc>
          <w:tcPr>
            <w:tcW w:w="1755" w:type="dxa"/>
            <w:gridSpan w:val="7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- </w:t>
            </w: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u w:val="single"/>
                <w:lang w:eastAsia="ar-SA"/>
              </w:rPr>
              <w:t xml:space="preserve">celých eurách </w:t>
            </w: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*)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92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750" w:type="dxa"/>
            <w:gridSpan w:val="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750" w:type="dxa"/>
            <w:gridSpan w:val="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ind w:hanging="1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mesiac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990" w:type="dxa"/>
            <w:gridSpan w:val="4"/>
            <w:tcBorders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ind w:hanging="1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rok</w:t>
            </w:r>
          </w:p>
        </w:tc>
        <w:tc>
          <w:tcPr>
            <w:tcW w:w="750" w:type="dxa"/>
            <w:gridSpan w:val="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750" w:type="dxa"/>
            <w:gridSpan w:val="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ind w:hanging="1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mesiac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005" w:type="dxa"/>
            <w:gridSpan w:val="4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ind w:hanging="1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rok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4311" w:type="dxa"/>
            <w:gridSpan w:val="17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Za obdobie od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750" w:type="dxa"/>
            <w:gridSpan w:val="3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do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 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4311" w:type="dxa"/>
            <w:gridSpan w:val="17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Za bezprostredne predchádzajúce obdobie od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750" w:type="dxa"/>
            <w:gridSpan w:val="3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do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 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 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3561" w:type="dxa"/>
            <w:gridSpan w:val="14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Dátum vzniku účtovnej jednotky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755" w:type="dxa"/>
            <w:gridSpan w:val="7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Účtovná závierka</w:t>
            </w:r>
          </w:p>
        </w:tc>
        <w:tc>
          <w:tcPr>
            <w:tcW w:w="1980" w:type="dxa"/>
            <w:gridSpan w:val="8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Účtovná závierka</w:t>
            </w: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92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500" w:type="dxa"/>
            <w:gridSpan w:val="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*)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735" w:type="dxa"/>
            <w:gridSpan w:val="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*)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u w:val="single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- </w:t>
            </w: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u w:val="single"/>
                <w:lang w:eastAsia="ar-SA"/>
              </w:rPr>
              <w:t>riadna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1500" w:type="dxa"/>
            <w:gridSpan w:val="6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- zostavená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3787" w:type="dxa"/>
            <w:gridSpan w:val="1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- mimoriadna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x</w:t>
            </w:r>
          </w:p>
        </w:tc>
        <w:tc>
          <w:tcPr>
            <w:tcW w:w="1500" w:type="dxa"/>
            <w:gridSpan w:val="6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u w:val="single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 xml:space="preserve"> - </w:t>
            </w: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u w:val="single"/>
                <w:lang w:eastAsia="ar-SA"/>
              </w:rPr>
              <w:t>schválená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3787" w:type="dxa"/>
            <w:gridSpan w:val="1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- priebežná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9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245" w:type="dxa"/>
            <w:gridSpan w:val="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3787" w:type="dxa"/>
            <w:gridSpan w:val="1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245" w:type="dxa"/>
            <w:gridSpan w:val="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9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245" w:type="dxa"/>
            <w:gridSpan w:val="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076" w:type="dxa"/>
            <w:gridSpan w:val="8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IČO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45" w:type="dxa"/>
            <w:gridSpan w:val="11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DIČ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3735" w:type="dxa"/>
            <w:gridSpan w:val="1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 xml:space="preserve">Kód SK NACE 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4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7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4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3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3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8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9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9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147"/>
        </w:trPr>
        <w:tc>
          <w:tcPr>
            <w:tcW w:w="5061" w:type="dxa"/>
            <w:gridSpan w:val="20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vMerge w:val="restart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147"/>
        </w:trPr>
        <w:tc>
          <w:tcPr>
            <w:tcW w:w="5061" w:type="dxa"/>
            <w:gridSpan w:val="20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Obchodné meno (názov) účtovnej jednotky</w:t>
            </w: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7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40" w:type="dxa"/>
            <w:vMerge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J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S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P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I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s.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r.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o,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6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 xml:space="preserve">Sídlo </w:t>
            </w: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  <w:t>účtovnej jednotky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6801" w:type="dxa"/>
            <w:gridSpan w:val="27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  <w:t xml:space="preserve">Ulica 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1995" w:type="dxa"/>
            <w:gridSpan w:val="8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  <w:t>Číslo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M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R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S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T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E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F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N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I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K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1326" w:type="dxa"/>
            <w:gridSpan w:val="5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 xml:space="preserve">PSČ 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7230" w:type="dxa"/>
            <w:gridSpan w:val="29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Názov obce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 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R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E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V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U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C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3321" w:type="dxa"/>
            <w:gridSpan w:val="1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  <w:t>Číslo telefónu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3240" w:type="dxa"/>
            <w:gridSpan w:val="13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21"/>
                <w:szCs w:val="21"/>
                <w:lang w:eastAsia="ar-SA"/>
              </w:rPr>
              <w:t>Číslo faxu</w:t>
            </w: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0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9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1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3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2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7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5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 </w:t>
            </w: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bCs/>
                <w:sz w:val="21"/>
                <w:szCs w:val="21"/>
                <w:lang w:eastAsia="ar-SA"/>
              </w:rPr>
              <w:t>E-mailová adresa</w:t>
            </w: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57"/>
        </w:trPr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C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U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P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K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O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V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val="en-US"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val="en-US" w:eastAsia="ar-SA"/>
              </w:rPr>
              <w:t>@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T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R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N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S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T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A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V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.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S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K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7"/>
        </w:trPr>
        <w:tc>
          <w:tcPr>
            <w:tcW w:w="9051" w:type="dxa"/>
            <w:gridSpan w:val="36"/>
            <w:tcBorders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gridAfter w:val="7"/>
          <w:wAfter w:w="474" w:type="dxa"/>
          <w:trHeight w:val="850"/>
        </w:trPr>
        <w:tc>
          <w:tcPr>
            <w:tcW w:w="231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Zostavené dňa:</w:t>
            </w: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br/>
              <w:t>25.06. 2023</w:t>
            </w:r>
          </w:p>
        </w:tc>
        <w:tc>
          <w:tcPr>
            <w:tcW w:w="1995" w:type="dxa"/>
            <w:gridSpan w:val="8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21"/>
                <w:lang w:eastAsia="ar-SA"/>
              </w:rPr>
              <w:t>Podpisový záznam osoby zodpovednej za vedenie účtovníctva:</w:t>
            </w: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br/>
              <w:t xml:space="preserve">Michaela Čupková </w:t>
            </w:r>
          </w:p>
        </w:tc>
        <w:tc>
          <w:tcPr>
            <w:tcW w:w="2250" w:type="dxa"/>
            <w:gridSpan w:val="9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21"/>
                <w:lang w:eastAsia="ar-SA"/>
              </w:rPr>
              <w:t>Podpisový záznam osoby zodpovednej za zostavenie účtovnej závierky:</w:t>
            </w: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br/>
              <w:t xml:space="preserve">Michaela Čupková </w:t>
            </w:r>
          </w:p>
        </w:tc>
        <w:tc>
          <w:tcPr>
            <w:tcW w:w="2511" w:type="dxa"/>
            <w:gridSpan w:val="11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21"/>
                <w:lang w:eastAsia="ar-SA"/>
              </w:rPr>
              <w:t>Podpisový záznam člena štatutárneho orgánu účtovnej jednotky alebo fyzickej osoby, ktorá je účtovnou jednotkou:</w:t>
            </w:r>
          </w:p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Marek Čupka </w:t>
            </w:r>
          </w:p>
        </w:tc>
      </w:tr>
      <w:tr w:rsidR="001E79E0" w:rsidRPr="001E79E0" w:rsidTr="005404D8">
        <w:trPr>
          <w:gridAfter w:val="7"/>
          <w:wAfter w:w="474" w:type="dxa"/>
          <w:trHeight w:val="848"/>
        </w:trPr>
        <w:tc>
          <w:tcPr>
            <w:tcW w:w="231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 Schválené dňa:</w:t>
            </w: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br/>
              <w:t>25.06.2023</w:t>
            </w:r>
          </w:p>
        </w:tc>
        <w:tc>
          <w:tcPr>
            <w:tcW w:w="1995" w:type="dxa"/>
            <w:gridSpan w:val="8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250" w:type="dxa"/>
            <w:gridSpan w:val="9"/>
            <w:vMerge/>
            <w:tcBorders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511" w:type="dxa"/>
            <w:gridSpan w:val="11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</w:tr>
      <w:tr w:rsidR="001E79E0" w:rsidRPr="001E79E0" w:rsidTr="005404D8">
        <w:trPr>
          <w:trHeight w:hRule="exact" w:val="57"/>
        </w:trPr>
        <w:tc>
          <w:tcPr>
            <w:tcW w:w="2316" w:type="dxa"/>
            <w:gridSpan w:val="9"/>
            <w:tcBorders>
              <w:top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995" w:type="dxa"/>
            <w:gridSpan w:val="8"/>
            <w:tcBorders>
              <w:top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250" w:type="dxa"/>
            <w:gridSpan w:val="9"/>
            <w:tcBorders>
              <w:top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</w:tr>
      <w:tr w:rsidR="001E79E0" w:rsidRPr="001E79E0" w:rsidTr="005404D8">
        <w:trPr>
          <w:trHeight w:val="58"/>
        </w:trPr>
        <w:tc>
          <w:tcPr>
            <w:tcW w:w="1821" w:type="dxa"/>
            <w:gridSpan w:val="7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 xml:space="preserve">*) Vyznačuje sa </w:t>
            </w:r>
          </w:p>
        </w:tc>
        <w:tc>
          <w:tcPr>
            <w:tcW w:w="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  <w:t>x</w:t>
            </w:r>
          </w:p>
        </w:tc>
        <w:tc>
          <w:tcPr>
            <w:tcW w:w="240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1995" w:type="dxa"/>
            <w:gridSpan w:val="8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250" w:type="dxa"/>
            <w:gridSpan w:val="9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490" w:type="dxa"/>
            <w:gridSpan w:val="10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21"/>
                <w:szCs w:val="21"/>
                <w:lang w:eastAsia="ar-SA"/>
              </w:rPr>
            </w:pPr>
          </w:p>
        </w:tc>
        <w:tc>
          <w:tcPr>
            <w:tcW w:w="255" w:type="dxa"/>
            <w:gridSpan w:val="2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4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60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</w:tr>
    </w:tbl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pageBreakBefore/>
        <w:suppressAutoHyphens/>
        <w:spacing w:after="0" w:line="240" w:lineRule="auto"/>
        <w:rPr>
          <w:rFonts w:ascii="Arial Narrow" w:eastAsia="Times New Roman" w:hAnsi="Arial Narrow" w:cs="Times New Roman"/>
          <w:b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lastRenderedPageBreak/>
        <w:t>A/b. Opis hospodárskej činnosti účtovnej jednotky: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ind w:left="390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uskutočňovanie stavieb a ich zmien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ind w:left="390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sprostredkovateľská činnosť v oblasti obchodu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ind w:left="390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kúpa tovaru – kameniva a štrkof na účely jeho predaja konečnému spotrebiteľovi (maloobchod) alebo iným prevádzkovateľom živnosti (veľkoobchod)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ind w:left="390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vykonávanie trhacích prác</w:t>
      </w:r>
    </w:p>
    <w:p w:rsidR="001E79E0" w:rsidRPr="001E79E0" w:rsidRDefault="001E79E0" w:rsidP="001E79E0">
      <w:pPr>
        <w:suppressAutoHyphens/>
        <w:spacing w:after="0" w:line="240" w:lineRule="auto"/>
        <w:ind w:left="1003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sz w:val="18"/>
          <w:szCs w:val="18"/>
          <w:shd w:val="clear" w:color="auto" w:fill="FFFFFF"/>
          <w:lang w:eastAsia="ar-SA"/>
        </w:rPr>
        <w:t>A/c. Informácie o počte zamestnancov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758"/>
        <w:gridCol w:w="3504"/>
      </w:tblGrid>
      <w:tr w:rsidR="001E79E0" w:rsidRPr="001E79E0" w:rsidTr="005404D8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 položky</w:t>
            </w:r>
          </w:p>
        </w:tc>
        <w:tc>
          <w:tcPr>
            <w:tcW w:w="275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</w:t>
            </w:r>
          </w:p>
        </w:tc>
        <w:tc>
          <w:tcPr>
            <w:tcW w:w="35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predchádzajúce účtovné obdobie</w:t>
            </w:r>
          </w:p>
        </w:tc>
      </w:tr>
      <w:tr w:rsidR="001E79E0" w:rsidRPr="001E79E0" w:rsidTr="005404D8">
        <w:trPr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Priemerný prepočítaný počet zamestnancov</w:t>
            </w:r>
          </w:p>
        </w:tc>
        <w:tc>
          <w:tcPr>
            <w:tcW w:w="27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5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285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Stav zamestnancov ku dňu, ku ktorému sa zostavuje účtovná závierka, z toho: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285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počet vedúcich zamestnancov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5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</w:tbl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A/d. Účtovná jednotka neobmedzene ručiacim spoločníkom v iných účtovných jednotkách </w:t>
      </w:r>
    </w:p>
    <w:p w:rsidR="001E79E0" w:rsidRPr="001E79E0" w:rsidRDefault="001E79E0" w:rsidP="001E79E0">
      <w:pPr>
        <w:tabs>
          <w:tab w:val="left" w:pos="375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- 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nie je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.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A/e. Právny dôvod na zostavenie účtovnej závierky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Účtovná závierka je zostavená ako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riadna.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  <w:t xml:space="preserve"> 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Účtovná závierka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bola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zostavená z nepretržitého pokračovania činnosti spoločnosti.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Účtovná závierka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nebola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zostavená pri vstupe do likvidácie – konkurzu.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A/f.  Dátum schválenia účtovnej závierky za bezprostredne predchádzajúce účtovné obdobie </w:t>
      </w:r>
    </w:p>
    <w:p w:rsidR="001E79E0" w:rsidRPr="001E79E0" w:rsidRDefault="001E79E0" w:rsidP="001E79E0">
      <w:pPr>
        <w:tabs>
          <w:tab w:val="left" w:pos="39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Účtovná závierka za rok 2020 bola schválená dňa 21.6.2021.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B/a. Štatutárne, dozorné a iné orgány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Štatutárny orgán: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>Konateľ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Meno a priezvisko: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Marek Čupka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Bydlisko: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>M. R. Štefánika1250, 974 01 Revúca, Slovensko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B/b. Informácie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 o štruktúre spoločníkov,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 akcionárov ku dňu, ku ktorému sa zostavuje účtovná závierka a o štruktúre spoločníkov, akcionárov do dňa jej zmeny vzniknutej v priebehu účtovného obdobia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86"/>
        <w:gridCol w:w="1658"/>
        <w:gridCol w:w="1658"/>
        <w:gridCol w:w="1808"/>
        <w:gridCol w:w="2208"/>
      </w:tblGrid>
      <w:tr w:rsidR="001E79E0" w:rsidRPr="001E79E0" w:rsidTr="005404D8">
        <w:trPr>
          <w:trHeight w:val="231"/>
          <w:jc w:val="center"/>
        </w:trPr>
        <w:tc>
          <w:tcPr>
            <w:tcW w:w="268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Spoločník, akcionár</w:t>
            </w:r>
          </w:p>
        </w:tc>
        <w:tc>
          <w:tcPr>
            <w:tcW w:w="33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Výška podielu na základnom imaní</w:t>
            </w:r>
          </w:p>
        </w:tc>
        <w:tc>
          <w:tcPr>
            <w:tcW w:w="18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Podiel na hlasovacích</w:t>
            </w: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br/>
              <w:t>právach v %</w:t>
            </w:r>
          </w:p>
        </w:tc>
        <w:tc>
          <w:tcPr>
            <w:tcW w:w="22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Iný podiel na ostatných položkách VI ako na ZI v %</w:t>
            </w:r>
          </w:p>
        </w:tc>
      </w:tr>
      <w:tr w:rsidR="001E79E0" w:rsidRPr="001E79E0" w:rsidTr="005404D8">
        <w:trPr>
          <w:trHeight w:val="231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absolútne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v %</w:t>
            </w:r>
          </w:p>
        </w:tc>
        <w:tc>
          <w:tcPr>
            <w:tcW w:w="1808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2208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</w:tr>
      <w:tr w:rsidR="001E79E0" w:rsidRPr="001E79E0" w:rsidTr="005404D8">
        <w:trPr>
          <w:trHeight w:val="107"/>
          <w:jc w:val="center"/>
        </w:trPr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4"/>
                <w:szCs w:val="18"/>
                <w:lang w:eastAsia="ar-SA"/>
              </w:rPr>
              <w:t>a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4"/>
                <w:szCs w:val="18"/>
                <w:lang w:eastAsia="ar-SA"/>
              </w:rPr>
              <w:t>b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4"/>
                <w:szCs w:val="18"/>
                <w:lang w:eastAsia="ar-SA"/>
              </w:rPr>
              <w:t>c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4"/>
                <w:szCs w:val="18"/>
                <w:lang w:eastAsia="ar-SA"/>
              </w:rPr>
              <w:t>d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4"/>
                <w:szCs w:val="18"/>
                <w:lang w:eastAsia="ar-SA"/>
              </w:rPr>
              <w:t>e</w:t>
            </w:r>
          </w:p>
        </w:tc>
      </w:tr>
      <w:tr w:rsidR="001E79E0" w:rsidRPr="001E79E0" w:rsidTr="005404D8">
        <w:trPr>
          <w:trHeight w:val="278"/>
          <w:jc w:val="center"/>
        </w:trPr>
        <w:tc>
          <w:tcPr>
            <w:tcW w:w="26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 xml:space="preserve">Marek Čupka 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5 000</w:t>
            </w:r>
          </w:p>
        </w:tc>
        <w:tc>
          <w:tcPr>
            <w:tcW w:w="1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100</w:t>
            </w:r>
          </w:p>
        </w:tc>
        <w:tc>
          <w:tcPr>
            <w:tcW w:w="18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100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100</w:t>
            </w:r>
          </w:p>
        </w:tc>
      </w:tr>
      <w:tr w:rsidR="001E79E0" w:rsidRPr="001E79E0" w:rsidTr="005404D8">
        <w:trPr>
          <w:trHeight w:val="278"/>
          <w:jc w:val="center"/>
        </w:trPr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Spolu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5 000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100</w:t>
            </w: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100</w:t>
            </w:r>
          </w:p>
        </w:tc>
      </w:tr>
    </w:tbl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C.   Účtovná jednotka súčasťou konsolidovaného celku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-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nie je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D.,E.Informácie o účtovných zásadách a metódach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  <w:t>E.a) Účtovná jednotka bude nepretržite pokračovať vo svojej činnosti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  <w:t>E.b) Zmena účtovných metód a zásad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>Účtovné metódy a zásady boli aplikované v rámci platného zákona o účtovníctve bez zmien.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E.c) Spôsob oceňovania jednotlivých zložiek majetku a záväzkov: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  <w:t xml:space="preserve">E.c.1) 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nenakupovala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v bežnom roku dlhodobý nehmotný majetok.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E.c.2) 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netvorila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vlastnou činnosťou v bežnom roku dlhodobý nehmotný majetok.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E.c.3) 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neobstarala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iným spôsobom v bežnom roku dlhodobý nehmotný majetok.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E.c.4) 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obstarala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v bežnom roku </w:t>
      </w:r>
      <w:r w:rsidRPr="001E79E0">
        <w:rPr>
          <w:rFonts w:ascii="Arial Narrow" w:eastAsia="Times New Roman" w:hAnsi="Arial Narrow" w:cs="Times New Roman"/>
          <w:sz w:val="18"/>
          <w:szCs w:val="18"/>
          <w:u w:val="single"/>
          <w:lang w:eastAsia="ar-SA"/>
        </w:rPr>
        <w:t>dlhodobý hmotný majetok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– nákladné motorové vozidlo a tento ocenila v obstarávacej  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  cene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E.c.5)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neobstarala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vlastnou činnosťou v bežnom roku  dlhodobý hmotný majetok.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E.c.6)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neobstarala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iným spôsobom v bežnom roku dlhodobý hmotný majetok.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E.c.7)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Spoločnosť v bežnom roku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nevlastní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dlhodobý finančný majetok.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E.c.8)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Spoločnosť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nakupovala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zásoby.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 Účtovanie obstarania a úbytku zásob - pri účtovaní zásob postupovala Spoločnosť podľa postupov účtovania – účtovanie zásob 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  <w:t xml:space="preserve">  spôsobom B. Nakupované zásoby oceňovala Spoločnosť obstarávacou cenou (cenou obstarania vrátane nákladov súvisiacich s  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                  obstaraním, napr. dopravné služby). 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E.c.9)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Spoločnosť v bežnom roku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nevytvorila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zásoby vlastnou činnosťou.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E.c.10) 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Spoločnosť v bežnom roku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neobstarala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zásoby iným spôsobom.</w:t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ab/>
      </w:r>
    </w:p>
    <w:p w:rsidR="001E79E0" w:rsidRPr="001E79E0" w:rsidRDefault="001E79E0" w:rsidP="001E79E0">
      <w:pPr>
        <w:tabs>
          <w:tab w:val="left" w:pos="360"/>
        </w:tabs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 xml:space="preserve">        F/a1.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Informácie </w:t>
      </w:r>
      <w:r w:rsidRPr="001E79E0">
        <w:rPr>
          <w:rFonts w:ascii="Arial Narrow" w:eastAsia="Times New Roman" w:hAnsi="Arial Narrow" w:cs="Times New Roman"/>
          <w:sz w:val="18"/>
          <w:szCs w:val="18"/>
          <w:shd w:val="clear" w:color="auto" w:fill="FFFFFF"/>
          <w:lang w:eastAsia="ar-SA"/>
        </w:rPr>
        <w:t xml:space="preserve"> o dlhodobom nehmotnom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majetku: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nemá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 takýto majetok </w:t>
      </w: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" w:eastAsia="Lucida Sans Unicode" w:hAnsi="Arial" w:cs="Tahoma"/>
          <w:b/>
          <w:bCs/>
          <w:sz w:val="18"/>
          <w:szCs w:val="18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" w:eastAsia="Lucida Sans Unicode" w:hAnsi="Arial" w:cs="Tahoma"/>
          <w:b/>
          <w:bCs/>
          <w:sz w:val="18"/>
          <w:szCs w:val="18"/>
          <w:lang w:eastAsia="ar-SA"/>
        </w:rPr>
      </w:pPr>
      <w:r w:rsidRPr="001E79E0">
        <w:rPr>
          <w:rFonts w:ascii="Arial" w:eastAsia="Lucida Sans Unicode" w:hAnsi="Arial" w:cs="Tahoma"/>
          <w:b/>
          <w:bCs/>
          <w:sz w:val="18"/>
          <w:szCs w:val="18"/>
          <w:lang w:eastAsia="ar-SA"/>
        </w:rPr>
        <w:t xml:space="preserve">F/a2. Informácie </w:t>
      </w:r>
      <w:r w:rsidRPr="001E79E0">
        <w:rPr>
          <w:rFonts w:ascii="Arial" w:eastAsia="Lucida Sans Unicode" w:hAnsi="Arial" w:cs="Tahoma"/>
          <w:b/>
          <w:bCs/>
          <w:sz w:val="18"/>
          <w:szCs w:val="18"/>
          <w:shd w:val="clear" w:color="auto" w:fill="FFFFFF"/>
          <w:lang w:eastAsia="ar-SA"/>
        </w:rPr>
        <w:t xml:space="preserve"> o dlhodobom hmotnom</w:t>
      </w:r>
      <w:r w:rsidRPr="001E79E0">
        <w:rPr>
          <w:rFonts w:ascii="Arial" w:eastAsia="Lucida Sans Unicode" w:hAnsi="Arial" w:cs="Tahoma"/>
          <w:b/>
          <w:bCs/>
          <w:sz w:val="18"/>
          <w:szCs w:val="18"/>
          <w:lang w:eastAsia="ar-SA"/>
        </w:rPr>
        <w:t xml:space="preserve"> majetku: </w:t>
      </w:r>
    </w:p>
    <w:tbl>
      <w:tblPr>
        <w:tblW w:w="9735" w:type="dxa"/>
        <w:tblInd w:w="-35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75"/>
        <w:gridCol w:w="735"/>
        <w:gridCol w:w="885"/>
        <w:gridCol w:w="870"/>
        <w:gridCol w:w="900"/>
        <w:gridCol w:w="885"/>
        <w:gridCol w:w="30"/>
        <w:gridCol w:w="825"/>
        <w:gridCol w:w="30"/>
        <w:gridCol w:w="660"/>
        <w:gridCol w:w="975"/>
        <w:gridCol w:w="1065"/>
      </w:tblGrid>
      <w:tr w:rsidR="001E79E0" w:rsidRPr="001E79E0" w:rsidTr="005404D8">
        <w:trPr>
          <w:trHeight w:val="145"/>
          <w:tblHeader/>
        </w:trPr>
        <w:tc>
          <w:tcPr>
            <w:tcW w:w="187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Dlhodobý hmotný majetok</w:t>
            </w:r>
          </w:p>
        </w:tc>
        <w:tc>
          <w:tcPr>
            <w:tcW w:w="7860" w:type="dxa"/>
            <w:gridSpan w:val="11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shd w:val="clear" w:color="auto" w:fill="FFFFFF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Bežné účtovné obdobie</w:t>
            </w: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shd w:val="clear" w:color="auto" w:fill="FFFFFF"/>
                <w:lang w:eastAsia="ar-SA"/>
              </w:rPr>
              <w:t xml:space="preserve"> (2022)</w:t>
            </w:r>
          </w:p>
        </w:tc>
      </w:tr>
      <w:tr w:rsidR="001E79E0" w:rsidRPr="001E79E0" w:rsidTr="005404D8">
        <w:trPr>
          <w:trHeight w:val="722"/>
        </w:trPr>
        <w:tc>
          <w:tcPr>
            <w:tcW w:w="1875" w:type="dxa"/>
            <w:vMerge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Pozemky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Stavby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Sam. hnut. veci a súbory hnut. vecí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Pozemky</w:t>
            </w:r>
          </w:p>
        </w:tc>
        <w:tc>
          <w:tcPr>
            <w:tcW w:w="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Zákl. stádo a ťažné zvieratá</w:t>
            </w:r>
          </w:p>
        </w:tc>
        <w:tc>
          <w:tcPr>
            <w:tcW w:w="8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Ostatný DHM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Obsta-rávaný DHM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Poskytnuté preddavky na DHM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Spolu</w:t>
            </w:r>
          </w:p>
        </w:tc>
      </w:tr>
      <w:tr w:rsidR="001E79E0" w:rsidRPr="001E79E0" w:rsidTr="005404D8">
        <w:trPr>
          <w:trHeight w:val="155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A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b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c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d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E</w:t>
            </w:r>
          </w:p>
        </w:tc>
        <w:tc>
          <w:tcPr>
            <w:tcW w:w="91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f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g</w:t>
            </w:r>
          </w:p>
        </w:tc>
        <w:tc>
          <w:tcPr>
            <w:tcW w:w="690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h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i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Cs/>
                <w:sz w:val="14"/>
                <w:szCs w:val="18"/>
                <w:lang w:eastAsia="ar-SA"/>
              </w:rPr>
              <w:t>j</w:t>
            </w:r>
          </w:p>
        </w:tc>
      </w:tr>
      <w:tr w:rsidR="001E79E0" w:rsidRPr="001E79E0" w:rsidTr="005404D8">
        <w:trPr>
          <w:trHeight w:val="278"/>
        </w:trPr>
        <w:tc>
          <w:tcPr>
            <w:tcW w:w="9735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  <w:t>Prvotné ocenenie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 na zač.ÚO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257 110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10 230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267 340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  <w:t>Prírastky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114 753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114 753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  <w:t>Úbytky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4 980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4 980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 na konci  ÚO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366 884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10 230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377 144</w:t>
            </w:r>
          </w:p>
        </w:tc>
      </w:tr>
      <w:tr w:rsidR="001E79E0" w:rsidRPr="001E79E0" w:rsidTr="005404D8">
        <w:trPr>
          <w:trHeight w:val="278"/>
        </w:trPr>
        <w:tc>
          <w:tcPr>
            <w:tcW w:w="9735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sz w:val="18"/>
                <w:szCs w:val="18"/>
                <w:lang w:eastAsia="ar-SA"/>
              </w:rPr>
              <w:t xml:space="preserve">Oprávky                                       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 na zač.ÚO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100 240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5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100 240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  <w:t>Prírastky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71 270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71 270</w:t>
            </w:r>
          </w:p>
        </w:tc>
      </w:tr>
      <w:tr w:rsidR="001E79E0" w:rsidRPr="001E79E0" w:rsidTr="005404D8">
        <w:trPr>
          <w:trHeight w:val="278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  <w:t>Úbytky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4 980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4 980</w:t>
            </w:r>
          </w:p>
        </w:tc>
      </w:tr>
      <w:tr w:rsidR="001E79E0" w:rsidRPr="001E79E0" w:rsidTr="005404D8">
        <w:trPr>
          <w:trHeight w:val="290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 na konci ÚO</w:t>
            </w:r>
          </w:p>
        </w:tc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166 530</w:t>
            </w:r>
          </w:p>
        </w:tc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55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9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166 530</w:t>
            </w:r>
          </w:p>
        </w:tc>
      </w:tr>
      <w:tr w:rsidR="001E79E0" w:rsidRPr="001E79E0" w:rsidTr="005404D8">
        <w:trPr>
          <w:trHeight w:val="290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sz w:val="18"/>
                <w:szCs w:val="18"/>
                <w:lang w:eastAsia="ar-SA"/>
              </w:rPr>
              <w:t>Zostatková hodnota </w:t>
            </w:r>
          </w:p>
        </w:tc>
        <w:tc>
          <w:tcPr>
            <w:tcW w:w="735" w:type="dxa"/>
            <w:tcBorders>
              <w:top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885" w:type="dxa"/>
            <w:tcBorders>
              <w:top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87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90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885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855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975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290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 na zač.ÚO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167 100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167 100</w:t>
            </w:r>
          </w:p>
        </w:tc>
      </w:tr>
      <w:tr w:rsidR="001E79E0" w:rsidRPr="001E79E0" w:rsidTr="005404D8">
        <w:trPr>
          <w:trHeight w:val="290"/>
        </w:trPr>
        <w:tc>
          <w:tcPr>
            <w:tcW w:w="18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 Narrow"/>
                <w:b/>
                <w:bCs/>
                <w:sz w:val="18"/>
                <w:szCs w:val="18"/>
                <w:lang w:eastAsia="ar-SA"/>
              </w:rPr>
              <w:t>Stav na konci ÚO</w:t>
            </w:r>
          </w:p>
        </w:tc>
        <w:tc>
          <w:tcPr>
            <w:tcW w:w="73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7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210 583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8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855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690" w:type="dxa"/>
            <w:gridSpan w:val="2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975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210 583</w:t>
            </w:r>
          </w:p>
        </w:tc>
      </w:tr>
    </w:tbl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 xml:space="preserve">Spoločnosť NEOBSTARÁVA nehnuteľnosti na predaj. 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>F/b.  Spôsob a výška poistenia dlhodobého nehmotného majetku a dlhodobého hmotného majetku</w:t>
      </w:r>
    </w:p>
    <w:p w:rsidR="001E79E0" w:rsidRPr="001E79E0" w:rsidRDefault="001E79E0" w:rsidP="001E79E0">
      <w:pPr>
        <w:tabs>
          <w:tab w:val="left" w:pos="465"/>
        </w:tabs>
        <w:suppressAutoHyphens/>
        <w:spacing w:after="6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 xml:space="preserve">Majetok je poistený u komerčných poisťovní na základe lízingovej zmluvy. Za rok 2022 uhradila poistné v sume </w:t>
      </w:r>
      <w:r w:rsidRPr="001E79E0">
        <w:rPr>
          <w:rFonts w:ascii="Arial Narrow" w:eastAsia="Times New Roman" w:hAnsi="Arial Narrow" w:cs="Times New Roman"/>
          <w:b/>
          <w:sz w:val="18"/>
          <w:szCs w:val="18"/>
          <w:lang w:eastAsia="ar-SA"/>
        </w:rPr>
        <w:t>8 861 €</w:t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</w:p>
    <w:p w:rsidR="001E79E0" w:rsidRPr="001E79E0" w:rsidRDefault="001E79E0" w:rsidP="001E79E0">
      <w:pPr>
        <w:tabs>
          <w:tab w:val="left" w:pos="465"/>
        </w:tabs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sz w:val="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sz w:val="18"/>
          <w:szCs w:val="18"/>
          <w:lang w:eastAsia="ar-SA"/>
        </w:rPr>
        <w:tab/>
      </w: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Lucida Sans Unicode" w:hAnsi="Arial Narrow" w:cs="Tahoma"/>
          <w:sz w:val="18"/>
          <w:szCs w:val="18"/>
          <w:lang w:eastAsia="ar-SA"/>
        </w:rPr>
      </w:pPr>
      <w:r w:rsidRPr="001E79E0">
        <w:rPr>
          <w:rFonts w:ascii="Arial Narrow" w:eastAsia="Lucida Sans Unicode" w:hAnsi="Arial Narrow" w:cs="Tahoma"/>
          <w:b/>
          <w:bCs/>
          <w:sz w:val="18"/>
          <w:szCs w:val="18"/>
          <w:lang w:eastAsia="ar-SA"/>
        </w:rPr>
        <w:t xml:space="preserve">F/c. Informácie </w:t>
      </w:r>
      <w:r w:rsidRPr="001E79E0">
        <w:rPr>
          <w:rFonts w:ascii="Arial Narrow" w:eastAsia="Lucida Sans Unicode" w:hAnsi="Arial Narrow" w:cs="Tahoma"/>
          <w:b/>
          <w:bCs/>
          <w:sz w:val="18"/>
          <w:szCs w:val="18"/>
          <w:shd w:val="clear" w:color="auto" w:fill="FFFFFF"/>
          <w:lang w:eastAsia="ar-SA"/>
        </w:rPr>
        <w:t xml:space="preserve">o dlhodobom nehmotnom </w:t>
      </w:r>
      <w:r w:rsidRPr="001E79E0">
        <w:rPr>
          <w:rFonts w:ascii="Arial Narrow" w:eastAsia="Lucida Sans Unicode" w:hAnsi="Arial Narrow" w:cs="Tahoma"/>
          <w:b/>
          <w:bCs/>
          <w:sz w:val="18"/>
          <w:szCs w:val="18"/>
          <w:lang w:eastAsia="ar-SA"/>
        </w:rPr>
        <w:t>majetku a dlhodobom hmotnom majetku, na ktorý je zriadené záložné právo a o obchodnom majetku, pri ktorom má účtovná jednotka obmedzené právo s ním nakladať</w:t>
      </w:r>
      <w:r w:rsidRPr="001E79E0">
        <w:rPr>
          <w:rFonts w:ascii="Arial Narrow" w:eastAsia="Lucida Sans Unicode" w:hAnsi="Arial Narrow" w:cs="Tahoma"/>
          <w:sz w:val="18"/>
          <w:szCs w:val="18"/>
          <w:lang w:eastAsia="ar-SA"/>
        </w:rPr>
        <w:t xml:space="preserve">: </w:t>
      </w:r>
    </w:p>
    <w:p w:rsidR="001E79E0" w:rsidRPr="001E79E0" w:rsidRDefault="001E79E0" w:rsidP="001E79E0">
      <w:pPr>
        <w:tabs>
          <w:tab w:val="left" w:pos="480"/>
        </w:tabs>
        <w:suppressAutoHyphens/>
        <w:spacing w:after="60" w:line="240" w:lineRule="auto"/>
        <w:rPr>
          <w:rFonts w:ascii="Arial Narrow" w:eastAsia="Times New Roman" w:hAnsi="Arial Narrow" w:cs="Times New Roman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color w:val="000000"/>
          <w:sz w:val="18"/>
          <w:szCs w:val="18"/>
          <w:lang w:eastAsia="ar-SA"/>
        </w:rPr>
        <w:tab/>
        <w:t xml:space="preserve">Záložné právo je uložené na predmety lízingu – nákladné vozidlá a mechanizmy. </w:t>
      </w:r>
    </w:p>
    <w:p w:rsidR="001E79E0" w:rsidRPr="001E79E0" w:rsidRDefault="001E79E0" w:rsidP="001E79E0">
      <w:pPr>
        <w:tabs>
          <w:tab w:val="left" w:pos="480"/>
        </w:tabs>
        <w:suppressAutoHyphens/>
        <w:spacing w:after="60" w:line="240" w:lineRule="auto"/>
        <w:rPr>
          <w:rFonts w:ascii="Times New Roman" w:eastAsia="Times New Roman" w:hAnsi="Times New Roman" w:cs="Times New Roman"/>
          <w:b/>
          <w:bCs/>
          <w:sz w:val="2"/>
          <w:szCs w:val="18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F/i.  Informácie o dlhodobom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finančnom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 majetku:  SPOLOČNOSŤ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lang w:eastAsia="ar-SA"/>
        </w:rPr>
        <w:t>NEVLASTNÍ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 w:val="16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u w:val="single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F/o. Informácie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shd w:val="clear" w:color="auto" w:fill="FFFFFF"/>
          <w:lang w:eastAsia="ar-SA"/>
        </w:rPr>
        <w:t>o opravných položkách k zásobám: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 SPOLOČNOSŤ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u w:val="single"/>
          <w:lang w:eastAsia="ar-SA"/>
        </w:rPr>
        <w:t>NETVORÍ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 OPRAVNÉ POLOŽKY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 w:val="16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F/p. Informácie o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shd w:val="clear" w:color="auto" w:fill="FFFFFF"/>
          <w:lang w:eastAsia="ar-SA"/>
        </w:rPr>
        <w:t>zásobách, na ktoré je zriadené záložné právo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 a o zásobách, pri ktorých má účtovná            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       jednotka obmedzené právo s nimi nakladať:</w:t>
      </w:r>
    </w:p>
    <w:p w:rsidR="001E79E0" w:rsidRPr="001E79E0" w:rsidRDefault="001E79E0" w:rsidP="001E79E0">
      <w:pPr>
        <w:tabs>
          <w:tab w:val="left" w:pos="480"/>
        </w:tabs>
        <w:suppressAutoHyphens/>
        <w:spacing w:after="60" w:line="240" w:lineRule="auto"/>
        <w:rPr>
          <w:rFonts w:ascii="Arial Narrow" w:eastAsia="Times New Roman" w:hAnsi="Arial Narrow" w:cs="Times New Roman"/>
          <w:color w:val="000000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color w:val="000000"/>
          <w:sz w:val="18"/>
          <w:szCs w:val="18"/>
          <w:lang w:eastAsia="ar-SA"/>
        </w:rPr>
        <w:tab/>
        <w:t xml:space="preserve">Spoločnosť </w:t>
      </w:r>
      <w:r w:rsidRPr="001E79E0">
        <w:rPr>
          <w:rFonts w:ascii="Arial Narrow" w:eastAsia="Times New Roman" w:hAnsi="Arial Narrow" w:cs="Times New Roman"/>
          <w:b/>
          <w:color w:val="000000"/>
          <w:sz w:val="18"/>
          <w:szCs w:val="18"/>
          <w:u w:val="single"/>
          <w:lang w:eastAsia="ar-SA"/>
        </w:rPr>
        <w:t>nemá</w:t>
      </w:r>
      <w:r w:rsidRPr="001E79E0">
        <w:rPr>
          <w:rFonts w:ascii="Arial Narrow" w:eastAsia="Times New Roman" w:hAnsi="Arial Narrow" w:cs="Times New Roman"/>
          <w:color w:val="000000"/>
          <w:sz w:val="18"/>
          <w:szCs w:val="18"/>
          <w:lang w:eastAsia="ar-SA"/>
        </w:rPr>
        <w:t xml:space="preserve"> zriadené záložné právo k zásobám.</w:t>
      </w:r>
    </w:p>
    <w:p w:rsidR="001E79E0" w:rsidRPr="001E79E0" w:rsidRDefault="001E79E0" w:rsidP="001E79E0">
      <w:pPr>
        <w:tabs>
          <w:tab w:val="left" w:pos="420"/>
        </w:tabs>
        <w:suppressAutoHyphens/>
        <w:spacing w:after="0" w:line="240" w:lineRule="auto"/>
        <w:rPr>
          <w:rFonts w:ascii="Arial Narrow" w:eastAsia="Times New Roman" w:hAnsi="Arial Narrow" w:cs="Times New Roman"/>
          <w:color w:val="000000"/>
          <w:sz w:val="12"/>
          <w:szCs w:val="18"/>
          <w:lang w:eastAsia="ar-SA"/>
        </w:rPr>
      </w:pPr>
    </w:p>
    <w:p w:rsidR="001E79E0" w:rsidRPr="001E79E0" w:rsidRDefault="001E79E0" w:rsidP="001E79E0">
      <w:pPr>
        <w:tabs>
          <w:tab w:val="left" w:pos="420"/>
        </w:tabs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color w:val="000000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color w:val="000000"/>
          <w:sz w:val="18"/>
          <w:szCs w:val="18"/>
          <w:lang w:eastAsia="ar-SA"/>
        </w:rPr>
        <w:t xml:space="preserve">F/q. Informácie </w:t>
      </w:r>
      <w:r w:rsidRPr="001E79E0">
        <w:rPr>
          <w:rFonts w:ascii="Arial Narrow" w:eastAsia="Times New Roman" w:hAnsi="Arial Narrow" w:cs="Times New Roman"/>
          <w:b/>
          <w:bCs/>
          <w:color w:val="000000"/>
          <w:sz w:val="18"/>
          <w:szCs w:val="18"/>
          <w:shd w:val="clear" w:color="auto" w:fill="FFFFFF"/>
          <w:lang w:eastAsia="ar-SA"/>
        </w:rPr>
        <w:t>o zákazkovej výrobe</w:t>
      </w:r>
      <w:r w:rsidRPr="001E79E0">
        <w:rPr>
          <w:rFonts w:ascii="Arial Narrow" w:eastAsia="Times New Roman" w:hAnsi="Arial Narrow" w:cs="Times New Roman"/>
          <w:b/>
          <w:bCs/>
          <w:color w:val="000000"/>
          <w:sz w:val="18"/>
          <w:szCs w:val="18"/>
          <w:lang w:eastAsia="ar-SA"/>
        </w:rPr>
        <w:t xml:space="preserve"> a o zákazkovej výstavbe nehnuteľnosti určenej na predaj: SPOLOČNOSŤ </w:t>
      </w:r>
      <w:r w:rsidRPr="001E79E0">
        <w:rPr>
          <w:rFonts w:ascii="Arial Narrow" w:eastAsia="Times New Roman" w:hAnsi="Arial Narrow" w:cs="Times New Roman"/>
          <w:b/>
          <w:bCs/>
          <w:color w:val="000000"/>
          <w:sz w:val="18"/>
          <w:szCs w:val="18"/>
          <w:u w:val="single"/>
          <w:lang w:eastAsia="ar-SA"/>
        </w:rPr>
        <w:t>NEMÁ</w:t>
      </w:r>
      <w:r w:rsidRPr="001E79E0">
        <w:rPr>
          <w:rFonts w:ascii="Arial Narrow" w:eastAsia="Times New Roman" w:hAnsi="Arial Narrow" w:cs="Times New Roman"/>
          <w:b/>
          <w:bCs/>
          <w:color w:val="000000"/>
          <w:sz w:val="18"/>
          <w:szCs w:val="18"/>
          <w:lang w:eastAsia="ar-SA"/>
        </w:rPr>
        <w:t xml:space="preserve"> ZÁKAZKOVÚ VÝROBU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 w:val="8"/>
          <w:szCs w:val="18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6"/>
          <w:szCs w:val="18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F/r. Informácie o vývoji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opravnej položky k pohľadávkam –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shd w:val="clear" w:color="auto" w:fill="FFFFFF"/>
          <w:lang w:eastAsia="ar-SA"/>
        </w:rPr>
        <w:t>NETVORÍ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 OPRAVNÉ POLOŽKY K POHĽADÁVKAM</w:t>
      </w:r>
    </w:p>
    <w:p w:rsidR="001E79E0" w:rsidRPr="001E79E0" w:rsidRDefault="001E79E0" w:rsidP="001E79E0">
      <w:pPr>
        <w:widowControl w:val="0"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74"/>
        <w:gridCol w:w="2847"/>
        <w:gridCol w:w="3397"/>
      </w:tblGrid>
      <w:tr w:rsidR="001E79E0" w:rsidRPr="001E79E0" w:rsidTr="005404D8">
        <w:trPr>
          <w:jc w:val="center"/>
        </w:trPr>
        <w:tc>
          <w:tcPr>
            <w:tcW w:w="37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Pohľadávky podľa zostatkovej</w:t>
            </w:r>
          </w:p>
          <w:p w:rsidR="001E79E0" w:rsidRPr="001E79E0" w:rsidRDefault="001E79E0" w:rsidP="001E79E0">
            <w:pPr>
              <w:suppressAutoHyphens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doby splatnosti</w:t>
            </w:r>
          </w:p>
        </w:tc>
        <w:tc>
          <w:tcPr>
            <w:tcW w:w="28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 2022</w:t>
            </w:r>
          </w:p>
        </w:tc>
        <w:tc>
          <w:tcPr>
            <w:tcW w:w="33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predchádzajúce účtovné obdobie 2021</w:t>
            </w:r>
          </w:p>
        </w:tc>
      </w:tr>
      <w:tr w:rsidR="001E79E0" w:rsidRPr="001E79E0" w:rsidTr="005404D8">
        <w:trPr>
          <w:trHeight w:val="121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sz w:val="12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Cs/>
                <w:sz w:val="12"/>
                <w:szCs w:val="18"/>
                <w:lang w:eastAsia="ar-SA"/>
              </w:rPr>
              <w:t>a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sz w:val="12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Cs/>
                <w:sz w:val="12"/>
                <w:szCs w:val="18"/>
                <w:lang w:eastAsia="ar-SA"/>
              </w:rPr>
              <w:t>b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sz w:val="12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Cs/>
                <w:sz w:val="12"/>
                <w:szCs w:val="18"/>
                <w:lang w:eastAsia="ar-SA"/>
              </w:rPr>
              <w:t>c</w:t>
            </w:r>
          </w:p>
        </w:tc>
      </w:tr>
      <w:tr w:rsidR="001E79E0" w:rsidRPr="001E79E0" w:rsidTr="005404D8">
        <w:trPr>
          <w:trHeight w:val="340"/>
          <w:jc w:val="center"/>
        </w:trPr>
        <w:tc>
          <w:tcPr>
            <w:tcW w:w="377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Pohľadávky po lehote splatnosti</w:t>
            </w:r>
          </w:p>
        </w:tc>
        <w:tc>
          <w:tcPr>
            <w:tcW w:w="28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214 423</w:t>
            </w:r>
          </w:p>
        </w:tc>
        <w:tc>
          <w:tcPr>
            <w:tcW w:w="33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214 423</w:t>
            </w:r>
          </w:p>
        </w:tc>
      </w:tr>
      <w:tr w:rsidR="001E79E0" w:rsidRPr="001E79E0" w:rsidTr="005404D8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Pohľadávky so zostat. dobou splatnosti do jedného roka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303 614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311 101</w:t>
            </w:r>
          </w:p>
        </w:tc>
      </w:tr>
      <w:tr w:rsidR="001E79E0" w:rsidRPr="001E79E0" w:rsidTr="005404D8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18"/>
                <w:szCs w:val="18"/>
                <w:lang w:eastAsia="ar-SA"/>
              </w:rPr>
              <w:t>Krátkodobé pohľadávky spolu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518 037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525 524</w:t>
            </w:r>
          </w:p>
        </w:tc>
      </w:tr>
      <w:tr w:rsidR="001E79E0" w:rsidRPr="001E79E0" w:rsidTr="005404D8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Pohľadávky so zostat. dobou splatnosti1 rok až 5 rokov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0"/>
          <w:jc w:val="center"/>
        </w:trPr>
        <w:tc>
          <w:tcPr>
            <w:tcW w:w="37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18"/>
                <w:szCs w:val="18"/>
                <w:lang w:eastAsia="ar-SA"/>
              </w:rPr>
              <w:t>Dlhodobé pohľadávky spolu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33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0</w:t>
            </w:r>
          </w:p>
        </w:tc>
      </w:tr>
    </w:tbl>
    <w:p w:rsidR="001E79E0" w:rsidRPr="001E79E0" w:rsidRDefault="001E79E0" w:rsidP="001E79E0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F/t. Informácie o pohľadávkach zabezpečených záložným právom alebo inou formou zabezpečenia: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lang w:eastAsia="ar-SA"/>
        </w:rPr>
        <w:t>NEMÁ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 TAKÉTO POHĽADÁVKY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sz w:val="18"/>
          <w:szCs w:val="18"/>
          <w:u w:val="single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lastRenderedPageBreak/>
        <w:t xml:space="preserve">F/w. Informácie o krátkodobom finančnom majetku: 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u w:val="single"/>
          <w:lang w:eastAsia="ar-SA"/>
        </w:rPr>
        <w:t>NEMÁ</w:t>
      </w:r>
      <w:r w:rsidRPr="001E79E0">
        <w:rPr>
          <w:rFonts w:ascii="Arial Narrow" w:eastAsia="Times New Roman" w:hAnsi="Arial Narrow" w:cs="Times New Roman"/>
          <w:b/>
          <w:bCs/>
          <w:sz w:val="18"/>
          <w:szCs w:val="18"/>
          <w:lang w:eastAsia="ar-SA"/>
        </w:rPr>
        <w:t xml:space="preserve"> TAKÝTO MAJETOK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 w:val="10"/>
          <w:szCs w:val="18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F/zb. Informácie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o významných položkách časového rozlíšenia 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na strane aktív</w:t>
      </w:r>
    </w:p>
    <w:tbl>
      <w:tblPr>
        <w:tblW w:w="10028" w:type="dxa"/>
        <w:tblInd w:w="-28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35"/>
        <w:gridCol w:w="2640"/>
        <w:gridCol w:w="3053"/>
      </w:tblGrid>
      <w:tr w:rsidR="001E79E0" w:rsidRPr="001E79E0" w:rsidTr="005404D8">
        <w:tc>
          <w:tcPr>
            <w:tcW w:w="4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Opis položky časového rozlíšenia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 2022</w:t>
            </w:r>
          </w:p>
        </w:tc>
        <w:tc>
          <w:tcPr>
            <w:tcW w:w="30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predchádzajúce účtovné obdobie 2021</w:t>
            </w:r>
          </w:p>
        </w:tc>
      </w:tr>
      <w:tr w:rsidR="001E79E0" w:rsidRPr="001E79E0" w:rsidTr="005404D8">
        <w:trPr>
          <w:trHeight w:val="340"/>
        </w:trPr>
        <w:tc>
          <w:tcPr>
            <w:tcW w:w="43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b/>
                <w:sz w:val="18"/>
                <w:szCs w:val="18"/>
                <w:lang w:eastAsia="ar-SA"/>
              </w:rPr>
              <w:t>Náklady budúcich období krátkodobé, z toho: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305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263</w:t>
            </w:r>
          </w:p>
        </w:tc>
      </w:tr>
      <w:tr w:rsidR="001E79E0" w:rsidRPr="001E79E0" w:rsidTr="005404D8">
        <w:trPr>
          <w:trHeight w:val="340"/>
        </w:trPr>
        <w:tc>
          <w:tcPr>
            <w:tcW w:w="43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Poistenie motorových vozidiel</w:t>
            </w:r>
          </w:p>
        </w:tc>
        <w:tc>
          <w:tcPr>
            <w:tcW w:w="26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30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263</w:t>
            </w:r>
          </w:p>
        </w:tc>
      </w:tr>
      <w:tr w:rsidR="001E79E0" w:rsidRPr="001E79E0" w:rsidTr="005404D8">
        <w:trPr>
          <w:trHeight w:val="340"/>
        </w:trPr>
        <w:tc>
          <w:tcPr>
            <w:tcW w:w="433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Poistenie nehnuteľností</w:t>
            </w:r>
          </w:p>
        </w:tc>
        <w:tc>
          <w:tcPr>
            <w:tcW w:w="264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0"/>
        </w:trPr>
        <w:tc>
          <w:tcPr>
            <w:tcW w:w="433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Odborná literatúra, telekom  služby, upgr. softvér</w:t>
            </w:r>
          </w:p>
        </w:tc>
        <w:tc>
          <w:tcPr>
            <w:tcW w:w="264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0"/>
        </w:trPr>
        <w:tc>
          <w:tcPr>
            <w:tcW w:w="43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Arial"/>
                <w:sz w:val="18"/>
                <w:szCs w:val="18"/>
                <w:lang w:eastAsia="ar-SA"/>
              </w:rPr>
              <w:t>Nevyčerpaný mýtny popl.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</w:tbl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F/zc. Informácie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 o majetku prenajatom formou finančného prenájmu: NEMÁ TAKÝTO MAJETOK</w:t>
      </w:r>
    </w:p>
    <w:p w:rsidR="001E79E0" w:rsidRPr="001E79E0" w:rsidRDefault="001E79E0" w:rsidP="001E79E0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G/a3. Informácie o rozdelení účtovného zisku alebo o vysporiadaní účtovnej straty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0"/>
        <w:gridCol w:w="2938"/>
      </w:tblGrid>
      <w:tr w:rsidR="001E79E0" w:rsidRPr="001E79E0" w:rsidTr="005404D8">
        <w:trPr>
          <w:trHeight w:val="293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 položky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predch. ÚO 2021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shd w:val="clear" w:color="auto" w:fill="FFFFFF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Účtovn</w:t>
            </w: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shd w:val="clear" w:color="auto" w:fill="FFFFFF"/>
                <w:lang w:eastAsia="ar-SA"/>
              </w:rPr>
              <w:t xml:space="preserve">ý zisk 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4 572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Rozdelenie účtovného zisku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Bežné účtovné obdobie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Prídel do zákonného rezervného fondu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Úhrada straty minulých období</w:t>
            </w:r>
          </w:p>
        </w:tc>
        <w:tc>
          <w:tcPr>
            <w:tcW w:w="293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Prevod do nerozdelený zisk minulých rokov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42 295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Rozdelenie podielu na zisku spoločníkom, členom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70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Spolu</w:t>
            </w:r>
          </w:p>
        </w:tc>
        <w:tc>
          <w:tcPr>
            <w:tcW w:w="29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46 847</w:t>
            </w:r>
          </w:p>
        </w:tc>
      </w:tr>
    </w:tbl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G/b. Informácie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o rezervách –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shd w:val="clear" w:color="auto" w:fill="FFFFFF"/>
          <w:lang w:eastAsia="ar-SA"/>
        </w:rPr>
        <w:t>TVORILA v minulých rokoch na sanáciu ťažobného priestoru. Ich stav k 1.1 aj k 31. 12. 2022 je 125 000 €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G/c.) - d.) Informácie 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o záväzkoch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28"/>
        <w:gridCol w:w="2979"/>
        <w:gridCol w:w="3211"/>
      </w:tblGrid>
      <w:tr w:rsidR="001E79E0" w:rsidRPr="001E79E0" w:rsidTr="005404D8">
        <w:trPr>
          <w:trHeight w:val="279"/>
          <w:jc w:val="center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 položky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 2022</w:t>
            </w:r>
          </w:p>
        </w:tc>
        <w:tc>
          <w:tcPr>
            <w:tcW w:w="3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predch. ÚO 2021</w:t>
            </w:r>
          </w:p>
        </w:tc>
      </w:tr>
      <w:tr w:rsidR="001E79E0" w:rsidRPr="001E79E0" w:rsidTr="005404D8">
        <w:trPr>
          <w:trHeight w:val="295"/>
          <w:jc w:val="center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 xml:space="preserve">Prijaté zálohy 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2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60"/>
          <w:jc w:val="center"/>
        </w:trPr>
        <w:tc>
          <w:tcPr>
            <w:tcW w:w="38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Záväzky so zost. dobou splatnosti do jedného roka vrátane</w:t>
            </w:r>
          </w:p>
        </w:tc>
        <w:tc>
          <w:tcPr>
            <w:tcW w:w="297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309 081</w:t>
            </w:r>
          </w:p>
        </w:tc>
        <w:tc>
          <w:tcPr>
            <w:tcW w:w="321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300 046</w:t>
            </w:r>
          </w:p>
        </w:tc>
      </w:tr>
      <w:tr w:rsidR="001E79E0" w:rsidRPr="001E79E0" w:rsidTr="005404D8">
        <w:trPr>
          <w:trHeight w:val="305"/>
          <w:jc w:val="center"/>
        </w:trPr>
        <w:tc>
          <w:tcPr>
            <w:tcW w:w="3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Krátkodobé záväzky spolu</w:t>
            </w:r>
          </w:p>
        </w:tc>
        <w:tc>
          <w:tcPr>
            <w:tcW w:w="297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309 081</w:t>
            </w:r>
          </w:p>
        </w:tc>
        <w:tc>
          <w:tcPr>
            <w:tcW w:w="32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300 046</w:t>
            </w:r>
          </w:p>
        </w:tc>
      </w:tr>
      <w:tr w:rsidR="001E79E0" w:rsidRPr="001E79E0" w:rsidTr="005404D8">
        <w:trPr>
          <w:trHeight w:val="254"/>
          <w:jc w:val="center"/>
        </w:trPr>
        <w:tc>
          <w:tcPr>
            <w:tcW w:w="3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Záväzky so zost. dobou splatnosti 1 rok až 5 rokov</w:t>
            </w:r>
          </w:p>
        </w:tc>
        <w:tc>
          <w:tcPr>
            <w:tcW w:w="29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166 985</w:t>
            </w:r>
          </w:p>
        </w:tc>
        <w:tc>
          <w:tcPr>
            <w:tcW w:w="3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118 708</w:t>
            </w:r>
          </w:p>
        </w:tc>
      </w:tr>
      <w:tr w:rsidR="001E79E0" w:rsidRPr="001E79E0" w:rsidTr="005404D8">
        <w:trPr>
          <w:trHeight w:val="345"/>
          <w:jc w:val="center"/>
        </w:trPr>
        <w:tc>
          <w:tcPr>
            <w:tcW w:w="38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Dlhodobé záväzky spolu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166 985</w:t>
            </w:r>
          </w:p>
        </w:tc>
        <w:tc>
          <w:tcPr>
            <w:tcW w:w="32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118 708</w:t>
            </w:r>
          </w:p>
        </w:tc>
      </w:tr>
    </w:tbl>
    <w:p w:rsidR="001E79E0" w:rsidRPr="001E79E0" w:rsidRDefault="001E79E0" w:rsidP="001E79E0">
      <w:pPr>
        <w:keepNext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G/g. Informácie o záväzkoch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 zo sociálneho fondu: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  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5"/>
        <w:gridCol w:w="2537"/>
        <w:gridCol w:w="3096"/>
      </w:tblGrid>
      <w:tr w:rsidR="001E79E0" w:rsidRPr="001E79E0" w:rsidTr="005404D8">
        <w:trPr>
          <w:trHeight w:val="337"/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 položky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 2022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predch. ÚO 2021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43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Začiatočný stav sociálneho fondu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Tvorba sociálneho fondu na ťarchu nákladov</w:t>
            </w:r>
          </w:p>
        </w:tc>
        <w:tc>
          <w:tcPr>
            <w:tcW w:w="25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Tvorba sociálneho fondu zo zisku</w:t>
            </w:r>
          </w:p>
        </w:tc>
        <w:tc>
          <w:tcPr>
            <w:tcW w:w="25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Tvorba sociálneho fondu spolu</w:t>
            </w:r>
          </w:p>
        </w:tc>
        <w:tc>
          <w:tcPr>
            <w:tcW w:w="25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 xml:space="preserve">Čerpanie sociálneho fondu 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5"/>
          <w:jc w:val="center"/>
        </w:trPr>
        <w:tc>
          <w:tcPr>
            <w:tcW w:w="43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Konečný zostatok sociálneho fondu</w:t>
            </w:r>
          </w:p>
        </w:tc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</w:tr>
    </w:tbl>
    <w:p w:rsidR="001E79E0" w:rsidRPr="001E79E0" w:rsidRDefault="001E79E0" w:rsidP="001E79E0">
      <w:pPr>
        <w:widowControl w:val="0"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widowControl w:val="0"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</w:p>
    <w:p w:rsidR="001E79E0" w:rsidRPr="001E79E0" w:rsidRDefault="001E79E0" w:rsidP="001E79E0">
      <w:pPr>
        <w:keepNext/>
        <w:widowControl w:val="0"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G/i. Informácie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o bankových úveroch, pôžičkách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 a krátkodobých finančných výpomociach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50"/>
        <w:gridCol w:w="570"/>
        <w:gridCol w:w="1485"/>
        <w:gridCol w:w="998"/>
        <w:gridCol w:w="1735"/>
        <w:gridCol w:w="2380"/>
      </w:tblGrid>
      <w:tr w:rsidR="001E79E0" w:rsidRPr="001E79E0" w:rsidTr="005404D8">
        <w:trPr>
          <w:trHeight w:val="675"/>
          <w:jc w:val="center"/>
        </w:trPr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 položky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Mena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Úrok</w:t>
            </w: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br/>
              <w:t>p. a.</w:t>
            </w: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br/>
              <w:t>v %</w:t>
            </w:r>
          </w:p>
        </w:tc>
        <w:tc>
          <w:tcPr>
            <w:tcW w:w="9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Dátum splatnosti</w:t>
            </w:r>
          </w:p>
        </w:tc>
        <w:tc>
          <w:tcPr>
            <w:tcW w:w="17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Suma istiny v príslušnej mene za bežné účtovné obdobie</w:t>
            </w:r>
          </w:p>
        </w:tc>
        <w:tc>
          <w:tcPr>
            <w:tcW w:w="23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Suma istiny v príslušnej mene za bezprostredne predch. účtovné obdobie</w:t>
            </w:r>
          </w:p>
        </w:tc>
      </w:tr>
      <w:tr w:rsidR="001E79E0" w:rsidRPr="001E79E0" w:rsidTr="005404D8">
        <w:trPr>
          <w:trHeight w:val="163"/>
          <w:jc w:val="center"/>
        </w:trPr>
        <w:tc>
          <w:tcPr>
            <w:tcW w:w="2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Cs/>
                <w:sz w:val="18"/>
                <w:szCs w:val="18"/>
                <w:lang w:eastAsia="ar-SA"/>
              </w:rPr>
              <w:t>a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b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c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d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e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f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1001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Dlhodobé bankové úvery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eur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7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23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285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7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eur</w:t>
            </w:r>
          </w:p>
        </w:tc>
        <w:tc>
          <w:tcPr>
            <w:tcW w:w="148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99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7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238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0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1001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Krátkodobé bankové úvery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2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4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7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23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</w:tbl>
    <w:p w:rsidR="001E79E0" w:rsidRPr="001E79E0" w:rsidRDefault="001E79E0" w:rsidP="001E79E0">
      <w:pPr>
        <w:keepNext/>
        <w:suppressAutoHyphens/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G/j. Informácie o významných položkách časového rozlíšenia na strane pasív: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u w:val="single"/>
          <w:lang w:eastAsia="ar-SA"/>
        </w:rPr>
        <w:t>NEÚČTUJE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 O NICH</w:t>
      </w:r>
    </w:p>
    <w:p w:rsidR="001E79E0" w:rsidRPr="001E79E0" w:rsidRDefault="001E79E0" w:rsidP="001E79E0">
      <w:pPr>
        <w:widowControl w:val="0"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G/m. Informácie 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o majetku prenajatom formou finančného prenájmu</w:t>
      </w:r>
    </w:p>
    <w:tbl>
      <w:tblPr>
        <w:tblW w:w="10156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31"/>
        <w:gridCol w:w="1239"/>
        <w:gridCol w:w="1500"/>
        <w:gridCol w:w="1133"/>
        <w:gridCol w:w="1261"/>
        <w:gridCol w:w="1549"/>
        <w:gridCol w:w="1195"/>
        <w:gridCol w:w="76"/>
        <w:gridCol w:w="76"/>
        <w:gridCol w:w="76"/>
        <w:gridCol w:w="76"/>
        <w:gridCol w:w="76"/>
        <w:gridCol w:w="76"/>
        <w:gridCol w:w="76"/>
        <w:gridCol w:w="76"/>
        <w:gridCol w:w="30"/>
        <w:gridCol w:w="10"/>
      </w:tblGrid>
      <w:tr w:rsidR="001E79E0" w:rsidRPr="001E79E0" w:rsidTr="005404D8">
        <w:trPr>
          <w:trHeight w:val="273"/>
          <w:jc w:val="center"/>
        </w:trPr>
        <w:tc>
          <w:tcPr>
            <w:tcW w:w="16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</w:t>
            </w: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br/>
              <w:t>položky</w:t>
            </w:r>
          </w:p>
        </w:tc>
        <w:tc>
          <w:tcPr>
            <w:tcW w:w="387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 2022</w:t>
            </w:r>
          </w:p>
        </w:tc>
        <w:tc>
          <w:tcPr>
            <w:tcW w:w="4653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Bezprostredne predchádzajúce účtovné obdobie 2021</w:t>
            </w:r>
          </w:p>
        </w:tc>
      </w:tr>
      <w:tr w:rsidR="001E79E0" w:rsidRPr="001E79E0" w:rsidTr="005404D8">
        <w:trPr>
          <w:trHeight w:val="187"/>
          <w:jc w:val="center"/>
        </w:trPr>
        <w:tc>
          <w:tcPr>
            <w:tcW w:w="163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387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Splatnosť</w:t>
            </w:r>
          </w:p>
        </w:tc>
        <w:tc>
          <w:tcPr>
            <w:tcW w:w="4653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Splatnosť</w:t>
            </w:r>
          </w:p>
        </w:tc>
      </w:tr>
      <w:tr w:rsidR="001E79E0" w:rsidRPr="001E79E0" w:rsidTr="005404D8">
        <w:trPr>
          <w:trHeight w:val="319"/>
          <w:jc w:val="center"/>
        </w:trPr>
        <w:tc>
          <w:tcPr>
            <w:tcW w:w="163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2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do 1 r. vrátane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od 1 roka do 5 rokov vrátane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viac ako 5 r.</w:t>
            </w:r>
          </w:p>
        </w:tc>
        <w:tc>
          <w:tcPr>
            <w:tcW w:w="12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do 1 r. vrátane</w:t>
            </w:r>
          </w:p>
        </w:tc>
        <w:tc>
          <w:tcPr>
            <w:tcW w:w="15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od 1 roka do 5 rokov vrátane</w:t>
            </w:r>
          </w:p>
        </w:tc>
        <w:tc>
          <w:tcPr>
            <w:tcW w:w="1843" w:type="dxa"/>
            <w:gridSpan w:val="11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viac ako 5 r.</w:t>
            </w:r>
          </w:p>
        </w:tc>
      </w:tr>
      <w:tr w:rsidR="001E79E0" w:rsidRPr="001E79E0" w:rsidTr="005404D8">
        <w:trPr>
          <w:gridAfter w:val="2"/>
          <w:wAfter w:w="40" w:type="dxa"/>
          <w:trHeight w:val="80"/>
          <w:jc w:val="center"/>
        </w:trPr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a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b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c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d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e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f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4"/>
                <w:szCs w:val="18"/>
                <w:lang w:eastAsia="ar-SA"/>
              </w:rPr>
              <w:t>g</w:t>
            </w:r>
          </w:p>
        </w:tc>
        <w:tc>
          <w:tcPr>
            <w:tcW w:w="76" w:type="dxa"/>
            <w:tcBorders>
              <w:left w:val="single" w:sz="4" w:space="0" w:color="000000"/>
            </w:tcBorders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76" w:type="dxa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gridAfter w:val="1"/>
          <w:wAfter w:w="10" w:type="dxa"/>
          <w:trHeight w:val="330"/>
          <w:jc w:val="center"/>
        </w:trPr>
        <w:tc>
          <w:tcPr>
            <w:tcW w:w="16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Istina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166 986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118 108</w:t>
            </w:r>
          </w:p>
        </w:tc>
        <w:tc>
          <w:tcPr>
            <w:tcW w:w="183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</w:tr>
      <w:tr w:rsidR="001E79E0" w:rsidRPr="001E79E0" w:rsidTr="005404D8">
        <w:trPr>
          <w:gridAfter w:val="1"/>
          <w:wAfter w:w="10" w:type="dxa"/>
          <w:trHeight w:val="330"/>
          <w:jc w:val="center"/>
        </w:trPr>
        <w:tc>
          <w:tcPr>
            <w:tcW w:w="16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Finančný náklad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6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5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  <w:tc>
          <w:tcPr>
            <w:tcW w:w="1833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</w:tr>
      <w:tr w:rsidR="001E79E0" w:rsidRPr="001E79E0" w:rsidTr="005404D8">
        <w:trPr>
          <w:gridAfter w:val="1"/>
          <w:wAfter w:w="10" w:type="dxa"/>
          <w:trHeight w:val="345"/>
          <w:jc w:val="center"/>
        </w:trPr>
        <w:tc>
          <w:tcPr>
            <w:tcW w:w="16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Spolu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0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166 986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6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</w:p>
        </w:tc>
        <w:tc>
          <w:tcPr>
            <w:tcW w:w="1549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118 108</w:t>
            </w:r>
          </w:p>
        </w:tc>
        <w:tc>
          <w:tcPr>
            <w:tcW w:w="1833" w:type="dxa"/>
            <w:gridSpan w:val="10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x</w:t>
            </w:r>
          </w:p>
        </w:tc>
      </w:tr>
    </w:tbl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widowControl w:val="0"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H/a. Informácie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 xml:space="preserve"> o tržbách</w:t>
      </w:r>
    </w:p>
    <w:p w:rsidR="001E79E0" w:rsidRPr="001E79E0" w:rsidRDefault="001E79E0" w:rsidP="001E79E0">
      <w:pPr>
        <w:keepNext/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H/b. Informácie o zmene stavu vnútroorganizačných zásob: </w:t>
      </w:r>
    </w:p>
    <w:tbl>
      <w:tblPr>
        <w:tblW w:w="10030" w:type="dxa"/>
        <w:tblInd w:w="-221" w:type="dxa"/>
        <w:tblLayout w:type="fixed"/>
        <w:tblLook w:val="0000" w:firstRow="0" w:lastRow="0" w:firstColumn="0" w:lastColumn="0" w:noHBand="0" w:noVBand="0"/>
      </w:tblPr>
      <w:tblGrid>
        <w:gridCol w:w="2730"/>
        <w:gridCol w:w="1245"/>
        <w:gridCol w:w="1155"/>
        <w:gridCol w:w="1290"/>
        <w:gridCol w:w="1290"/>
        <w:gridCol w:w="2320"/>
      </w:tblGrid>
      <w:tr w:rsidR="001E79E0" w:rsidRPr="001E79E0" w:rsidTr="005404D8">
        <w:trPr>
          <w:trHeight w:val="792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Názov položky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Bežné účtovné obdobie</w:t>
            </w:r>
          </w:p>
        </w:tc>
        <w:tc>
          <w:tcPr>
            <w:tcW w:w="24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Bezprostredne predchádzajúce účtovné obdobie</w:t>
            </w:r>
          </w:p>
        </w:tc>
        <w:tc>
          <w:tcPr>
            <w:tcW w:w="36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 xml:space="preserve">Zmena stavu vnútroorganizačných zásob </w:t>
            </w:r>
          </w:p>
        </w:tc>
      </w:tr>
      <w:tr w:rsidR="001E79E0" w:rsidRPr="001E79E0" w:rsidTr="005404D8">
        <w:trPr>
          <w:trHeight w:val="495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Konečný zostatok</w:t>
            </w:r>
          </w:p>
        </w:tc>
        <w:tc>
          <w:tcPr>
            <w:tcW w:w="115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Konečný zostatok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Začiatočný stav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Bežné účtovné obdobie</w:t>
            </w: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Bezprostredne predch. účtovné obdobie</w:t>
            </w:r>
          </w:p>
        </w:tc>
      </w:tr>
      <w:tr w:rsidR="001E79E0" w:rsidRPr="001E79E0" w:rsidTr="005404D8">
        <w:trPr>
          <w:trHeight w:val="70"/>
        </w:trPr>
        <w:tc>
          <w:tcPr>
            <w:tcW w:w="273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a</w:t>
            </w:r>
          </w:p>
        </w:tc>
        <w:tc>
          <w:tcPr>
            <w:tcW w:w="124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b</w:t>
            </w:r>
          </w:p>
        </w:tc>
        <w:tc>
          <w:tcPr>
            <w:tcW w:w="115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c</w:t>
            </w:r>
          </w:p>
        </w:tc>
        <w:tc>
          <w:tcPr>
            <w:tcW w:w="129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d</w:t>
            </w:r>
          </w:p>
        </w:tc>
        <w:tc>
          <w:tcPr>
            <w:tcW w:w="129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e</w:t>
            </w:r>
          </w:p>
        </w:tc>
        <w:tc>
          <w:tcPr>
            <w:tcW w:w="2320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f</w:t>
            </w:r>
          </w:p>
        </w:tc>
      </w:tr>
      <w:tr w:rsidR="001E79E0" w:rsidRPr="001E79E0" w:rsidTr="005404D8">
        <w:trPr>
          <w:trHeight w:val="469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Nedokončená výroba </w:t>
            </w: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br/>
              <w:t>a polotovary vlastnej výroby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273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 xml:space="preserve">Materiál 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Tovar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5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Spolu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Manká a škody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Reprezentačné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Dary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273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Iné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488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Zmena stavu vnútroorganizačných zásob vo výkaze ziskov a strát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15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x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</w:tbl>
    <w:p w:rsidR="001E79E0" w:rsidRPr="001E79E0" w:rsidRDefault="001E79E0" w:rsidP="001E79E0">
      <w:pPr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lastRenderedPageBreak/>
        <w:t>H/g. Informácie o čistom obrate</w:t>
      </w:r>
    </w:p>
    <w:tbl>
      <w:tblPr>
        <w:tblW w:w="10018" w:type="dxa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40"/>
        <w:gridCol w:w="1714"/>
        <w:gridCol w:w="2264"/>
      </w:tblGrid>
      <w:tr w:rsidR="001E79E0" w:rsidRPr="001E79E0" w:rsidTr="005404D8">
        <w:trPr>
          <w:trHeight w:val="266"/>
          <w:jc w:val="center"/>
        </w:trPr>
        <w:tc>
          <w:tcPr>
            <w:tcW w:w="6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Názov položky</w:t>
            </w:r>
          </w:p>
        </w:tc>
        <w:tc>
          <w:tcPr>
            <w:tcW w:w="17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Bežné účtovné obdobie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Bezprostred. predch. ÚO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60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Tržby za vlastné výrobky</w:t>
            </w:r>
          </w:p>
        </w:tc>
        <w:tc>
          <w:tcPr>
            <w:tcW w:w="171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842 047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Tržby z predaja služieb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100 119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602 362</w:t>
            </w: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Tržby za tovar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2 770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Výnosy z nehnuteľnosti na predaj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3 800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Iné výnosy súvisiace s bežnou činnosťou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  <w:t>29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5"/>
          <w:jc w:val="center"/>
        </w:trPr>
        <w:tc>
          <w:tcPr>
            <w:tcW w:w="6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bCs/>
                <w:sz w:val="18"/>
                <w:szCs w:val="18"/>
                <w:lang w:eastAsia="ar-SA"/>
              </w:rPr>
              <w:t>Čistý obrat celkom</w:t>
            </w:r>
          </w:p>
        </w:tc>
        <w:tc>
          <w:tcPr>
            <w:tcW w:w="171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949 707</w:t>
            </w:r>
          </w:p>
        </w:tc>
        <w:tc>
          <w:tcPr>
            <w:tcW w:w="22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ar-SA"/>
              </w:rPr>
              <w:t>602 362</w:t>
            </w:r>
          </w:p>
        </w:tc>
      </w:tr>
    </w:tbl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Cs w:val="32"/>
          <w:lang w:eastAsia="ar-SA"/>
        </w:rPr>
      </w:pP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K. Informácie o podsúvahových položkách:  NEMÁ TAKÉ</w:t>
      </w:r>
    </w:p>
    <w:p w:rsidR="001E79E0" w:rsidRPr="001E79E0" w:rsidRDefault="001E79E0" w:rsidP="001E79E0">
      <w:pPr>
        <w:keepNext/>
        <w:widowControl w:val="0"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L. a.)Informácie o podmienených záväzkoch: NEMÁ TAKÉ</w:t>
      </w:r>
    </w:p>
    <w:p w:rsidR="001E79E0" w:rsidRPr="001E79E0" w:rsidRDefault="001E79E0" w:rsidP="001E79E0">
      <w:pPr>
        <w:keepNext/>
        <w:suppressAutoHyphens/>
        <w:spacing w:after="6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L. c.)Informácie o podmienenom majetku: NEMÁ TAKÝ</w:t>
      </w:r>
    </w:p>
    <w:p w:rsidR="001E79E0" w:rsidRPr="001E79E0" w:rsidRDefault="001E79E0" w:rsidP="001E79E0">
      <w:pPr>
        <w:keepNext/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M. Informácie o príjmoch a výhodách členov štatutárnych orgánov, dozorných orgánov a iných orgánov:  NEMÁ TAKÉ</w:t>
      </w:r>
    </w:p>
    <w:p w:rsidR="001E79E0" w:rsidRPr="001E79E0" w:rsidRDefault="001E79E0" w:rsidP="001E79E0">
      <w:pPr>
        <w:keepNext/>
        <w:widowControl w:val="0"/>
        <w:suppressAutoHyphens/>
        <w:spacing w:after="60" w:line="240" w:lineRule="auto"/>
        <w:jc w:val="both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N. Informácie o ekonomických vzťahoch medzi účtovnou jednotkou a spriaznenými osobami: spoločnosť eviduje pôžičky od spoločníka vo výške 210 908 €</w:t>
      </w: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</w:p>
    <w:p w:rsidR="001E79E0" w:rsidRPr="001E79E0" w:rsidRDefault="001E79E0" w:rsidP="001E79E0">
      <w:pPr>
        <w:keepNext/>
        <w:suppressAutoHyphens/>
        <w:spacing w:after="0" w:line="240" w:lineRule="auto"/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</w:pP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>P. Informácie o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shd w:val="clear" w:color="auto" w:fill="FFFFFF"/>
          <w:lang w:eastAsia="ar-SA"/>
        </w:rPr>
        <w:t> zmenách vlastného imania</w:t>
      </w:r>
      <w:r w:rsidRPr="001E79E0">
        <w:rPr>
          <w:rFonts w:ascii="Arial Narrow" w:eastAsia="Times New Roman" w:hAnsi="Arial Narrow" w:cs="Times New Roman"/>
          <w:b/>
          <w:bCs/>
          <w:kern w:val="1"/>
          <w:sz w:val="18"/>
          <w:szCs w:val="18"/>
          <w:lang w:eastAsia="ar-SA"/>
        </w:rPr>
        <w:t xml:space="preserve">:  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tbl>
      <w:tblPr>
        <w:tblW w:w="10005" w:type="dxa"/>
        <w:tblInd w:w="-221" w:type="dxa"/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3045"/>
        <w:gridCol w:w="1350"/>
        <w:gridCol w:w="1140"/>
        <w:gridCol w:w="1245"/>
        <w:gridCol w:w="1260"/>
        <w:gridCol w:w="1965"/>
      </w:tblGrid>
      <w:tr w:rsidR="001E79E0" w:rsidRPr="001E79E0" w:rsidTr="005404D8">
        <w:trPr>
          <w:trHeight w:val="306"/>
        </w:trPr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</w:p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</w:p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Položka vlastného imania</w:t>
            </w:r>
          </w:p>
        </w:tc>
        <w:tc>
          <w:tcPr>
            <w:tcW w:w="696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 xml:space="preserve"> Bežné účtovné obdobie</w:t>
            </w:r>
          </w:p>
        </w:tc>
      </w:tr>
      <w:tr w:rsidR="001E79E0" w:rsidRPr="001E79E0" w:rsidTr="005404D8">
        <w:trPr>
          <w:trHeight w:val="597"/>
        </w:trPr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spacing w:after="0" w:line="240" w:lineRule="auto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Stav na začiatku účt.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Prírastky</w:t>
            </w:r>
          </w:p>
        </w:tc>
        <w:tc>
          <w:tcPr>
            <w:tcW w:w="12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Úbytky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Presuny</w:t>
            </w:r>
          </w:p>
        </w:tc>
        <w:tc>
          <w:tcPr>
            <w:tcW w:w="19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b/>
                <w:bCs/>
                <w:sz w:val="18"/>
                <w:szCs w:val="18"/>
                <w:lang w:eastAsia="ar-SA"/>
              </w:rPr>
              <w:t>Stav na konci účtovného obdobia</w:t>
            </w:r>
          </w:p>
        </w:tc>
      </w:tr>
      <w:tr w:rsidR="001E79E0" w:rsidRPr="001E79E0" w:rsidTr="005404D8">
        <w:trPr>
          <w:trHeight w:val="48"/>
        </w:trPr>
        <w:tc>
          <w:tcPr>
            <w:tcW w:w="3045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a</w:t>
            </w:r>
          </w:p>
        </w:tc>
        <w:tc>
          <w:tcPr>
            <w:tcW w:w="135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c</w:t>
            </w:r>
          </w:p>
        </w:tc>
        <w:tc>
          <w:tcPr>
            <w:tcW w:w="124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d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e</w:t>
            </w:r>
          </w:p>
        </w:tc>
        <w:tc>
          <w:tcPr>
            <w:tcW w:w="196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f</w:t>
            </w:r>
          </w:p>
        </w:tc>
      </w:tr>
      <w:tr w:rsidR="001E79E0" w:rsidRPr="001E79E0" w:rsidTr="005404D8">
        <w:trPr>
          <w:trHeight w:val="345"/>
        </w:trPr>
        <w:tc>
          <w:tcPr>
            <w:tcW w:w="304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Základné imanie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5 000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5 000</w:t>
            </w: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Zmeny základného imania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Ostatné kapitálové fondy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45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Zákonný rezervný fond (nedeliteľný fond) z kapitálových vkladov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Times New Roman" w:hAnsi="Arial Narrow" w:cs="Times New Roman"/>
                <w:szCs w:val="24"/>
                <w:lang w:eastAsia="ar-SA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Oceňovacie rozdiely z precenenia majetku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Zákonný rezervný fond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613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613</w:t>
            </w: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Nerozdelený zisk minulých rokov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46 847</w:t>
            </w:r>
          </w:p>
        </w:tc>
        <w:tc>
          <w:tcPr>
            <w:tcW w:w="11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20 504</w:t>
            </w:r>
          </w:p>
        </w:tc>
        <w:tc>
          <w:tcPr>
            <w:tcW w:w="1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3 280</w:t>
            </w:r>
          </w:p>
        </w:tc>
        <w:tc>
          <w:tcPr>
            <w:tcW w:w="12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64 071</w:t>
            </w: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Neuhradená strata minulých rokov</w:t>
            </w:r>
          </w:p>
        </w:tc>
        <w:tc>
          <w:tcPr>
            <w:tcW w:w="1350" w:type="dxa"/>
            <w:tcBorders>
              <w:left w:val="single" w:sz="8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140" w:type="dxa"/>
            <w:tcBorders>
              <w:left w:val="single" w:sz="1" w:space="0" w:color="000000"/>
              <w:bottom w:val="single" w:sz="1" w:space="0" w:color="000000"/>
            </w:tcBorders>
            <w:tcMar>
              <w:top w:w="0" w:type="dxa"/>
              <w:bottom w:w="0" w:type="dxa"/>
            </w:tcMar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1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</w:tr>
      <w:tr w:rsidR="001E79E0" w:rsidRPr="001E79E0" w:rsidTr="005404D8">
        <w:trPr>
          <w:trHeight w:val="330"/>
        </w:trPr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Výsledok hospodárenia bežného účtovného obdobia</w:t>
            </w:r>
          </w:p>
        </w:tc>
        <w:tc>
          <w:tcPr>
            <w:tcW w:w="135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3 207</w:t>
            </w:r>
          </w:p>
        </w:tc>
        <w:tc>
          <w:tcPr>
            <w:tcW w:w="1140" w:type="dxa"/>
            <w:tcBorders>
              <w:left w:val="single" w:sz="1" w:space="0" w:color="000000"/>
              <w:bottom w:val="single" w:sz="8" w:space="0" w:color="000000"/>
            </w:tcBorders>
            <w:tcMar>
              <w:top w:w="0" w:type="dxa"/>
              <w:bottom w:w="0" w:type="dxa"/>
            </w:tcMar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45" w:type="dxa"/>
            <w:tcBorders>
              <w:left w:val="single" w:sz="1" w:space="0" w:color="000000"/>
              <w:bottom w:val="single" w:sz="8" w:space="0" w:color="000000"/>
            </w:tcBorders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</w:p>
        </w:tc>
        <w:tc>
          <w:tcPr>
            <w:tcW w:w="196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E79E0" w:rsidRPr="001E79E0" w:rsidRDefault="001E79E0" w:rsidP="001E79E0">
            <w:pPr>
              <w:suppressAutoHyphens/>
              <w:autoSpaceDE w:val="0"/>
              <w:snapToGrid w:val="0"/>
              <w:spacing w:after="0" w:line="24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</w:pPr>
            <w:r w:rsidRPr="001E79E0">
              <w:rPr>
                <w:rFonts w:ascii="Arial Narrow" w:eastAsia="Arial Narrow" w:hAnsi="Arial Narrow" w:cs="Arial Narrow"/>
                <w:sz w:val="18"/>
                <w:szCs w:val="18"/>
                <w:lang w:eastAsia="ar-SA"/>
              </w:rPr>
              <w:t>3 207</w:t>
            </w:r>
          </w:p>
        </w:tc>
      </w:tr>
    </w:tbl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  <w:r w:rsidRPr="001E79E0">
        <w:rPr>
          <w:rFonts w:ascii="Arial Narrow" w:eastAsia="Times New Roman" w:hAnsi="Arial Narrow" w:cs="Times New Roman"/>
          <w:szCs w:val="24"/>
          <w:lang w:eastAsia="ar-SA"/>
        </w:rPr>
        <w:t xml:space="preserve">Zostavil : Michaela Čupková 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  <w:r w:rsidRPr="001E79E0">
        <w:rPr>
          <w:rFonts w:ascii="Arial Narrow" w:eastAsia="Times New Roman" w:hAnsi="Arial Narrow" w:cs="Times New Roman"/>
          <w:szCs w:val="24"/>
          <w:lang w:eastAsia="ar-SA"/>
        </w:rPr>
        <w:t>Revúca 25. 6. 2023</w:t>
      </w:r>
    </w:p>
    <w:p w:rsidR="001E79E0" w:rsidRPr="001E79E0" w:rsidRDefault="001E79E0" w:rsidP="001E79E0">
      <w:pPr>
        <w:suppressAutoHyphens/>
        <w:spacing w:after="0" w:line="240" w:lineRule="auto"/>
        <w:rPr>
          <w:rFonts w:ascii="Arial Narrow" w:eastAsia="Times New Roman" w:hAnsi="Arial Narrow" w:cs="Times New Roman"/>
          <w:szCs w:val="24"/>
          <w:lang w:eastAsia="ar-SA"/>
        </w:rPr>
      </w:pPr>
    </w:p>
    <w:p w:rsidR="00150669" w:rsidRDefault="00150669">
      <w:bookmarkStart w:id="0" w:name="_GoBack"/>
      <w:bookmarkEnd w:id="0"/>
    </w:p>
    <w:sectPr w:rsidR="00150669">
      <w:footerReference w:type="default" r:id="rId5"/>
      <w:footerReference w:type="first" r:id="rId6"/>
      <w:footnotePr>
        <w:pos w:val="beneathText"/>
      </w:footnotePr>
      <w:pgSz w:w="11905" w:h="16837"/>
      <w:pgMar w:top="1418" w:right="1361" w:bottom="1134" w:left="1134" w:header="708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12B" w:rsidRDefault="001E79E0">
    <w:pPr>
      <w:jc w:val="right"/>
      <w:rPr>
        <w:sz w:val="19"/>
        <w:szCs w:val="19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</w:instrText>
    </w:r>
    <w:r>
      <w:rPr>
        <w:sz w:val="21"/>
        <w:szCs w:val="21"/>
      </w:rPr>
      <w:fldChar w:fldCharType="separate"/>
    </w:r>
    <w:r>
      <w:rPr>
        <w:noProof/>
        <w:sz w:val="21"/>
        <w:szCs w:val="21"/>
      </w:rPr>
      <w:t>2</w:t>
    </w:r>
    <w:r>
      <w:rPr>
        <w:sz w:val="21"/>
        <w:szCs w:val="21"/>
      </w:rPr>
      <w:fldChar w:fldCharType="end"/>
    </w:r>
  </w:p>
  <w:p w:rsidR="0088212B" w:rsidRDefault="001E79E0">
    <w:pPr>
      <w:pStyle w:val="Pta"/>
      <w:rPr>
        <w:sz w:val="19"/>
        <w:szCs w:val="19"/>
      </w:rPr>
    </w:pPr>
  </w:p>
  <w:p w:rsidR="0088212B" w:rsidRDefault="001E79E0">
    <w:pPr>
      <w:rPr>
        <w:sz w:val="21"/>
        <w:szCs w:val="21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12B" w:rsidRDefault="001E79E0"/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1003"/>
        </w:tabs>
        <w:ind w:left="100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286"/>
        </w:tabs>
        <w:ind w:left="1286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569"/>
        </w:tabs>
        <w:ind w:left="1569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52"/>
        </w:tabs>
        <w:ind w:left="1852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35"/>
        </w:tabs>
        <w:ind w:left="21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418"/>
        </w:tabs>
        <w:ind w:left="241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701"/>
        </w:tabs>
        <w:ind w:left="2701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984"/>
        </w:tabs>
        <w:ind w:left="2984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67"/>
        </w:tabs>
        <w:ind w:left="3267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9E0"/>
    <w:rsid w:val="00150669"/>
    <w:rsid w:val="001E7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223EC2-2C62-4B11-829C-DA81B8454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1E79E0"/>
    <w:pPr>
      <w:keepNext/>
      <w:numPr>
        <w:numId w:val="1"/>
      </w:numPr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1"/>
      <w:sz w:val="32"/>
      <w:szCs w:val="32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1E79E0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Nadpis3">
    <w:name w:val="heading 3"/>
    <w:basedOn w:val="Normlny"/>
    <w:next w:val="Normlny"/>
    <w:link w:val="Nadpis3Char"/>
    <w:qFormat/>
    <w:rsid w:val="001E79E0"/>
    <w:pPr>
      <w:keepNext/>
      <w:numPr>
        <w:ilvl w:val="2"/>
        <w:numId w:val="1"/>
      </w:numPr>
      <w:suppressAutoHyphens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Nadpis4">
    <w:name w:val="heading 4"/>
    <w:basedOn w:val="Normlny"/>
    <w:next w:val="Normlny"/>
    <w:link w:val="Nadpis4Char"/>
    <w:qFormat/>
    <w:rsid w:val="001E79E0"/>
    <w:pPr>
      <w:keepNext/>
      <w:numPr>
        <w:ilvl w:val="3"/>
        <w:numId w:val="1"/>
      </w:numPr>
      <w:suppressAutoHyphens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ar-SA"/>
    </w:rPr>
  </w:style>
  <w:style w:type="paragraph" w:styleId="Nadpis5">
    <w:name w:val="heading 5"/>
    <w:basedOn w:val="Normlny"/>
    <w:next w:val="Normlny"/>
    <w:link w:val="Nadpis5Char"/>
    <w:qFormat/>
    <w:rsid w:val="001E79E0"/>
    <w:pPr>
      <w:numPr>
        <w:ilvl w:val="4"/>
        <w:numId w:val="1"/>
      </w:numPr>
      <w:suppressAutoHyphens/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ar-SA"/>
    </w:rPr>
  </w:style>
  <w:style w:type="paragraph" w:styleId="Nadpis6">
    <w:name w:val="heading 6"/>
    <w:basedOn w:val="Normlny"/>
    <w:next w:val="Normlny"/>
    <w:link w:val="Nadpis6Char"/>
    <w:qFormat/>
    <w:rsid w:val="001E79E0"/>
    <w:pPr>
      <w:numPr>
        <w:ilvl w:val="5"/>
        <w:numId w:val="1"/>
      </w:numPr>
      <w:suppressAutoHyphens/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1E79E0"/>
    <w:pPr>
      <w:numPr>
        <w:ilvl w:val="6"/>
        <w:numId w:val="1"/>
      </w:numPr>
      <w:suppressAutoHyphens/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ar-SA"/>
    </w:rPr>
  </w:style>
  <w:style w:type="paragraph" w:styleId="Nadpis8">
    <w:name w:val="heading 8"/>
    <w:basedOn w:val="Normlny"/>
    <w:next w:val="Normlny"/>
    <w:link w:val="Nadpis8Char"/>
    <w:qFormat/>
    <w:rsid w:val="001E79E0"/>
    <w:pPr>
      <w:numPr>
        <w:ilvl w:val="7"/>
        <w:numId w:val="1"/>
      </w:numPr>
      <w:suppressAutoHyphens/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ar-SA"/>
    </w:rPr>
  </w:style>
  <w:style w:type="paragraph" w:styleId="Nadpis9">
    <w:name w:val="heading 9"/>
    <w:basedOn w:val="Normlny"/>
    <w:next w:val="Normlny"/>
    <w:link w:val="Nadpis9Char"/>
    <w:qFormat/>
    <w:rsid w:val="001E79E0"/>
    <w:pPr>
      <w:numPr>
        <w:ilvl w:val="8"/>
        <w:numId w:val="1"/>
      </w:numPr>
      <w:suppressAutoHyphens/>
      <w:spacing w:before="240" w:after="60" w:line="240" w:lineRule="auto"/>
      <w:outlineLvl w:val="8"/>
    </w:pPr>
    <w:rPr>
      <w:rFonts w:ascii="Cambria" w:eastAsia="Times New Roman" w:hAnsi="Cambria" w:cs="Times New Roman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79E0"/>
    <w:rPr>
      <w:rFonts w:ascii="Cambria" w:eastAsia="Times New Roman" w:hAnsi="Cambria" w:cs="Times New Roman"/>
      <w:b/>
      <w:bCs/>
      <w:kern w:val="1"/>
      <w:sz w:val="32"/>
      <w:szCs w:val="32"/>
      <w:lang w:eastAsia="ar-SA"/>
    </w:rPr>
  </w:style>
  <w:style w:type="character" w:customStyle="1" w:styleId="Nadpis2Char">
    <w:name w:val="Nadpis 2 Char"/>
    <w:basedOn w:val="Predvolenpsmoodseku"/>
    <w:link w:val="Nadpis2"/>
    <w:rsid w:val="001E79E0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Nadpis3Char">
    <w:name w:val="Nadpis 3 Char"/>
    <w:basedOn w:val="Predvolenpsmoodseku"/>
    <w:link w:val="Nadpis3"/>
    <w:rsid w:val="001E79E0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Nadpis4Char">
    <w:name w:val="Nadpis 4 Char"/>
    <w:basedOn w:val="Predvolenpsmoodseku"/>
    <w:link w:val="Nadpis4"/>
    <w:rsid w:val="001E79E0"/>
    <w:rPr>
      <w:rFonts w:ascii="Arial Narrow" w:eastAsia="Times New Roman" w:hAnsi="Arial Narrow" w:cs="Times New Roman"/>
      <w:b/>
      <w:bCs/>
      <w:sz w:val="28"/>
      <w:szCs w:val="28"/>
      <w:lang w:eastAsia="ar-SA"/>
    </w:rPr>
  </w:style>
  <w:style w:type="character" w:customStyle="1" w:styleId="Nadpis5Char">
    <w:name w:val="Nadpis 5 Char"/>
    <w:basedOn w:val="Predvolenpsmoodseku"/>
    <w:link w:val="Nadpis5"/>
    <w:rsid w:val="001E79E0"/>
    <w:rPr>
      <w:rFonts w:ascii="Arial Narrow" w:eastAsia="Times New Roman" w:hAnsi="Arial Narrow" w:cs="Times New Roman"/>
      <w:b/>
      <w:bCs/>
      <w:i/>
      <w:iCs/>
      <w:sz w:val="26"/>
      <w:szCs w:val="26"/>
      <w:lang w:eastAsia="ar-SA"/>
    </w:rPr>
  </w:style>
  <w:style w:type="character" w:customStyle="1" w:styleId="Nadpis6Char">
    <w:name w:val="Nadpis 6 Char"/>
    <w:basedOn w:val="Predvolenpsmoodseku"/>
    <w:link w:val="Nadpis6"/>
    <w:rsid w:val="001E79E0"/>
    <w:rPr>
      <w:rFonts w:ascii="Arial Narrow" w:eastAsia="Times New Roman" w:hAnsi="Arial Narrow" w:cs="Times New Roman"/>
      <w:b/>
      <w:bCs/>
      <w:lang w:eastAsia="ar-SA"/>
    </w:rPr>
  </w:style>
  <w:style w:type="character" w:customStyle="1" w:styleId="Nadpis7Char">
    <w:name w:val="Nadpis 7 Char"/>
    <w:basedOn w:val="Predvolenpsmoodseku"/>
    <w:link w:val="Nadpis7"/>
    <w:rsid w:val="001E79E0"/>
    <w:rPr>
      <w:rFonts w:ascii="Arial Narrow" w:eastAsia="Times New Roman" w:hAnsi="Arial Narrow" w:cs="Times New Roman"/>
      <w:szCs w:val="24"/>
      <w:lang w:eastAsia="ar-SA"/>
    </w:rPr>
  </w:style>
  <w:style w:type="character" w:customStyle="1" w:styleId="Nadpis8Char">
    <w:name w:val="Nadpis 8 Char"/>
    <w:basedOn w:val="Predvolenpsmoodseku"/>
    <w:link w:val="Nadpis8"/>
    <w:rsid w:val="001E79E0"/>
    <w:rPr>
      <w:rFonts w:ascii="Arial Narrow" w:eastAsia="Times New Roman" w:hAnsi="Arial Narrow" w:cs="Times New Roman"/>
      <w:i/>
      <w:iCs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1E79E0"/>
    <w:rPr>
      <w:rFonts w:ascii="Cambria" w:eastAsia="Times New Roman" w:hAnsi="Cambria" w:cs="Times New Roman"/>
      <w:lang w:eastAsia="ar-SA"/>
    </w:rPr>
  </w:style>
  <w:style w:type="numbering" w:customStyle="1" w:styleId="Bezzoznamu1">
    <w:name w:val="Bez zoznamu1"/>
    <w:next w:val="Bezzoznamu"/>
    <w:uiPriority w:val="99"/>
    <w:semiHidden/>
    <w:unhideWhenUsed/>
    <w:rsid w:val="001E79E0"/>
  </w:style>
  <w:style w:type="character" w:customStyle="1" w:styleId="WW8Num2z0">
    <w:name w:val="WW8Num2z0"/>
    <w:rsid w:val="001E79E0"/>
    <w:rPr>
      <w:rFonts w:ascii="Symbol" w:hAnsi="Symbol" w:cs="StarSymbol"/>
      <w:sz w:val="18"/>
      <w:szCs w:val="18"/>
    </w:rPr>
  </w:style>
  <w:style w:type="character" w:customStyle="1" w:styleId="WW8Num4z0">
    <w:name w:val="WW8Num4z0"/>
    <w:rsid w:val="001E79E0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1E79E0"/>
  </w:style>
  <w:style w:type="character" w:customStyle="1" w:styleId="WW-Absatz-Standardschriftart">
    <w:name w:val="WW-Absatz-Standardschriftart"/>
    <w:rsid w:val="001E79E0"/>
  </w:style>
  <w:style w:type="character" w:customStyle="1" w:styleId="WW-Absatz-Standardschriftart1">
    <w:name w:val="WW-Absatz-Standardschriftart1"/>
    <w:rsid w:val="001E79E0"/>
  </w:style>
  <w:style w:type="character" w:customStyle="1" w:styleId="WW-Absatz-Standardschriftart11">
    <w:name w:val="WW-Absatz-Standardschriftart11"/>
    <w:rsid w:val="001E79E0"/>
  </w:style>
  <w:style w:type="character" w:customStyle="1" w:styleId="WW-Absatz-Standardschriftart111">
    <w:name w:val="WW-Absatz-Standardschriftart111"/>
    <w:rsid w:val="001E79E0"/>
  </w:style>
  <w:style w:type="character" w:customStyle="1" w:styleId="WW-Absatz-Standardschriftart1111">
    <w:name w:val="WW-Absatz-Standardschriftart1111"/>
    <w:rsid w:val="001E79E0"/>
  </w:style>
  <w:style w:type="character" w:customStyle="1" w:styleId="WW-Absatz-Standardschriftart11111">
    <w:name w:val="WW-Absatz-Standardschriftart11111"/>
    <w:rsid w:val="001E79E0"/>
  </w:style>
  <w:style w:type="character" w:customStyle="1" w:styleId="WW-Absatz-Standardschriftart111111">
    <w:name w:val="WW-Absatz-Standardschriftart111111"/>
    <w:rsid w:val="001E79E0"/>
  </w:style>
  <w:style w:type="character" w:customStyle="1" w:styleId="WW-Absatz-Standardschriftart1111111">
    <w:name w:val="WW-Absatz-Standardschriftart1111111"/>
    <w:rsid w:val="001E79E0"/>
  </w:style>
  <w:style w:type="character" w:customStyle="1" w:styleId="WW-Absatz-Standardschriftart11111111">
    <w:name w:val="WW-Absatz-Standardschriftart11111111"/>
    <w:rsid w:val="001E79E0"/>
  </w:style>
  <w:style w:type="character" w:customStyle="1" w:styleId="WW-Absatz-Standardschriftart111111111">
    <w:name w:val="WW-Absatz-Standardschriftart111111111"/>
    <w:rsid w:val="001E79E0"/>
  </w:style>
  <w:style w:type="character" w:customStyle="1" w:styleId="WW-Absatz-Standardschriftart1111111111">
    <w:name w:val="WW-Absatz-Standardschriftart1111111111"/>
    <w:rsid w:val="001E79E0"/>
  </w:style>
  <w:style w:type="character" w:customStyle="1" w:styleId="WW-Absatz-Standardschriftart11111111111">
    <w:name w:val="WW-Absatz-Standardschriftart11111111111"/>
    <w:rsid w:val="001E79E0"/>
  </w:style>
  <w:style w:type="character" w:customStyle="1" w:styleId="WW-Absatz-Standardschriftart111111111111">
    <w:name w:val="WW-Absatz-Standardschriftart111111111111"/>
    <w:rsid w:val="001E79E0"/>
  </w:style>
  <w:style w:type="character" w:customStyle="1" w:styleId="WW-Absatz-Standardschriftart1111111111111">
    <w:name w:val="WW-Absatz-Standardschriftart1111111111111"/>
    <w:rsid w:val="001E79E0"/>
  </w:style>
  <w:style w:type="character" w:customStyle="1" w:styleId="WW-Absatz-Standardschriftart11111111111111">
    <w:name w:val="WW-Absatz-Standardschriftart11111111111111"/>
    <w:rsid w:val="001E79E0"/>
  </w:style>
  <w:style w:type="character" w:customStyle="1" w:styleId="WW-Absatz-Standardschriftart111111111111111">
    <w:name w:val="WW-Absatz-Standardschriftart111111111111111"/>
    <w:rsid w:val="001E79E0"/>
  </w:style>
  <w:style w:type="character" w:customStyle="1" w:styleId="WW-Absatz-Standardschriftart1111111111111111">
    <w:name w:val="WW-Absatz-Standardschriftart1111111111111111"/>
    <w:rsid w:val="001E79E0"/>
  </w:style>
  <w:style w:type="character" w:customStyle="1" w:styleId="WW-Absatz-Standardschriftart11111111111111111">
    <w:name w:val="WW-Absatz-Standardschriftart11111111111111111"/>
    <w:rsid w:val="001E79E0"/>
  </w:style>
  <w:style w:type="character" w:customStyle="1" w:styleId="WW-Absatz-Standardschriftart111111111111111111">
    <w:name w:val="WW-Absatz-Standardschriftart111111111111111111"/>
    <w:rsid w:val="001E79E0"/>
  </w:style>
  <w:style w:type="character" w:customStyle="1" w:styleId="WW-Absatz-Standardschriftart1111111111111111111">
    <w:name w:val="WW-Absatz-Standardschriftart1111111111111111111"/>
    <w:rsid w:val="001E79E0"/>
  </w:style>
  <w:style w:type="character" w:customStyle="1" w:styleId="WW-Absatz-Standardschriftart11111111111111111111">
    <w:name w:val="WW-Absatz-Standardschriftart11111111111111111111"/>
    <w:rsid w:val="001E79E0"/>
  </w:style>
  <w:style w:type="character" w:customStyle="1" w:styleId="WW-Absatz-Standardschriftart111111111111111111111">
    <w:name w:val="WW-Absatz-Standardschriftart111111111111111111111"/>
    <w:rsid w:val="001E79E0"/>
  </w:style>
  <w:style w:type="character" w:customStyle="1" w:styleId="WW-Absatz-Standardschriftart1111111111111111111111">
    <w:name w:val="WW-Absatz-Standardschriftart1111111111111111111111"/>
    <w:rsid w:val="001E79E0"/>
  </w:style>
  <w:style w:type="character" w:customStyle="1" w:styleId="WW-Absatz-Standardschriftart11111111111111111111111">
    <w:name w:val="WW-Absatz-Standardschriftart11111111111111111111111"/>
    <w:rsid w:val="001E79E0"/>
  </w:style>
  <w:style w:type="character" w:customStyle="1" w:styleId="WW-Absatz-Standardschriftart111111111111111111111111">
    <w:name w:val="WW-Absatz-Standardschriftart111111111111111111111111"/>
    <w:rsid w:val="001E79E0"/>
  </w:style>
  <w:style w:type="character" w:customStyle="1" w:styleId="WW8Num1z0">
    <w:name w:val="WW8Num1z0"/>
    <w:rsid w:val="001E79E0"/>
    <w:rPr>
      <w:rFonts w:ascii="Symbol" w:hAnsi="Symbol"/>
    </w:rPr>
  </w:style>
  <w:style w:type="character" w:customStyle="1" w:styleId="WW8Num1z1">
    <w:name w:val="WW8Num1z1"/>
    <w:rsid w:val="001E79E0"/>
    <w:rPr>
      <w:rFonts w:ascii="Courier New" w:hAnsi="Courier New"/>
    </w:rPr>
  </w:style>
  <w:style w:type="character" w:customStyle="1" w:styleId="WW8Num1z2">
    <w:name w:val="WW8Num1z2"/>
    <w:rsid w:val="001E79E0"/>
    <w:rPr>
      <w:rFonts w:ascii="Wingdings" w:hAnsi="Wingdings"/>
    </w:rPr>
  </w:style>
  <w:style w:type="character" w:customStyle="1" w:styleId="Standardnpsmoodstavce">
    <w:name w:val="Standardní písmo odstavce"/>
    <w:rsid w:val="001E79E0"/>
  </w:style>
  <w:style w:type="character" w:styleId="Siln">
    <w:name w:val="Strong"/>
    <w:qFormat/>
    <w:rsid w:val="001E79E0"/>
    <w:rPr>
      <w:rFonts w:cs="Times New Roman"/>
      <w:b/>
      <w:bCs/>
    </w:rPr>
  </w:style>
  <w:style w:type="character" w:customStyle="1" w:styleId="PodtitulChar">
    <w:name w:val="Podtitul Char"/>
    <w:rsid w:val="001E79E0"/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rsid w:val="001E79E0"/>
    <w:rPr>
      <w:rFonts w:ascii="Arial Narrow" w:hAnsi="Arial Narrow" w:cs="Times New Roman"/>
      <w:b/>
      <w:bCs/>
      <w:kern w:val="1"/>
      <w:sz w:val="32"/>
      <w:szCs w:val="32"/>
      <w:lang w:val="sk-SK"/>
    </w:rPr>
  </w:style>
  <w:style w:type="character" w:styleId="Zvraznenie">
    <w:name w:val="Emphasis"/>
    <w:qFormat/>
    <w:rsid w:val="001E79E0"/>
    <w:rPr>
      <w:rFonts w:ascii="Calibri" w:hAnsi="Calibri" w:cs="Times New Roman"/>
      <w:b/>
      <w:i/>
      <w:iCs/>
    </w:rPr>
  </w:style>
  <w:style w:type="character" w:customStyle="1" w:styleId="Znakyprepoznmkupodiarou">
    <w:name w:val="Znaky pre poznámku pod čiarou"/>
    <w:rsid w:val="001E79E0"/>
    <w:rPr>
      <w:rFonts w:cs="Times New Roman"/>
      <w:vertAlign w:val="superscript"/>
    </w:rPr>
  </w:style>
  <w:style w:type="character" w:customStyle="1" w:styleId="ZkladntextChar">
    <w:name w:val="Základní text Char"/>
    <w:rsid w:val="001E79E0"/>
    <w:rPr>
      <w:rFonts w:ascii="Times New Roman" w:hAnsi="Times New Roman" w:cs="Times New Roman"/>
      <w:b/>
      <w:bCs/>
      <w:sz w:val="24"/>
      <w:szCs w:val="24"/>
      <w:lang w:val="sk-SK"/>
    </w:rPr>
  </w:style>
  <w:style w:type="character" w:customStyle="1" w:styleId="TextpoznpodarouChar">
    <w:name w:val="Text pozn. pod čarou Char"/>
    <w:rsid w:val="001E79E0"/>
    <w:rPr>
      <w:rFonts w:ascii="Times New Roman" w:hAnsi="Times New Roman" w:cs="Times New Roman"/>
      <w:lang w:val="sk-SK"/>
    </w:rPr>
  </w:style>
  <w:style w:type="character" w:styleId="slostrany">
    <w:name w:val="page number"/>
    <w:semiHidden/>
    <w:rsid w:val="001E79E0"/>
    <w:rPr>
      <w:rFonts w:cs="Times New Roman"/>
    </w:rPr>
  </w:style>
  <w:style w:type="character" w:customStyle="1" w:styleId="Zkladntext2Char">
    <w:name w:val="Základní text 2 Char"/>
    <w:rsid w:val="001E79E0"/>
    <w:rPr>
      <w:rFonts w:ascii="Times New Roman" w:hAnsi="Times New Roman" w:cs="Times New Roman"/>
      <w:sz w:val="24"/>
      <w:szCs w:val="24"/>
      <w:lang w:val="sk-SK"/>
    </w:rPr>
  </w:style>
  <w:style w:type="character" w:customStyle="1" w:styleId="Zkladntextodsazen2Char">
    <w:name w:val="Základní text odsazený 2 Char"/>
    <w:rsid w:val="001E79E0"/>
    <w:rPr>
      <w:rFonts w:ascii="Times New Roman" w:hAnsi="Times New Roman" w:cs="Times New Roman"/>
      <w:sz w:val="24"/>
      <w:szCs w:val="24"/>
      <w:lang w:val="sk-SK"/>
    </w:rPr>
  </w:style>
  <w:style w:type="character" w:customStyle="1" w:styleId="ZpatChar">
    <w:name w:val="Zápatí Char"/>
    <w:rsid w:val="001E79E0"/>
    <w:rPr>
      <w:rFonts w:ascii="Times New Roman" w:hAnsi="Times New Roman" w:cs="Times New Roman"/>
      <w:lang w:val="sk-SK"/>
    </w:rPr>
  </w:style>
  <w:style w:type="character" w:customStyle="1" w:styleId="TextbublinyChar">
    <w:name w:val="Text bubliny Char"/>
    <w:rsid w:val="001E79E0"/>
    <w:rPr>
      <w:rFonts w:ascii="Tahoma" w:hAnsi="Tahoma" w:cs="Tahoma"/>
      <w:sz w:val="16"/>
      <w:szCs w:val="16"/>
      <w:lang w:val="sk-SK"/>
    </w:rPr>
  </w:style>
  <w:style w:type="character" w:customStyle="1" w:styleId="Zkladntextodsazen3Char">
    <w:name w:val="Základní text odsazený 3 Char"/>
    <w:rsid w:val="001E79E0"/>
    <w:rPr>
      <w:rFonts w:ascii="Times New Roman" w:hAnsi="Times New Roman" w:cs="Times New Roman"/>
      <w:sz w:val="24"/>
      <w:szCs w:val="24"/>
      <w:lang w:val="sk-SK"/>
    </w:rPr>
  </w:style>
  <w:style w:type="character" w:customStyle="1" w:styleId="ZhlavChar">
    <w:name w:val="Záhlaví Char"/>
    <w:rsid w:val="001E79E0"/>
    <w:rPr>
      <w:rFonts w:ascii="Times New Roman" w:hAnsi="Times New Roman" w:cs="Times New Roman"/>
      <w:lang w:val="sk-SK"/>
    </w:rPr>
  </w:style>
  <w:style w:type="character" w:customStyle="1" w:styleId="ValueChar">
    <w:name w:val="Value Char"/>
    <w:rsid w:val="001E79E0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rsid w:val="001E79E0"/>
    <w:rPr>
      <w:rFonts w:ascii="Arial Narrow" w:hAnsi="Arial Narrow" w:cs="Times New Roman"/>
      <w:sz w:val="24"/>
      <w:szCs w:val="24"/>
      <w:lang w:val="sk-SK"/>
    </w:rPr>
  </w:style>
  <w:style w:type="character" w:customStyle="1" w:styleId="Odrky">
    <w:name w:val="Odrážky"/>
    <w:rsid w:val="001E79E0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  <w:rsid w:val="001E79E0"/>
  </w:style>
  <w:style w:type="paragraph" w:customStyle="1" w:styleId="Nadpis">
    <w:name w:val="Nadpis"/>
    <w:basedOn w:val="Normlny"/>
    <w:next w:val="Zkladntext"/>
    <w:rsid w:val="001E79E0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0"/>
    <w:semiHidden/>
    <w:rsid w:val="001E79E0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ZkladntextChar0">
    <w:name w:val="Základný text Char"/>
    <w:basedOn w:val="Predvolenpsmoodseku"/>
    <w:link w:val="Zkladntext"/>
    <w:semiHidden/>
    <w:rsid w:val="001E79E0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Zoznam">
    <w:name w:val="List"/>
    <w:basedOn w:val="Zkladntext"/>
    <w:semiHidden/>
    <w:rsid w:val="001E79E0"/>
    <w:rPr>
      <w:rFonts w:cs="Tahoma"/>
    </w:rPr>
  </w:style>
  <w:style w:type="paragraph" w:customStyle="1" w:styleId="Popisok">
    <w:name w:val="Popisok"/>
    <w:basedOn w:val="Normlny"/>
    <w:rsid w:val="001E79E0"/>
    <w:pPr>
      <w:suppressLineNumbers/>
      <w:suppressAutoHyphens/>
      <w:spacing w:before="120" w:after="120" w:line="240" w:lineRule="auto"/>
    </w:pPr>
    <w:rPr>
      <w:rFonts w:ascii="Arial Narrow" w:eastAsia="Times New Roman" w:hAnsi="Arial Narrow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1E79E0"/>
    <w:pPr>
      <w:suppressLineNumbers/>
      <w:suppressAutoHyphens/>
      <w:spacing w:after="0" w:line="240" w:lineRule="auto"/>
    </w:pPr>
    <w:rPr>
      <w:rFonts w:ascii="Arial Narrow" w:eastAsia="Times New Roman" w:hAnsi="Arial Narrow" w:cs="Tahoma"/>
      <w:szCs w:val="24"/>
      <w:lang w:eastAsia="ar-SA"/>
    </w:rPr>
  </w:style>
  <w:style w:type="paragraph" w:styleId="Nzov">
    <w:name w:val="Title"/>
    <w:basedOn w:val="Normlny"/>
    <w:next w:val="Normlny"/>
    <w:link w:val="NzovChar"/>
    <w:qFormat/>
    <w:rsid w:val="001E79E0"/>
    <w:pPr>
      <w:keepNext/>
      <w:suppressAutoHyphens/>
      <w:spacing w:before="280" w:after="220" w:line="240" w:lineRule="auto"/>
      <w:jc w:val="center"/>
    </w:pPr>
    <w:rPr>
      <w:rFonts w:ascii="Arial Narrow" w:eastAsia="Times New Roman" w:hAnsi="Arial Narrow" w:cs="Times New Roman"/>
      <w:b/>
      <w:bCs/>
      <w:kern w:val="1"/>
      <w:szCs w:val="32"/>
      <w:lang w:eastAsia="ar-SA"/>
    </w:rPr>
  </w:style>
  <w:style w:type="character" w:customStyle="1" w:styleId="NzovChar">
    <w:name w:val="Názov Char"/>
    <w:basedOn w:val="Predvolenpsmoodseku"/>
    <w:link w:val="Nzov"/>
    <w:rsid w:val="001E79E0"/>
    <w:rPr>
      <w:rFonts w:ascii="Arial Narrow" w:eastAsia="Times New Roman" w:hAnsi="Arial Narrow" w:cs="Times New Roman"/>
      <w:b/>
      <w:bCs/>
      <w:kern w:val="1"/>
      <w:szCs w:val="32"/>
      <w:lang w:eastAsia="ar-SA"/>
    </w:rPr>
  </w:style>
  <w:style w:type="paragraph" w:styleId="Podtitul">
    <w:name w:val="Subtitle"/>
    <w:basedOn w:val="Normlny"/>
    <w:next w:val="Normlny"/>
    <w:link w:val="PodtitulChar1"/>
    <w:qFormat/>
    <w:rsid w:val="001E79E0"/>
    <w:pPr>
      <w:suppressAutoHyphens/>
      <w:spacing w:after="60" w:line="240" w:lineRule="auto"/>
      <w:jc w:val="center"/>
    </w:pPr>
    <w:rPr>
      <w:rFonts w:ascii="Cambria" w:eastAsia="Times New Roman" w:hAnsi="Cambria" w:cs="Times New Roman"/>
      <w:szCs w:val="24"/>
      <w:lang w:eastAsia="ar-SA"/>
    </w:rPr>
  </w:style>
  <w:style w:type="character" w:customStyle="1" w:styleId="PodtitulChar1">
    <w:name w:val="Podtitul Char1"/>
    <w:basedOn w:val="Predvolenpsmoodseku"/>
    <w:link w:val="Podtitul"/>
    <w:rsid w:val="001E79E0"/>
    <w:rPr>
      <w:rFonts w:ascii="Cambria" w:eastAsia="Times New Roman" w:hAnsi="Cambria" w:cs="Times New Roman"/>
      <w:szCs w:val="24"/>
      <w:lang w:eastAsia="ar-SA"/>
    </w:rPr>
  </w:style>
  <w:style w:type="paragraph" w:customStyle="1" w:styleId="Hlavikaobsahu1">
    <w:name w:val="Hlavička obsahu1"/>
    <w:basedOn w:val="Nadpis1"/>
    <w:next w:val="Normlny"/>
    <w:rsid w:val="001E79E0"/>
    <w:pPr>
      <w:numPr>
        <w:numId w:val="0"/>
      </w:numPr>
    </w:pPr>
  </w:style>
  <w:style w:type="paragraph" w:customStyle="1" w:styleId="TopHeader">
    <w:name w:val="Top Header"/>
    <w:basedOn w:val="Normlny"/>
    <w:rsid w:val="001E79E0"/>
    <w:pPr>
      <w:suppressAutoHyphens/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ar-SA"/>
    </w:rPr>
  </w:style>
  <w:style w:type="paragraph" w:styleId="Textpoznmkypodiarou">
    <w:name w:val="footnote text"/>
    <w:basedOn w:val="Normlny"/>
    <w:link w:val="TextpoznmkypodiarouChar"/>
    <w:semiHidden/>
    <w:rsid w:val="001E79E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1E79E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Zkladntext2">
    <w:name w:val="Základní text 2"/>
    <w:basedOn w:val="Normlny"/>
    <w:rsid w:val="001E79E0"/>
    <w:pPr>
      <w:suppressAutoHyphens/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rsid w:val="001E79E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taChar">
    <w:name w:val="Päta Char"/>
    <w:basedOn w:val="Predvolenpsmoodseku"/>
    <w:link w:val="Pta"/>
    <w:semiHidden/>
    <w:rsid w:val="001E79E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Zkladntextodsazen2">
    <w:name w:val="Základní text odsazený 2"/>
    <w:basedOn w:val="Normlny"/>
    <w:rsid w:val="001E79E0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odsazen3">
    <w:name w:val="Základní text odsazený 3"/>
    <w:basedOn w:val="Normlny"/>
    <w:rsid w:val="001E79E0"/>
    <w:pPr>
      <w:suppressAutoHyphens/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1"/>
    <w:rsid w:val="001E79E0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xtbublinyChar1">
    <w:name w:val="Text bubliny Char1"/>
    <w:basedOn w:val="Predvolenpsmoodseku"/>
    <w:link w:val="Textbubliny"/>
    <w:rsid w:val="001E79E0"/>
    <w:rPr>
      <w:rFonts w:ascii="Tahoma" w:eastAsia="Times New Roman" w:hAnsi="Tahoma" w:cs="Tahoma"/>
      <w:sz w:val="16"/>
      <w:szCs w:val="16"/>
      <w:lang w:eastAsia="ar-SA"/>
    </w:rPr>
  </w:style>
  <w:style w:type="paragraph" w:styleId="Hlavika">
    <w:name w:val="header"/>
    <w:basedOn w:val="Normlny"/>
    <w:link w:val="HlavikaChar"/>
    <w:semiHidden/>
    <w:rsid w:val="001E79E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1E79E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Value">
    <w:name w:val="Value"/>
    <w:basedOn w:val="Normlny"/>
    <w:rsid w:val="001E79E0"/>
    <w:pPr>
      <w:suppressAutoHyphens/>
      <w:spacing w:after="0" w:line="240" w:lineRule="auto"/>
      <w:jc w:val="right"/>
    </w:pPr>
    <w:rPr>
      <w:rFonts w:ascii="Arial Narrow" w:eastAsia="Times New Roman" w:hAnsi="Arial Narrow" w:cs="Times New Roman"/>
      <w:szCs w:val="24"/>
      <w:lang w:eastAsia="ar-SA"/>
    </w:rPr>
  </w:style>
  <w:style w:type="paragraph" w:customStyle="1" w:styleId="ValueCentered">
    <w:name w:val="Value Centered"/>
    <w:basedOn w:val="Value"/>
    <w:rsid w:val="001E79E0"/>
    <w:pPr>
      <w:jc w:val="center"/>
    </w:pPr>
  </w:style>
  <w:style w:type="paragraph" w:customStyle="1" w:styleId="Obsahtabuky">
    <w:name w:val="Obsah tabuľky"/>
    <w:basedOn w:val="Normlny"/>
    <w:rsid w:val="001E79E0"/>
    <w:pPr>
      <w:suppressLineNumbers/>
      <w:suppressAutoHyphens/>
      <w:spacing w:after="0" w:line="240" w:lineRule="auto"/>
    </w:pPr>
    <w:rPr>
      <w:rFonts w:ascii="Arial Narrow" w:eastAsia="Times New Roman" w:hAnsi="Arial Narrow" w:cs="Times New Roman"/>
      <w:szCs w:val="24"/>
      <w:lang w:eastAsia="ar-SA"/>
    </w:rPr>
  </w:style>
  <w:style w:type="paragraph" w:customStyle="1" w:styleId="Nadpistabuky">
    <w:name w:val="Nadpis tabuľky"/>
    <w:basedOn w:val="Obsahtabuky"/>
    <w:rsid w:val="001E79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1802</Words>
  <Characters>10274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2023-06-26T08:09:00Z</dcterms:created>
  <dcterms:modified xsi:type="dcterms:W3CDTF">2023-06-26T08:12:00Z</dcterms:modified>
</cp:coreProperties>
</file>