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spacing w:after="120"/>
        <w:jc w:val="center"/>
        <w:rPr>
          <w:rFonts w:ascii="Arial Narrow" w:eastAsia="Arial Narrow" w:hAnsi="Arial Narrow" w:cs="Arial Narrow"/>
          <w:color w:val="000000"/>
          <w:sz w:val="24"/>
          <w:szCs w:val="24"/>
        </w:rPr>
      </w:pPr>
      <w:r>
        <w:rPr>
          <w:rFonts w:ascii="Arial Narrow" w:eastAsia="Arial Narrow" w:hAnsi="Arial Narrow" w:cs="Arial Narrow"/>
          <w:b/>
          <w:color w:val="000000"/>
          <w:sz w:val="24"/>
          <w:szCs w:val="24"/>
        </w:rPr>
        <w:t>POZNÁMKY K ÚČTOVNEJ ÁVIERKE 20</w:t>
      </w:r>
      <w:r w:rsidR="009005CD">
        <w:rPr>
          <w:rFonts w:ascii="Arial Narrow" w:eastAsia="Arial Narrow" w:hAnsi="Arial Narrow" w:cs="Arial Narrow"/>
          <w:b/>
          <w:color w:val="000000"/>
          <w:sz w:val="24"/>
          <w:szCs w:val="24"/>
        </w:rPr>
        <w:t>2</w:t>
      </w:r>
      <w:r w:rsidR="007E5C1B">
        <w:rPr>
          <w:rFonts w:ascii="Arial Narrow" w:eastAsia="Arial Narrow" w:hAnsi="Arial Narrow" w:cs="Arial Narrow"/>
          <w:b/>
          <w:color w:val="000000"/>
          <w:sz w:val="24"/>
          <w:szCs w:val="24"/>
        </w:rPr>
        <w:t>2</w:t>
      </w:r>
    </w:p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zostavené podľa Opatrenia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pre malé účtovné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v znení Opatrenia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/19927/2015-74 (FS č.12/2015) a opatrenia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/14774/2017-74 (FS č.16/2017)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 – VŠEOBECNÉ INFORMÁCIE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Základné informácie o účtovnej jednotke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a"/>
        <w:tblW w:w="9605" w:type="dxa"/>
        <w:tblInd w:w="0" w:type="dxa"/>
        <w:tblLayout w:type="fixed"/>
        <w:tblLook w:val="0000" w:firstRow="0" w:lastRow="0" w:firstColumn="0" w:lastColumn="0" w:noHBand="0" w:noVBand="0"/>
      </w:tblPr>
      <w:tblGrid>
        <w:gridCol w:w="2636"/>
        <w:gridCol w:w="6969"/>
      </w:tblGrid>
      <w:tr w:rsidR="00D015B0">
        <w:trPr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Obchodné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 </w:t>
            </w:r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 xml:space="preserve">AGRITECH SLOVAKIA, </w:t>
            </w:r>
            <w:proofErr w:type="spellStart"/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>spol</w:t>
            </w:r>
            <w:proofErr w:type="spellEnd"/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 xml:space="preserve">. </w:t>
            </w: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 xml:space="preserve">s </w:t>
            </w:r>
            <w:proofErr w:type="spellStart"/>
            <w:r w:rsidR="00774B5A">
              <w:rPr>
                <w:rFonts w:ascii="Arial Narrow" w:eastAsia="Arial Narrow" w:hAnsi="Arial Narrow" w:cs="Arial Narrow"/>
                <w:b/>
                <w:color w:val="000000"/>
              </w:rPr>
              <w:t>r</w:t>
            </w:r>
            <w:r>
              <w:rPr>
                <w:rFonts w:ascii="Arial Narrow" w:eastAsia="Arial Narrow" w:hAnsi="Arial Narrow" w:cs="Arial Narrow"/>
                <w:b/>
                <w:color w:val="000000"/>
              </w:rPr>
              <w:t>.o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.</w:t>
            </w:r>
          </w:p>
        </w:tc>
      </w:tr>
      <w:tr w:rsidR="00D015B0">
        <w:trPr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Sídlo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774B5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07701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Kráľovslý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Chlmec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Dobranská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2197</w:t>
            </w:r>
          </w:p>
        </w:tc>
      </w:tr>
      <w:tr w:rsidR="00D015B0">
        <w:trPr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Právna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forma:</w:t>
            </w:r>
          </w:p>
        </w:tc>
        <w:tc>
          <w:tcPr>
            <w:tcW w:w="6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Spoločnosť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ručením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obmedzeným</w:t>
            </w:r>
            <w:proofErr w:type="spellEnd"/>
          </w:p>
        </w:tc>
      </w:tr>
      <w:tr w:rsidR="00D015B0"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Dátum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vzniku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Zápis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obchodného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registra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  <w:r w:rsidR="00774B5A">
              <w:rPr>
                <w:rFonts w:ascii="Arial Narrow" w:eastAsia="Arial Narrow" w:hAnsi="Arial Narrow" w:cs="Arial Narrow"/>
                <w:color w:val="000000"/>
              </w:rPr>
              <w:t>18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.7. </w:t>
            </w:r>
            <w:r w:rsidR="00774B5A">
              <w:rPr>
                <w:rFonts w:ascii="Arial Narrow" w:eastAsia="Arial Narrow" w:hAnsi="Arial Narrow" w:cs="Arial Narrow"/>
                <w:color w:val="000000"/>
              </w:rPr>
              <w:t>1996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. </w:t>
            </w:r>
          </w:p>
        </w:tc>
      </w:tr>
      <w:tr w:rsidR="00D015B0"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Hlavný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predmet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podnikania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D015B0" w:rsidRDefault="00774B5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Výroba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kovových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konštrukcií</w:t>
            </w:r>
            <w:proofErr w:type="spellEnd"/>
          </w:p>
        </w:tc>
      </w:tr>
      <w:tr w:rsidR="00D015B0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Subjekt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verejného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záujmu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Spoločnosť</w:t>
            </w:r>
            <w:proofErr w:type="spellEnd"/>
            <w:r w:rsidR="00774B5A">
              <w:rPr>
                <w:rFonts w:ascii="Arial Narrow" w:eastAsia="Arial Narrow" w:hAnsi="Arial Narrow" w:cs="Arial Narrow"/>
                <w:color w:val="000000"/>
              </w:rPr>
              <w:t xml:space="preserve"> AGRITECH SLOVAKIA </w:t>
            </w:r>
            <w:proofErr w:type="spellStart"/>
            <w:r w:rsidR="00774B5A">
              <w:rPr>
                <w:rFonts w:ascii="Arial Narrow" w:eastAsia="Arial Narrow" w:hAnsi="Arial Narrow" w:cs="Arial Narrow"/>
                <w:color w:val="000000"/>
              </w:rPr>
              <w:t>spol</w:t>
            </w:r>
            <w:proofErr w:type="spellEnd"/>
            <w:r w:rsidR="00774B5A">
              <w:rPr>
                <w:rFonts w:ascii="Arial Narrow" w:eastAsia="Arial Narrow" w:hAnsi="Arial Narrow" w:cs="Arial Narrow"/>
                <w:color w:val="000000"/>
              </w:rPr>
              <w:t>.</w:t>
            </w:r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s.r.o.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je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subjektom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verejného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záujmu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(§ 2/14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).</w:t>
            </w:r>
          </w:p>
        </w:tc>
      </w:tr>
      <w:tr w:rsidR="00D015B0"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obdobie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696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Kalendárny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20</w:t>
            </w:r>
            <w:r w:rsidR="00774B5A">
              <w:rPr>
                <w:rFonts w:ascii="Arial Narrow" w:eastAsia="Arial Narrow" w:hAnsi="Arial Narrow" w:cs="Arial Narrow"/>
                <w:color w:val="000000"/>
              </w:rPr>
              <w:t>2</w:t>
            </w:r>
            <w:r w:rsidR="007E5C1B">
              <w:rPr>
                <w:rFonts w:ascii="Arial Narrow" w:eastAsia="Arial Narrow" w:hAnsi="Arial Narrow" w:cs="Arial Narrow"/>
                <w:color w:val="000000"/>
              </w:rPr>
              <w:t>2</w:t>
            </w: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25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)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tbl>
      <w:tblPr>
        <w:tblStyle w:val="a0"/>
        <w:tblW w:w="9568" w:type="dxa"/>
        <w:tblInd w:w="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276"/>
      </w:tblGrid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283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326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1276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Áno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/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Nie</w:t>
            </w:r>
            <w:proofErr w:type="spellEnd"/>
          </w:p>
        </w:tc>
      </w:tr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Netto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aktíva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celkom</w:t>
            </w:r>
            <w:proofErr w:type="spellEnd"/>
          </w:p>
        </w:tc>
        <w:tc>
          <w:tcPr>
            <w:tcW w:w="2835" w:type="dxa"/>
          </w:tcPr>
          <w:p w:rsidR="00D015B0" w:rsidRDefault="007E5C1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1003457</w:t>
            </w:r>
          </w:p>
        </w:tc>
        <w:tc>
          <w:tcPr>
            <w:tcW w:w="3260" w:type="dxa"/>
          </w:tcPr>
          <w:p w:rsidR="00D015B0" w:rsidRDefault="007E5C1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931894</w:t>
            </w:r>
          </w:p>
        </w:tc>
        <w:tc>
          <w:tcPr>
            <w:tcW w:w="1276" w:type="dxa"/>
          </w:tcPr>
          <w:p w:rsidR="00D015B0" w:rsidRDefault="00774B5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áno</w:t>
            </w:r>
            <w:proofErr w:type="spellEnd"/>
          </w:p>
        </w:tc>
        <w:bookmarkStart w:id="0" w:name="_GoBack"/>
        <w:bookmarkEnd w:id="0"/>
      </w:tr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Čistý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obrat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celkom</w:t>
            </w:r>
            <w:proofErr w:type="spellEnd"/>
          </w:p>
        </w:tc>
        <w:tc>
          <w:tcPr>
            <w:tcW w:w="2835" w:type="dxa"/>
          </w:tcPr>
          <w:p w:rsidR="00D015B0" w:rsidRDefault="008F5D1F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10</w:t>
            </w:r>
            <w:r w:rsidR="007E5C1B">
              <w:rPr>
                <w:rFonts w:ascii="Arial Narrow" w:eastAsia="Arial Narrow" w:hAnsi="Arial Narrow" w:cs="Arial Narrow"/>
                <w:color w:val="000000"/>
              </w:rPr>
              <w:t>82537</w:t>
            </w:r>
          </w:p>
        </w:tc>
        <w:tc>
          <w:tcPr>
            <w:tcW w:w="3260" w:type="dxa"/>
          </w:tcPr>
          <w:p w:rsidR="00D015B0" w:rsidRDefault="007E5C1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1022895</w:t>
            </w:r>
          </w:p>
        </w:tc>
        <w:tc>
          <w:tcPr>
            <w:tcW w:w="1276" w:type="dxa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áno</w:t>
            </w:r>
            <w:proofErr w:type="spellEnd"/>
          </w:p>
        </w:tc>
      </w:tr>
      <w:tr w:rsidR="00D015B0">
        <w:tc>
          <w:tcPr>
            <w:tcW w:w="219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zamestnancov</w:t>
            </w:r>
            <w:proofErr w:type="spellEnd"/>
          </w:p>
        </w:tc>
        <w:tc>
          <w:tcPr>
            <w:tcW w:w="2835" w:type="dxa"/>
          </w:tcPr>
          <w:p w:rsidR="00D015B0" w:rsidRDefault="00FF726D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14</w:t>
            </w:r>
          </w:p>
        </w:tc>
        <w:tc>
          <w:tcPr>
            <w:tcW w:w="3260" w:type="dxa"/>
          </w:tcPr>
          <w:p w:rsidR="00D015B0" w:rsidRDefault="007E5C1B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18</w:t>
            </w:r>
          </w:p>
        </w:tc>
        <w:tc>
          <w:tcPr>
            <w:tcW w:w="1276" w:type="dxa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áno</w:t>
            </w:r>
            <w:proofErr w:type="spellEnd"/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Komentár: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malá účtovná jednotka,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č.MF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/23378/2014-74 v znení neskorších predpisov).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Dátum schválenia účtovnej závierky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za bezprostredne predchádzajúce účtovné obdobie príslušným orgánom účtovnej jednotky:</w:t>
      </w:r>
      <w:r w:rsidR="00895FEF">
        <w:rPr>
          <w:rFonts w:ascii="Arial Narrow" w:eastAsia="Arial Narrow" w:hAnsi="Arial Narrow" w:cs="Arial Narrow"/>
          <w:color w:val="000000"/>
          <w:sz w:val="22"/>
          <w:szCs w:val="22"/>
        </w:rPr>
        <w:t>1</w:t>
      </w:r>
      <w:r w:rsidR="00900DD9">
        <w:rPr>
          <w:rFonts w:ascii="Arial Narrow" w:eastAsia="Arial Narrow" w:hAnsi="Arial Narrow" w:cs="Arial Narrow"/>
          <w:color w:val="000000"/>
          <w:sz w:val="22"/>
          <w:szCs w:val="22"/>
        </w:rPr>
        <w:t>5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>.</w:t>
      </w:r>
      <w:r w:rsidR="00895FEF">
        <w:rPr>
          <w:rFonts w:ascii="Arial Narrow" w:eastAsia="Arial Narrow" w:hAnsi="Arial Narrow" w:cs="Arial Narrow"/>
          <w:color w:val="000000"/>
          <w:sz w:val="22"/>
          <w:szCs w:val="22"/>
        </w:rPr>
        <w:t>06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>.202</w:t>
      </w:r>
      <w:r w:rsidR="008F5D1F">
        <w:rPr>
          <w:rFonts w:ascii="Arial Narrow" w:eastAsia="Arial Narrow" w:hAnsi="Arial Narrow" w:cs="Arial Narrow"/>
          <w:color w:val="000000"/>
          <w:sz w:val="22"/>
          <w:szCs w:val="22"/>
        </w:rPr>
        <w:t>2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Právny dôvod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na zostavenie účtovnej závierky: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Riadna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Údaje o skupine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účtovných jednotiek v súvislosti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s konsolidáciou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 je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left="36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Obchodné meno a sídlo účtovnej jednotky, ktorá zostavuje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najväčšiu skupinu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ktorej súčasťou je účtovná jednotka ako dcérska účtovná jednotka (najvyšší stupeň konsolidácie):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Obchodné meno a sídlo účtovnej jednotky, ktorá zostavuje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najmenšiu skupinu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ktorej súčasťou je účtovná jednotka ako dcérska účtovná jednotka (bezprostredne vyšší stupeň konsolidácie), a ktorá je tiež začlenená do skupiny účtovných jednotiek na najvyššom stupni konsolidácie: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Adresa, kde sa môže vyžiadať kópia vyššie uvedených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konsolidovaných účtovných závierok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d) Údaj, či účtovná jednotka je materskou účtovnou jednotkou a údaj, či je oslobodená od povinnosti zostaviť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 konsolidovanú výročnú správu podľa § 22 zákona o účtovníctve, pričom sa uvádzajú: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1. pri oslobodení podľa § 22 ods. 8 zákona o účtovníctve obchodné meno a sídlo materskej účtovnej jednotky zostavujúcej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konsolidovanú účtovnú závierku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podľa osobitných predpisov (IFRS/EÚ):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2. pri oslobodení podľa § 22 ods. 10 a 12 zákona o účtovníctve obchodné meno a sídlo dcérskych účtovných jednotiek: 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tbl>
      <w:tblPr>
        <w:tblStyle w:val="a1"/>
        <w:tblW w:w="9747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D015B0">
        <w:trPr>
          <w:trHeight w:val="537"/>
        </w:trPr>
        <w:tc>
          <w:tcPr>
            <w:tcW w:w="4857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right="459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252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2367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163"/>
        </w:trPr>
        <w:tc>
          <w:tcPr>
            <w:tcW w:w="485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Priemerný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prepočítaný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počas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účtovného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obdobia</w:t>
            </w:r>
            <w:proofErr w:type="spellEnd"/>
          </w:p>
        </w:tc>
        <w:tc>
          <w:tcPr>
            <w:tcW w:w="252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236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  <w:r w:rsidR="00F253BA">
              <w:rPr>
                <w:rFonts w:ascii="Arial Narrow" w:eastAsia="Arial Narrow" w:hAnsi="Arial Narrow" w:cs="Arial Narrow"/>
                <w:color w:val="000000"/>
              </w:rPr>
              <w:t>1</w:t>
            </w:r>
            <w:r w:rsidR="00900DD9">
              <w:rPr>
                <w:rFonts w:ascii="Arial Narrow" w:eastAsia="Arial Narrow" w:hAnsi="Arial Narrow" w:cs="Arial Narrow"/>
                <w:color w:val="000000"/>
              </w:rPr>
              <w:t>8</w:t>
            </w: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left="928"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II – INFORMÁCIE O ORGÁNOCH SPOLOČNOSTI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Informácie o orgánoch účtovnej jednotky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2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01"/>
      </w:tblGrid>
      <w:tr w:rsidR="00D015B0">
        <w:trPr>
          <w:trHeight w:val="780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Orgány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účtovnej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jednotky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267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Štatutárny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44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druh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výhody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  <w:proofErr w:type="spellStart"/>
            <w:r w:rsidR="00F253BA"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  <w:proofErr w:type="spellStart"/>
            <w:r w:rsidR="00F253BA"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Dozorný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druh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výhody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Iný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orgán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účtovnej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jednotky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61"/>
          <w:jc w:val="center"/>
        </w:trPr>
        <w:tc>
          <w:tcPr>
            <w:tcW w:w="6312" w:type="dxa"/>
            <w:vAlign w:val="center"/>
          </w:tcPr>
          <w:p w:rsidR="00D015B0" w:rsidRDefault="001076C0">
            <w:pPr>
              <w:widowControl/>
              <w:numPr>
                <w:ilvl w:val="0"/>
                <w:numId w:val="1"/>
              </w:num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druh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výhody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F253BA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žiadne</w:t>
            </w:r>
            <w:proofErr w:type="spellEnd"/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III – INFORMÁCIE O PRIJATÝCH POSTUPOCH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Áno</w:t>
      </w:r>
    </w:p>
    <w:p w:rsidR="00F253BA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o zmenách účtovných zásad a zmenách účtovných metód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a to s uvedením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dôvodu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ich uplatnenia a ich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vplyvu na hodnotu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D015B0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                                                               Nie</w:t>
      </w:r>
    </w:p>
    <w:p w:rsidR="00F253BA" w:rsidRDefault="00F253BA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Informácie o charaktere a účele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transakcií, ktoré sa neuvádzajú v súvahe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riziká alebo prínosy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časovo limitované licencie a oprávnenia, podnikové kombinácie, záväzky investovať, dopad legislatívy, celkový pokles v hospodárskom segmente): </w:t>
      </w:r>
      <w:r w:rsidR="00F253BA">
        <w:rPr>
          <w:rFonts w:ascii="Arial Narrow" w:eastAsia="Arial Narrow" w:hAnsi="Arial Narrow" w:cs="Arial Narrow"/>
          <w:color w:val="000000"/>
          <w:sz w:val="22"/>
          <w:szCs w:val="22"/>
        </w:rPr>
        <w:t>žiadne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 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Spôsob a určenie oceňovania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majetku a záväzkov (vrátane rozhodujúcich odhadov):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</w:t>
      </w:r>
    </w:p>
    <w:p w:rsidR="00D015B0" w:rsidRDefault="00D015B0">
      <w:pPr>
        <w:widowControl w:val="0"/>
        <w:pBdr>
          <w:top w:val="nil"/>
          <w:left w:val="nil"/>
          <w:bottom w:val="nil"/>
          <w:right w:val="nil"/>
          <w:between w:val="nil"/>
        </w:pBdr>
        <w:tabs>
          <w:tab w:val="left" w:pos="808"/>
        </w:tabs>
        <w:jc w:val="both"/>
        <w:rPr>
          <w:rFonts w:ascii="Arial" w:eastAsia="Arial" w:hAnsi="Arial" w:cs="Arial"/>
          <w:color w:val="000000"/>
          <w:sz w:val="22"/>
          <w:szCs w:val="22"/>
        </w:rPr>
      </w:pPr>
    </w:p>
    <w:tbl>
      <w:tblPr>
        <w:tblStyle w:val="a3"/>
        <w:tblW w:w="96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Spôsob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oceňovania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externe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interne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vytvorený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externe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interne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vytvorený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finančný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vytvorené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vlastnou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činnosťou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náklady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Zásoby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inak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(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darom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 xml:space="preserve">ZV a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zákazková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výstavba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nehnuteľnosti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určenej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predaj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Krátkodobý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finančný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Časové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rozlíšenie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strane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aktív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súvahy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vrátane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rezerv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dlhopisov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,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pôžičiek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úverov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Časové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rozlíšenie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strane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pasív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súvahy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  <w:tr w:rsidR="00D015B0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Deriváty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18.</w:t>
            </w:r>
          </w:p>
        </w:tc>
        <w:tc>
          <w:tcPr>
            <w:tcW w:w="530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a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derivátmi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: </w:t>
            </w:r>
          </w:p>
        </w:tc>
        <w:tc>
          <w:tcPr>
            <w:tcW w:w="3600" w:type="dxa"/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706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19.</w:t>
            </w:r>
          </w:p>
        </w:tc>
        <w:tc>
          <w:tcPr>
            <w:tcW w:w="530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Prenajatý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obstaraný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základe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zmluvy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kúpe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prenajatej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veci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Obstarávacia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cena</w:t>
            </w:r>
            <w:proofErr w:type="spellEnd"/>
          </w:p>
        </w:tc>
      </w:tr>
      <w:tr w:rsidR="00D015B0">
        <w:tc>
          <w:tcPr>
            <w:tcW w:w="706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20.</w:t>
            </w:r>
          </w:p>
        </w:tc>
        <w:tc>
          <w:tcPr>
            <w:tcW w:w="530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Splatná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daň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gramStart"/>
            <w:r>
              <w:rPr>
                <w:rFonts w:ascii="Arial Narrow" w:eastAsia="Arial Narrow" w:hAnsi="Arial Narrow" w:cs="Arial Narrow"/>
                <w:color w:val="000000"/>
              </w:rPr>
              <w:t>a</w:t>
            </w:r>
            <w:proofErr w:type="gram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odložená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daň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príjmov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>:</w:t>
            </w:r>
          </w:p>
        </w:tc>
        <w:tc>
          <w:tcPr>
            <w:tcW w:w="3600" w:type="dxa"/>
          </w:tcPr>
          <w:p w:rsidR="00D015B0" w:rsidRDefault="001076C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808"/>
              </w:tabs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Menovitá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hodnota</w:t>
            </w:r>
            <w:proofErr w:type="spellEnd"/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Trvalé zníženie hodnoty majetku nebolo účtované. Prechodné zníženie hodnoty majetku je zaúčtované formou opravnej položky stanovené odborným odhadom bonity klienta.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d) Určenie ocenenia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finančných nástrojov alebo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ktorý nie je finančným nástrojom pri oceňovaní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e) Určenie ocenenia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finančných nástrojov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pri oceňovaní obstarávacou cenou alebo vlastnými nákladmi: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 k oceňovaniu majetku a záväzkov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Finančné nástroje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definuje § 5 zákona č.566/2001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Z.z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futures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, swapy, forwardy), nástroje peňažného trhu (pokladničné poukážky, vkladové listy).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Opravné položky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k majetku, okrem dlhodobej pohľadávky a dlhodobej pôžičky, stanovila UJ odborným odhadom bonity príslušného majetku.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Opravnú položku k dlhodobej pohľadávke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 opravnú položku k dlhodobej pôžičke UJ stanovila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metódu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odúročenia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na súčasnú hodnotu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18/8 PU; § 21/6 PU).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Rezervy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ocenila UJ kalkulačnou metódou kvalifikovaného odhadu ich menovitej hodnoty na pokrytie budúcich záväzkov.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UJ počas účtovného obdobia (§ 25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), ani k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závierkovému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dňu (§ 27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) nepoužila ocenenie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lebo nemala k tomu vecnú náplň.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používa pri oceňovaní úbytku rovnakého druhu zásob a cenných papierov –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vážený aritmetický priemer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25/5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; § 22/1 PU).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používa pri oceňovaní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prírastku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cudzej meny v hotovosti alebo na bankový účet –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zmenárenský kurz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konkrétnej banky (§ 24/3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1076C0">
      <w:pPr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používa pri oceňovaní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úbytku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cudzej meny v hotovosti alebo z bankového účtu –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základné pravidlo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(D-1), teda kurz zo dňa predchádzajúceho dňu účtovného prípadu (§ 24/2/a; § 24/6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metódou vlastného imania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(§ 27/9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4"/>
          <w:szCs w:val="24"/>
        </w:rPr>
      </w:pPr>
    </w:p>
    <w:p w:rsidR="00D015B0" w:rsidRDefault="001076C0">
      <w:pPr>
        <w:keepNext/>
        <w:pBdr>
          <w:top w:val="nil"/>
          <w:left w:val="nil"/>
          <w:bottom w:val="nil"/>
          <w:right w:val="nil"/>
          <w:between w:val="nil"/>
        </w:pBdr>
        <w:tabs>
          <w:tab w:val="left" w:pos="1005"/>
        </w:tabs>
        <w:spacing w:after="120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g)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>Tvorba odpisového plánu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Style w:val="a4"/>
        <w:tblW w:w="9606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a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nehmotný</w:t>
            </w:r>
            <w:proofErr w:type="spellEnd"/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odpisovaný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majetok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číslo</w:t>
            </w:r>
            <w:proofErr w:type="spellEnd"/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účtu</w:t>
            </w:r>
            <w:proofErr w:type="spellEnd"/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doba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odpisovania</w:t>
            </w:r>
            <w:proofErr w:type="spellEnd"/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(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počet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rokov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)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odpisová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sadzba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>(%)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Software</w:t>
            </w:r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013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Ostatný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DNM </w:t>
            </w:r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019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Stavby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021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Počítače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s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príslušenstvom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022.A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5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20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Dopravné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prostriedky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023</w:t>
            </w:r>
          </w:p>
        </w:tc>
        <w:tc>
          <w:tcPr>
            <w:tcW w:w="2107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Ostatné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stroje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022.A</w:t>
            </w:r>
          </w:p>
        </w:tc>
        <w:tc>
          <w:tcPr>
            <w:tcW w:w="2107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4</w:t>
            </w:r>
          </w:p>
        </w:tc>
        <w:tc>
          <w:tcPr>
            <w:tcW w:w="2268" w:type="dxa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25</w:t>
            </w:r>
          </w:p>
        </w:tc>
      </w:tr>
      <w:tr w:rsidR="00D015B0">
        <w:tc>
          <w:tcPr>
            <w:tcW w:w="421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Ostatný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dlhodobý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hmotný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</w:p>
        </w:tc>
        <w:tc>
          <w:tcPr>
            <w:tcW w:w="1013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029</w:t>
            </w:r>
          </w:p>
        </w:tc>
        <w:tc>
          <w:tcPr>
            <w:tcW w:w="2107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5</w:t>
            </w:r>
          </w:p>
        </w:tc>
        <w:tc>
          <w:tcPr>
            <w:tcW w:w="226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20</w:t>
            </w:r>
          </w:p>
        </w:tc>
      </w:tr>
    </w:tbl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 k odpisovému plánu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účtovné odpisy nezávisle na daňových odpisoch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Majetok sa začína odpisovať v mesiaci, kedy bol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zaradený do užívania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používa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rovnomerné odpisovanie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odpisuje jednotlivé veci alebo relevantné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súbory hnuteľných vecí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UJ nepoužila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jednorazový odpis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dlhodobého majetku z dôvodu jednorazového trvalého zníženia hodnoty majetku (§ 21/5 PU).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kategóriu drobného dlhodobého nehmotného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pod 2 400 eur jednotkovej ceny so životnosťou nad jeden rok (§ 13/2 PU).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kategóriu drobného dlhodobého hmotného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- položky pod 1 700 eur jednotkovej ceny so životnosťou nad jeden rok (§ 13/6 PU).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dobrovoľné účtovanie podlimitného technického zhodnotenia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odpisovaného dlhodobého majetku – technické zhodnotenie pod 1 700 eur za účtovné obdobie (§ 21/3 PU; § 29/2 ZDP).</w:t>
      </w:r>
    </w:p>
    <w:p w:rsidR="00D015B0" w:rsidRDefault="001076C0">
      <w:pPr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ÚJ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nepoužíva dobrovoľnú kapitalizáciu úrokov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do obstarávacej ceny odpisovaného dlhodobého hmotného majetku alebo dlhodobého nehmotného majetku (§ 34/1 PU; § 35/2/h PU).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keepNext/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lastRenderedPageBreak/>
        <w:t xml:space="preserve">h) Informácia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>o poskytnutých dotáciách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a pri dotáciách na obstaranie majetku sa uvedú zložky majetku a ich ocenenie: </w:t>
      </w:r>
    </w:p>
    <w:p w:rsidR="00D015B0" w:rsidRDefault="00D015B0">
      <w:pPr>
        <w:keepNext/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i/>
          <w:color w:val="000000"/>
          <w:sz w:val="22"/>
          <w:szCs w:val="22"/>
        </w:rPr>
      </w:pPr>
    </w:p>
    <w:p w:rsidR="00D015B0" w:rsidRDefault="001076C0">
      <w:pPr>
        <w:keepNext/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5)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</w:rPr>
        <w:t xml:space="preserve">Informácie o oprave </w:t>
      </w:r>
      <w:r>
        <w:rPr>
          <w:rFonts w:ascii="Arial Narrow" w:eastAsia="Arial Narrow" w:hAnsi="Arial Narrow" w:cs="Arial Narrow"/>
          <w:b/>
          <w:i/>
          <w:color w:val="000000"/>
          <w:sz w:val="22"/>
          <w:szCs w:val="22"/>
          <w:u w:val="single"/>
        </w:rPr>
        <w:t>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s uvedením sumy vplyvu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  <w:u w:val="single"/>
        </w:rPr>
        <w:t>nevýznamných chýb</w:t>
      </w:r>
      <w:r>
        <w:rPr>
          <w:rFonts w:ascii="Arial Narrow" w:eastAsia="Arial Narrow" w:hAnsi="Arial Narrow" w:cs="Arial Narrow"/>
          <w:i/>
          <w:color w:val="00000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Style w:val="a5"/>
        <w:tblW w:w="9601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19"/>
      </w:tblGrid>
      <w:tr w:rsidR="00D015B0">
        <w:tc>
          <w:tcPr>
            <w:tcW w:w="307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   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Opis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účtovného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prípadu</w:t>
            </w:r>
            <w:proofErr w:type="spellEnd"/>
          </w:p>
        </w:tc>
        <w:tc>
          <w:tcPr>
            <w:tcW w:w="1040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Suma</w:t>
            </w:r>
          </w:p>
        </w:tc>
        <w:tc>
          <w:tcPr>
            <w:tcW w:w="1039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MD/DAL</w:t>
            </w:r>
          </w:p>
        </w:tc>
        <w:tc>
          <w:tcPr>
            <w:tcW w:w="1928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výsledok</w:t>
            </w:r>
            <w:proofErr w:type="spellEnd"/>
          </w:p>
        </w:tc>
        <w:tc>
          <w:tcPr>
            <w:tcW w:w="2519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vlastné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imanie</w:t>
            </w:r>
            <w:proofErr w:type="spellEnd"/>
          </w:p>
        </w:tc>
      </w:tr>
      <w:tr w:rsidR="00D015B0">
        <w:tc>
          <w:tcPr>
            <w:tcW w:w="307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40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3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928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251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c>
          <w:tcPr>
            <w:tcW w:w="307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40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03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928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2519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Vysvetlivky k oprave chýb minulých účtovných období: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Po schválení účtovnej závierky na valnom zhromaždení už nemožno otvárať účtovné knihy minulých účtovných období a prípadné opravy sa vykonajú v bežnom účtovnom období (§ 16/10,11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Významné opravy chýb minulých účtovných období sa účtujú (§ 59/13 PU) - voči minulým výsledkom hospodárenia (voči vlastnému imaniu na účet 428 alebo 429). 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Hranicu významnosti si UJ stanoví individuálne v internej účtovnej smernici (napr. 1 tisícina z brutto aktív).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Pri ukladaní pokuty za nesprávnosti v účtovníctve prihliadne daňový úrad aj na to, či UJ písomne ohlásila obsah a sumu vykonanej opravy chýb minulých účtovných období (§ 38/5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</w:t>
      </w:r>
    </w:p>
    <w:p w:rsidR="00D015B0" w:rsidRDefault="001076C0">
      <w:pPr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Opravy chýb minulých účtovných období sa daňovo vysporiadajú podľa pravidiel v zákone o dani z príjmov (§ 17/15,29 ZDP) a pravidiel v daňovom poriadku (§ 16).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Článok IV – INFORMÁCIE, KTORÉ VYSVETĽUJÚ A DOPĹŇAJÚ SÚVAHU A VÝKAZ ZISKOV A STRÁT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Dlhodobý nehmotný majetok, ktorým je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goodwill</w:t>
      </w:r>
      <w:proofErr w:type="spellEnd"/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-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dôvod jeho vzniku, spôsob výpočtu a prehodnotenie opodstatnenosti jeho výšky a odpisu jeho hodnoty: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[Vysvetlivky: Záporný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goodwill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sa účtovne odpíše do výnosov (075/551)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jednorázovo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v roku jeho vzniku (§ 37 PU). Daňovo sa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goodwill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z podnikových kombinácií spravidla odpisuje najdlhšie počas 7 rokov podľa pravidiel v zákone o dani z príjmov (§ 17/11; § 17a - 17e ZDP)]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Informácie o významných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Pritom sa uvádza forma tohto zabezpečenia a uvádza sa zmena reálnej hodnoty v priebehu účtovného obdobia (§ 27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). Pre každý druh derivátov sa uvádza informácia o rozsahu a povahe týchto derivátov vrátane významných podmienok, ktoré môžu ovplyvniť sumu, načasovanie a mieru istoty budúcich peňažných tokov a 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 tabuľkovej forme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informácia zobrazujúca pohyby v oceňovacích rozdieloch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 ocenenia 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počas účtovného obdobia.</w:t>
      </w:r>
    </w:p>
    <w:tbl>
      <w:tblPr>
        <w:tblStyle w:val="a6"/>
        <w:tblW w:w="9605" w:type="dxa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3655"/>
        <w:gridCol w:w="1135"/>
        <w:gridCol w:w="1135"/>
        <w:gridCol w:w="1844"/>
        <w:gridCol w:w="1836"/>
      </w:tblGrid>
      <w:tr w:rsidR="00D015B0">
        <w:trPr>
          <w:trHeight w:val="153"/>
        </w:trPr>
        <w:tc>
          <w:tcPr>
            <w:tcW w:w="365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   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derivátov</w:t>
            </w:r>
            <w:proofErr w:type="spellEnd"/>
          </w:p>
        </w:tc>
        <w:tc>
          <w:tcPr>
            <w:tcW w:w="113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Suma</w:t>
            </w:r>
          </w:p>
        </w:tc>
        <w:tc>
          <w:tcPr>
            <w:tcW w:w="1135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MD/DAL</w:t>
            </w:r>
          </w:p>
        </w:tc>
        <w:tc>
          <w:tcPr>
            <w:tcW w:w="1844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výsledok</w:t>
            </w:r>
            <w:proofErr w:type="spellEnd"/>
          </w:p>
        </w:tc>
        <w:tc>
          <w:tcPr>
            <w:tcW w:w="1836" w:type="dxa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Vplyv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imanie</w:t>
            </w:r>
            <w:proofErr w:type="spellEnd"/>
          </w:p>
        </w:tc>
      </w:tr>
      <w:tr w:rsidR="00D015B0">
        <w:trPr>
          <w:trHeight w:val="62"/>
        </w:trPr>
        <w:tc>
          <w:tcPr>
            <w:tcW w:w="365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44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36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09"/>
        </w:trPr>
        <w:tc>
          <w:tcPr>
            <w:tcW w:w="365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135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44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836" w:type="dxa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after="120" w:line="240" w:lineRule="auto"/>
              <w:ind w:left="0" w:right="-471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Komentár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Prvotné ocenenie reálnou hodnotou (§ 25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 počas účtovného obdobia – bez náplne.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>[Vysvetlivky: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Reálnou hodnotou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sa k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závierkovému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dňu oceňujú, okrem iného, aj deriváty a majetok a záväzky zabezpečené derivátmi (§ 27/1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); precenenie na reálnu hodnotu k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závierkovému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dňu sa účtuje (§ 16 PU) - výsledkovo (účty 56x, 66x) alebo súvahovo (účet 414)].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3a) Celková suma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 </w:t>
      </w:r>
    </w:p>
    <w:tbl>
      <w:tblPr>
        <w:tblStyle w:val="a7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D015B0">
        <w:trPr>
          <w:trHeight w:val="693"/>
          <w:jc w:val="center"/>
        </w:trPr>
        <w:tc>
          <w:tcPr>
            <w:tcW w:w="4785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 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255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237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207"/>
          <w:jc w:val="center"/>
        </w:trPr>
        <w:tc>
          <w:tcPr>
            <w:tcW w:w="4785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so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zostatkovou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dobou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splatnosti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nad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5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rokov</w:t>
            </w:r>
            <w:proofErr w:type="spellEnd"/>
          </w:p>
        </w:tc>
        <w:tc>
          <w:tcPr>
            <w:tcW w:w="2553" w:type="dxa"/>
            <w:vAlign w:val="center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</w:t>
            </w:r>
          </w:p>
        </w:tc>
        <w:tc>
          <w:tcPr>
            <w:tcW w:w="2376" w:type="dxa"/>
            <w:vAlign w:val="center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</w:t>
            </w:r>
          </w:p>
        </w:tc>
      </w:tr>
    </w:tbl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before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závierkovým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dňom (§ 12 PU).]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before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14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3b) Celková suma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zabezpečených záväzkov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opis a spôsob zabezpečenia záväzkov: </w:t>
      </w:r>
    </w:p>
    <w:tbl>
      <w:tblPr>
        <w:tblStyle w:val="a8"/>
        <w:tblW w:w="9638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D015B0">
        <w:trPr>
          <w:jc w:val="center"/>
        </w:trPr>
        <w:tc>
          <w:tcPr>
            <w:tcW w:w="4396" w:type="dxa"/>
            <w:vMerge w:val="restart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záväzky</w:t>
            </w:r>
            <w:proofErr w:type="spellEnd"/>
          </w:p>
        </w:tc>
        <w:tc>
          <w:tcPr>
            <w:tcW w:w="5242" w:type="dxa"/>
            <w:gridSpan w:val="2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jc w:val="center"/>
        </w:trPr>
        <w:tc>
          <w:tcPr>
            <w:tcW w:w="4396" w:type="dxa"/>
            <w:vMerge/>
            <w:vAlign w:val="center"/>
          </w:tcPr>
          <w:p w:rsidR="00D015B0" w:rsidRDefault="00D015B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hanging="2"/>
              <w:rPr>
                <w:rFonts w:ascii="Arial Narrow" w:eastAsia="Arial Narrow" w:hAnsi="Arial Narrow" w:cs="Arial Narrow"/>
                <w:b/>
                <w:color w:val="000000"/>
              </w:rPr>
            </w:pPr>
          </w:p>
        </w:tc>
        <w:tc>
          <w:tcPr>
            <w:tcW w:w="283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Spôsob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</w:p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zabezpečenia</w:t>
            </w:r>
            <w:proofErr w:type="spellEnd"/>
          </w:p>
        </w:tc>
        <w:tc>
          <w:tcPr>
            <w:tcW w:w="24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Hodnota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 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záväzkov</w:t>
            </w:r>
            <w:proofErr w:type="spellEnd"/>
          </w:p>
        </w:tc>
      </w:tr>
      <w:tr w:rsidR="00D015B0">
        <w:trPr>
          <w:trHeight w:val="69"/>
          <w:jc w:val="center"/>
        </w:trPr>
        <w:tc>
          <w:tcPr>
            <w:tcW w:w="439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záložným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právom</w:t>
            </w:r>
            <w:proofErr w:type="spellEnd"/>
          </w:p>
        </w:tc>
        <w:tc>
          <w:tcPr>
            <w:tcW w:w="283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záložné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právo</w:t>
            </w:r>
            <w:proofErr w:type="spellEnd"/>
          </w:p>
        </w:tc>
        <w:tc>
          <w:tcPr>
            <w:tcW w:w="241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17"/>
          <w:jc w:val="center"/>
        </w:trPr>
        <w:tc>
          <w:tcPr>
            <w:tcW w:w="439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zabezpečené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iným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spôsobom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</w:p>
        </w:tc>
        <w:tc>
          <w:tcPr>
            <w:tcW w:w="283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241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17"/>
          <w:jc w:val="center"/>
        </w:trPr>
        <w:tc>
          <w:tcPr>
            <w:tcW w:w="4396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Celková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suma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zabezpečených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záväzkov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>:</w:t>
            </w:r>
          </w:p>
        </w:tc>
        <w:tc>
          <w:tcPr>
            <w:tcW w:w="283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center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x</w:t>
            </w:r>
          </w:p>
        </w:tc>
        <w:tc>
          <w:tcPr>
            <w:tcW w:w="2411" w:type="dxa"/>
            <w:vAlign w:val="center"/>
          </w:tcPr>
          <w:p w:rsidR="00D015B0" w:rsidRDefault="00F95935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360" w:lineRule="auto"/>
              <w:ind w:left="0" w:hanging="2"/>
              <w:jc w:val="both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0</w:t>
            </w: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4)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Informácie o vlastných akciách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: 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a) dôvod nadobudnutia vlastných akcií počas účtovného obdobia: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5) K vlastnému imaniu sa uvádza informácia, či účtovná jednotka tvorila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kapitálový fond z príspevkov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podľa § 123 ods. 2 alebo § 217a Obchodného zákonníka v znení neskorších predpisov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6) Informácie o sume a dôvodoch vzniku jednotlivých položiek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nákladov alebo výnosov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, ktoré majú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výnimočný rozsah alebo výskyt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žiadne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 – INFORMÁCIE O INÝCH AKTÍVACH A INÝCH PASÍVACH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1a)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Podmienený majetok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lastRenderedPageBreak/>
        <w:t xml:space="preserve">1b)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Podmienené záväzky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1076C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spacing w:after="120"/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1076C0">
      <w:pPr>
        <w:numPr>
          <w:ilvl w:val="0"/>
          <w:numId w:val="4"/>
        </w:numPr>
        <w:pBdr>
          <w:top w:val="nil"/>
          <w:left w:val="nil"/>
          <w:bottom w:val="nil"/>
          <w:right w:val="nil"/>
          <w:between w:val="nil"/>
        </w:pBdr>
        <w:ind w:left="227" w:hanging="227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Ostatné finančné povinnosti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</w:t>
      </w:r>
      <w:r>
        <w:rPr>
          <w:rFonts w:ascii="Arial Narrow" w:eastAsia="Arial Narrow" w:hAnsi="Arial Narrow" w:cs="Arial Narrow"/>
          <w:b/>
          <w:color w:val="000000"/>
          <w:sz w:val="22"/>
          <w:szCs w:val="22"/>
          <w:u w:val="single"/>
        </w:rPr>
        <w:t>Podsúvahové účty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Style w:val="a9"/>
        <w:tblW w:w="9605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6311"/>
        <w:gridCol w:w="1701"/>
        <w:gridCol w:w="1593"/>
      </w:tblGrid>
      <w:tr w:rsidR="00D015B0">
        <w:trPr>
          <w:trHeight w:val="780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Názov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podsúvahovej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položky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Bežné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jc w:val="center"/>
              <w:rPr>
                <w:rFonts w:ascii="Arial Narrow" w:eastAsia="Arial Narrow" w:hAnsi="Arial Narrow" w:cs="Arial Narrow"/>
                <w:b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Bezprostredne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predchádzajúce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účtovné</w:t>
            </w:r>
            <w:proofErr w:type="spellEnd"/>
            <w:r>
              <w:rPr>
                <w:rFonts w:ascii="Arial Narrow" w:eastAsia="Arial Narrow" w:hAnsi="Arial Narrow" w:cs="Arial Narrow"/>
                <w:b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b/>
                <w:color w:val="000000"/>
              </w:rPr>
              <w:t>obdobie</w:t>
            </w:r>
            <w:proofErr w:type="spellEnd"/>
          </w:p>
        </w:tc>
      </w:tr>
      <w:tr w:rsidR="00D015B0">
        <w:trPr>
          <w:trHeight w:val="267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Prenajatý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44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Majetok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prijatý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do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úschovy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opcií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  <w:tc>
          <w:tcPr>
            <w:tcW w:w="1593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r>
              <w:rPr>
                <w:rFonts w:ascii="Arial Narrow" w:eastAsia="Arial Narrow" w:hAnsi="Arial Narrow" w:cs="Arial Narrow"/>
                <w:color w:val="000000"/>
              </w:rPr>
              <w:t> </w:t>
            </w: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Záväzky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z 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opcií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593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Odpísané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</w:t>
            </w: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pohľadávky</w:t>
            </w:r>
            <w:proofErr w:type="spellEnd"/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593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  <w:tr w:rsidR="00D015B0">
        <w:trPr>
          <w:trHeight w:val="161"/>
          <w:jc w:val="center"/>
        </w:trPr>
        <w:tc>
          <w:tcPr>
            <w:tcW w:w="6311" w:type="dxa"/>
            <w:vAlign w:val="center"/>
          </w:tcPr>
          <w:p w:rsidR="00D015B0" w:rsidRDefault="001076C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  <w:proofErr w:type="spellStart"/>
            <w:r>
              <w:rPr>
                <w:rFonts w:ascii="Arial Narrow" w:eastAsia="Arial Narrow" w:hAnsi="Arial Narrow" w:cs="Arial Narrow"/>
                <w:color w:val="000000"/>
              </w:rPr>
              <w:t>Iné</w:t>
            </w:r>
            <w:proofErr w:type="spellEnd"/>
            <w:r>
              <w:rPr>
                <w:rFonts w:ascii="Arial Narrow" w:eastAsia="Arial Narrow" w:hAnsi="Arial Narrow" w:cs="Arial Narrow"/>
                <w:color w:val="000000"/>
              </w:rPr>
              <w:t xml:space="preserve"> ............................</w:t>
            </w:r>
          </w:p>
        </w:tc>
        <w:tc>
          <w:tcPr>
            <w:tcW w:w="1701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  <w:tc>
          <w:tcPr>
            <w:tcW w:w="1593" w:type="dxa"/>
            <w:vAlign w:val="center"/>
          </w:tcPr>
          <w:p w:rsidR="00D015B0" w:rsidRDefault="00D015B0">
            <w:pPr>
              <w:widowControl/>
              <w:pBdr>
                <w:top w:val="nil"/>
                <w:left w:val="nil"/>
                <w:bottom w:val="nil"/>
                <w:right w:val="nil"/>
                <w:between w:val="nil"/>
              </w:pBdr>
              <w:spacing w:line="240" w:lineRule="auto"/>
              <w:ind w:left="0" w:hanging="2"/>
              <w:rPr>
                <w:rFonts w:ascii="Arial Narrow" w:eastAsia="Arial Narrow" w:hAnsi="Arial Narrow" w:cs="Arial Narrow"/>
                <w:color w:val="000000"/>
              </w:rPr>
            </w:pPr>
          </w:p>
        </w:tc>
      </w:tr>
    </w:tbl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VI – UDALOSTI, KTORÉ NASTALI PO ZÁVIERKOVOM DNI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(Následné udalosti)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t.j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 a ktoré nie sú zohľadnené v súvahe alebo vo výkaze ziskov a strát, napríklad: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a)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Pokles alebo zvýšenie trhovej ceny finančného majetku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ako dôsledku udalostí, ktoré nastali po dni, ku ktorému sa zostavuje účtovná závierka do dňa zostavenia účtovnej závierky s uvedením dôvodu týchto zmien: 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b)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Dôvody pre zmenu výšky rezerv a opravných položiek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>, ktoré nastali v dôsledku udalostí po dni, ku ktorému sa zostavuje účtovná závierka do dňa zostavenia účtovnej závierky: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c) Zmena spoločníkov účtovnej jednotky: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nebola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d) Prijaté rozhodnutia o predaji účtovnej jednotky alebo jej časti: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e) Zmeny významných položiek dlhodobého finančného majetku: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žiadne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g) Vydané dlhopisy a iné cenné papiere: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neboli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h) Zlúčenie, splynutie, rozdelenie a zmena právnej formy účtovnej jednotky: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i) Mimoriadne udalosti, ak majú vplyv na hospodárenie účtovnej jednotky, napr. živelná pohroma: 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>žiadne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j) Získanie alebo odobratie licencií alebo iných povolení významných pre činnosť účtovnej jednotky:</w:t>
      </w:r>
      <w:r w:rsidR="00F95935"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nie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[Vysvetlivky: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Následná udalosť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udalosť, ktorá sa stala následne po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dni do dňa podpísania výkazov – uvádza sa v poznámkach. </w:t>
      </w:r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Upravujúci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>závierkový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  <w:u w:val="single"/>
        </w:rPr>
        <w:t xml:space="preserve"> účtovný prípad</w:t>
      </w: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– stal sa do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závierkového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 dňa, len bol zistený do dňa podpísania výkazov – riadne sa účtuje do hlavnej knihy a riadne sa vykazuje vo výkazoch (§ 17/8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; § 2a; § 18/9; § 19/6; § 48/3; § 50/6 PU).]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ind w:right="-468"/>
        <w:jc w:val="center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b/>
          <w:color w:val="000000"/>
          <w:sz w:val="22"/>
          <w:szCs w:val="22"/>
        </w:rPr>
        <w:t>Článok VII – OSTATNÉ INFORMÁCIE</w:t>
      </w:r>
    </w:p>
    <w:p w:rsidR="00D015B0" w:rsidRDefault="00D015B0">
      <w:pPr>
        <w:pBdr>
          <w:top w:val="nil"/>
          <w:left w:val="nil"/>
          <w:bottom w:val="nil"/>
          <w:right w:val="nil"/>
          <w:between w:val="nil"/>
        </w:pBdr>
        <w:ind w:right="-468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>1) Informácie o výlučnom práve poskytovať služby vo verejnom záujme: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</w:t>
      </w:r>
    </w:p>
    <w:p w:rsidR="00D015B0" w:rsidRDefault="001076C0">
      <w:pPr>
        <w:pBdr>
          <w:top w:val="nil"/>
          <w:left w:val="nil"/>
          <w:bottom w:val="nil"/>
          <w:right w:val="nil"/>
          <w:between w:val="nil"/>
        </w:pBdr>
        <w:spacing w:after="120"/>
        <w:ind w:right="-471"/>
        <w:jc w:val="both"/>
        <w:rPr>
          <w:rFonts w:ascii="Arial Narrow" w:eastAsia="Arial Narrow" w:hAnsi="Arial Narrow" w:cs="Arial Narrow"/>
          <w:color w:val="000000"/>
          <w:sz w:val="22"/>
          <w:szCs w:val="22"/>
        </w:rPr>
      </w:pPr>
      <w:r>
        <w:rPr>
          <w:rFonts w:ascii="Arial Narrow" w:eastAsia="Arial Narrow" w:hAnsi="Arial Narrow" w:cs="Arial Narrow"/>
          <w:color w:val="000000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eastAsia="Arial Narrow" w:hAnsi="Arial Narrow" w:cs="Arial Narrow"/>
          <w:color w:val="000000"/>
          <w:sz w:val="22"/>
          <w:szCs w:val="22"/>
        </w:rPr>
        <w:t>ZoU</w:t>
      </w:r>
      <w:proofErr w:type="spellEnd"/>
      <w:r>
        <w:rPr>
          <w:rFonts w:ascii="Arial Narrow" w:eastAsia="Arial Narrow" w:hAnsi="Arial Narrow" w:cs="Arial Narrow"/>
          <w:color w:val="000000"/>
          <w:sz w:val="22"/>
          <w:szCs w:val="22"/>
        </w:rPr>
        <w:t>):</w:t>
      </w:r>
    </w:p>
    <w:sectPr w:rsidR="00D015B0">
      <w:headerReference w:type="default" r:id="rId8"/>
      <w:footerReference w:type="default" r:id="rId9"/>
      <w:headerReference w:type="first" r:id="rId10"/>
      <w:pgSz w:w="11907" w:h="16840"/>
      <w:pgMar w:top="1417" w:right="992" w:bottom="1417" w:left="1417" w:header="567" w:footer="567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3C1249" w:rsidRDefault="003C1249">
      <w:r>
        <w:separator/>
      </w:r>
    </w:p>
  </w:endnote>
  <w:endnote w:type="continuationSeparator" w:id="0">
    <w:p w:rsidR="003C1249" w:rsidRDefault="003C124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Noto Sans Symbols">
    <w:altName w:val="Calibri"/>
    <w:charset w:val="0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15B0" w:rsidRDefault="001076C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right"/>
      <w:rPr>
        <w:color w:val="000000"/>
        <w:sz w:val="24"/>
        <w:szCs w:val="24"/>
      </w:rPr>
    </w:pPr>
    <w:r>
      <w:rPr>
        <w:color w:val="000000"/>
        <w:sz w:val="24"/>
        <w:szCs w:val="24"/>
      </w:rPr>
      <w:fldChar w:fldCharType="begin"/>
    </w:r>
    <w:r>
      <w:rPr>
        <w:color w:val="000000"/>
        <w:sz w:val="24"/>
        <w:szCs w:val="24"/>
      </w:rPr>
      <w:instrText>PAGE</w:instrText>
    </w:r>
    <w:r>
      <w:rPr>
        <w:color w:val="000000"/>
        <w:sz w:val="24"/>
        <w:szCs w:val="24"/>
      </w:rPr>
      <w:fldChar w:fldCharType="separate"/>
    </w:r>
    <w:r w:rsidR="0097062A">
      <w:rPr>
        <w:noProof/>
        <w:color w:val="000000"/>
        <w:sz w:val="24"/>
        <w:szCs w:val="24"/>
      </w:rPr>
      <w:t>1</w:t>
    </w:r>
    <w:r>
      <w:rPr>
        <w:color w:val="000000"/>
        <w:sz w:val="24"/>
        <w:szCs w:val="24"/>
      </w:rPr>
      <w:fldChar w:fldCharType="end"/>
    </w:r>
  </w:p>
  <w:p w:rsidR="00D015B0" w:rsidRDefault="00D015B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rPr>
        <w:color w:val="000000"/>
        <w:sz w:val="24"/>
        <w:szCs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3C1249" w:rsidRDefault="003C1249">
      <w:r>
        <w:separator/>
      </w:r>
    </w:p>
  </w:footnote>
  <w:footnote w:type="continuationSeparator" w:id="0">
    <w:p w:rsidR="003C1249" w:rsidRDefault="003C124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15B0" w:rsidRDefault="001076C0">
    <w:pPr>
      <w:widowControl w:val="0"/>
      <w:pBdr>
        <w:top w:val="nil"/>
        <w:left w:val="nil"/>
        <w:bottom w:val="nil"/>
        <w:right w:val="nil"/>
        <w:between w:val="nil"/>
      </w:pBdr>
      <w:tabs>
        <w:tab w:val="left" w:pos="2990"/>
        <w:tab w:val="left" w:pos="6348"/>
      </w:tabs>
      <w:ind w:left="-397"/>
      <w:jc w:val="center"/>
      <w:rPr>
        <w:rFonts w:ascii="Arial" w:eastAsia="Arial" w:hAnsi="Arial" w:cs="Arial"/>
        <w:color w:val="000000"/>
        <w:sz w:val="22"/>
        <w:szCs w:val="22"/>
      </w:rPr>
    </w:pPr>
    <w:r>
      <w:rPr>
        <w:rFonts w:ascii="Arial" w:eastAsia="Arial" w:hAnsi="Arial" w:cs="Arial"/>
        <w:color w:val="000000"/>
        <w:sz w:val="22"/>
        <w:szCs w:val="22"/>
      </w:rPr>
      <w:t>Poznámky Úč POD 3 – 01                           IČO: 3</w:t>
    </w:r>
    <w:r w:rsidR="00774B5A">
      <w:rPr>
        <w:rFonts w:ascii="Arial" w:eastAsia="Arial" w:hAnsi="Arial" w:cs="Arial"/>
        <w:color w:val="000000"/>
        <w:sz w:val="22"/>
        <w:szCs w:val="22"/>
      </w:rPr>
      <w:t>1731171</w:t>
    </w:r>
    <w:r>
      <w:rPr>
        <w:rFonts w:ascii="Arial" w:eastAsia="Arial" w:hAnsi="Arial" w:cs="Arial"/>
        <w:color w:val="000000"/>
        <w:sz w:val="22"/>
        <w:szCs w:val="22"/>
      </w:rPr>
      <w:t xml:space="preserve">        DIČ: </w:t>
    </w:r>
    <w:r w:rsidR="00774B5A">
      <w:rPr>
        <w:rFonts w:ascii="Arial" w:eastAsia="Arial" w:hAnsi="Arial" w:cs="Arial"/>
        <w:color w:val="000000"/>
        <w:sz w:val="22"/>
        <w:szCs w:val="22"/>
      </w:rPr>
      <w:t>2020505861</w:t>
    </w:r>
  </w:p>
  <w:p w:rsidR="00D015B0" w:rsidRDefault="00D015B0">
    <w:pPr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rPr>
        <w:color w:val="000000"/>
        <w:sz w:val="24"/>
        <w:szCs w:val="24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015B0" w:rsidRDefault="00D015B0">
    <w:pPr>
      <w:widowControl w:val="0"/>
      <w:pBdr>
        <w:top w:val="nil"/>
        <w:left w:val="nil"/>
        <w:bottom w:val="nil"/>
        <w:right w:val="nil"/>
        <w:between w:val="nil"/>
      </w:pBdr>
      <w:spacing w:line="276" w:lineRule="auto"/>
      <w:rPr>
        <w:color w:val="000000"/>
        <w:sz w:val="24"/>
        <w:szCs w:val="24"/>
      </w:rPr>
    </w:pPr>
  </w:p>
  <w:tbl>
    <w:tblPr>
      <w:tblStyle w:val="aa"/>
      <w:tblW w:w="8794" w:type="dxa"/>
      <w:tblInd w:w="55" w:type="dxa"/>
      <w:tblLayout w:type="fixed"/>
      <w:tblLook w:val="0000" w:firstRow="0" w:lastRow="0" w:firstColumn="0" w:lastColumn="0" w:noHBand="0" w:noVBand="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015B0">
      <w:trPr>
        <w:trHeight w:val="330"/>
      </w:trPr>
      <w:tc>
        <w:tcPr>
          <w:tcW w:w="0" w:type="auto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Poznámky Úč POD 3 - 04</w:t>
          </w: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D015B0" w:rsidRDefault="00D015B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</w:p>
      </w:tc>
      <w:tc>
        <w:tcPr>
          <w:tcW w:w="0" w:type="auto"/>
          <w:tcBorders>
            <w:top w:val="nil"/>
            <w:left w:val="nil"/>
            <w:bottom w:val="nil"/>
            <w:right w:val="nil"/>
          </w:tcBorders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DIČ</w:t>
          </w:r>
        </w:p>
      </w:tc>
      <w:tc>
        <w:tcPr>
          <w:tcW w:w="0" w:type="auto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 1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2 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3 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4 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5 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6 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7 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8 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9 </w:t>
          </w:r>
        </w:p>
      </w:tc>
      <w:tc>
        <w:tcPr>
          <w:tcW w:w="0" w:type="auto"/>
          <w:tcBorders>
            <w:top w:val="single" w:sz="4" w:space="0" w:color="000000"/>
            <w:left w:val="nil"/>
            <w:bottom w:val="single" w:sz="4" w:space="0" w:color="000000"/>
            <w:right w:val="single" w:sz="4" w:space="0" w:color="000000"/>
          </w:tcBorders>
          <w:vAlign w:val="center"/>
        </w:tcPr>
        <w:p w:rsidR="00D015B0" w:rsidRDefault="001076C0">
          <w:pPr>
            <w:widowControl/>
            <w:pBdr>
              <w:top w:val="nil"/>
              <w:left w:val="nil"/>
              <w:bottom w:val="nil"/>
              <w:right w:val="nil"/>
              <w:between w:val="nil"/>
            </w:pBdr>
            <w:spacing w:line="240" w:lineRule="auto"/>
            <w:ind w:left="0" w:hanging="2"/>
            <w:jc w:val="center"/>
            <w:rPr>
              <w:rFonts w:ascii="Times New Roman" w:eastAsia="Times New Roman" w:hAnsi="Times New Roman"/>
              <w:color w:val="000000"/>
              <w:sz w:val="24"/>
              <w:szCs w:val="24"/>
            </w:rPr>
          </w:pPr>
          <w:r>
            <w:rPr>
              <w:rFonts w:ascii="Times New Roman" w:eastAsia="Times New Roman" w:hAnsi="Times New Roman"/>
              <w:color w:val="000000"/>
              <w:sz w:val="24"/>
              <w:szCs w:val="24"/>
            </w:rPr>
            <w:t>0 </w:t>
          </w:r>
        </w:p>
      </w:tc>
    </w:tr>
  </w:tbl>
  <w:p w:rsidR="00D015B0" w:rsidRDefault="00D015B0">
    <w:pPr>
      <w:pBdr>
        <w:top w:val="nil"/>
        <w:left w:val="nil"/>
        <w:bottom w:val="nil"/>
        <w:right w:val="nil"/>
        <w:between w:val="nil"/>
      </w:pBdr>
      <w:tabs>
        <w:tab w:val="center" w:pos="4703"/>
        <w:tab w:val="right" w:pos="9406"/>
      </w:tabs>
      <w:rPr>
        <w:color w:val="000000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48D0D2F"/>
    <w:multiLevelType w:val="multilevel"/>
    <w:tmpl w:val="D4E4ACF6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1" w15:restartNumberingAfterBreak="0">
    <w:nsid w:val="2AEA0AA7"/>
    <w:multiLevelType w:val="multilevel"/>
    <w:tmpl w:val="A12A714E"/>
    <w:lvl w:ilvl="0">
      <w:start w:val="6"/>
      <w:numFmt w:val="bullet"/>
      <w:pStyle w:val="Nadpis1"/>
      <w:lvlText w:val="-"/>
      <w:lvlJc w:val="left"/>
      <w:pPr>
        <w:ind w:left="720" w:hanging="360"/>
      </w:pPr>
      <w:rPr>
        <w:rFonts w:ascii="Arial Narrow" w:eastAsia="Arial Narrow" w:hAnsi="Arial Narrow" w:cs="Arial Narrow"/>
        <w:vertAlign w:val="baseline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2" w15:restartNumberingAfterBreak="0">
    <w:nsid w:val="42BC5F3A"/>
    <w:multiLevelType w:val="multilevel"/>
    <w:tmpl w:val="143800A4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3" w15:restartNumberingAfterBreak="0">
    <w:nsid w:val="6B851B3A"/>
    <w:multiLevelType w:val="multilevel"/>
    <w:tmpl w:val="8B20CD06"/>
    <w:lvl w:ilvl="0">
      <w:start w:val="1"/>
      <w:numFmt w:val="bullet"/>
      <w:lvlText w:val="⮚"/>
      <w:lvlJc w:val="left"/>
      <w:pPr>
        <w:ind w:left="360" w:hanging="360"/>
      </w:pPr>
      <w:rPr>
        <w:rFonts w:ascii="Noto Sans Symbols" w:eastAsia="Noto Sans Symbols" w:hAnsi="Noto Sans Symbols" w:cs="Noto Sans Symbols"/>
        <w:vertAlign w:val="baseline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eastAsia="Courier New" w:hAnsi="Courier New" w:cs="Courier New"/>
        <w:vertAlign w:val="baseline"/>
      </w:rPr>
    </w:lvl>
    <w:lvl w:ilvl="2">
      <w:start w:val="1"/>
      <w:numFmt w:val="bullet"/>
      <w:lvlText w:val="▪"/>
      <w:lvlJc w:val="left"/>
      <w:pPr>
        <w:ind w:left="1800" w:hanging="360"/>
      </w:pPr>
      <w:rPr>
        <w:rFonts w:ascii="Noto Sans Symbols" w:eastAsia="Noto Sans Symbols" w:hAnsi="Noto Sans Symbols" w:cs="Noto Sans Symbols"/>
        <w:vertAlign w:val="baseline"/>
      </w:rPr>
    </w:lvl>
    <w:lvl w:ilvl="3">
      <w:start w:val="1"/>
      <w:numFmt w:val="bullet"/>
      <w:lvlText w:val="●"/>
      <w:lvlJc w:val="left"/>
      <w:pPr>
        <w:ind w:left="2520" w:hanging="360"/>
      </w:pPr>
      <w:rPr>
        <w:rFonts w:ascii="Noto Sans Symbols" w:eastAsia="Noto Sans Symbols" w:hAnsi="Noto Sans Symbols" w:cs="Noto Sans Symbols"/>
        <w:vertAlign w:val="baseline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eastAsia="Courier New" w:hAnsi="Courier New" w:cs="Courier New"/>
        <w:vertAlign w:val="baseline"/>
      </w:rPr>
    </w:lvl>
    <w:lvl w:ilvl="5">
      <w:start w:val="1"/>
      <w:numFmt w:val="bullet"/>
      <w:lvlText w:val="▪"/>
      <w:lvlJc w:val="left"/>
      <w:pPr>
        <w:ind w:left="3960" w:hanging="360"/>
      </w:pPr>
      <w:rPr>
        <w:rFonts w:ascii="Noto Sans Symbols" w:eastAsia="Noto Sans Symbols" w:hAnsi="Noto Sans Symbols" w:cs="Noto Sans Symbols"/>
        <w:vertAlign w:val="baseline"/>
      </w:rPr>
    </w:lvl>
    <w:lvl w:ilvl="6">
      <w:start w:val="1"/>
      <w:numFmt w:val="bullet"/>
      <w:lvlText w:val="●"/>
      <w:lvlJc w:val="left"/>
      <w:pPr>
        <w:ind w:left="4680" w:hanging="360"/>
      </w:pPr>
      <w:rPr>
        <w:rFonts w:ascii="Noto Sans Symbols" w:eastAsia="Noto Sans Symbols" w:hAnsi="Noto Sans Symbols" w:cs="Noto Sans Symbols"/>
        <w:vertAlign w:val="baseline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eastAsia="Courier New" w:hAnsi="Courier New" w:cs="Courier New"/>
        <w:vertAlign w:val="baseline"/>
      </w:rPr>
    </w:lvl>
    <w:lvl w:ilvl="8">
      <w:start w:val="1"/>
      <w:numFmt w:val="bullet"/>
      <w:lvlText w:val="▪"/>
      <w:lvlJc w:val="left"/>
      <w:pPr>
        <w:ind w:left="6120" w:hanging="360"/>
      </w:pPr>
      <w:rPr>
        <w:rFonts w:ascii="Noto Sans Symbols" w:eastAsia="Noto Sans Symbols" w:hAnsi="Noto Sans Symbols" w:cs="Noto Sans Symbols"/>
        <w:vertAlign w:val="baseline"/>
      </w:rPr>
    </w:lvl>
  </w:abstractNum>
  <w:abstractNum w:abstractNumId="4" w15:restartNumberingAfterBreak="0">
    <w:nsid w:val="78F35080"/>
    <w:multiLevelType w:val="multilevel"/>
    <w:tmpl w:val="E3E452D8"/>
    <w:lvl w:ilvl="0">
      <w:start w:val="1"/>
      <w:numFmt w:val="decimal"/>
      <w:lvlText w:val="%1.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vertAlign w:val="baseline"/>
      </w:r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15B0"/>
    <w:rsid w:val="001076C0"/>
    <w:rsid w:val="00174C20"/>
    <w:rsid w:val="003C1249"/>
    <w:rsid w:val="00774B5A"/>
    <w:rsid w:val="007E5C1B"/>
    <w:rsid w:val="00895FEF"/>
    <w:rsid w:val="008F5D1F"/>
    <w:rsid w:val="009005CD"/>
    <w:rsid w:val="00900DD9"/>
    <w:rsid w:val="0097062A"/>
    <w:rsid w:val="009B54EE"/>
    <w:rsid w:val="009F0719"/>
    <w:rsid w:val="00C95BE8"/>
    <w:rsid w:val="00D015B0"/>
    <w:rsid w:val="00D0173A"/>
    <w:rsid w:val="00DC7904"/>
    <w:rsid w:val="00F253BA"/>
    <w:rsid w:val="00F7139D"/>
    <w:rsid w:val="00F95935"/>
    <w:rsid w:val="00FF72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ACF069A"/>
  <w15:docId w15:val="{D7F08AD3-CB70-4B62-8D4E-159EADE897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"/>
    <w:next w:val="Nadpis2"/>
    <w:uiPriority w:val="9"/>
    <w:qFormat/>
    <w:pPr>
      <w:keepNext/>
      <w:numPr>
        <w:numId w:val="1"/>
      </w:numPr>
      <w:tabs>
        <w:tab w:val="num" w:pos="5220"/>
      </w:tabs>
      <w:spacing w:before="240" w:after="60"/>
      <w:ind w:left="4500" w:firstLine="360"/>
      <w:jc w:val="center"/>
    </w:pPr>
    <w:rPr>
      <w:b/>
      <w:bCs/>
      <w:kern w:val="32"/>
    </w:rPr>
  </w:style>
  <w:style w:type="paragraph" w:styleId="Nadpis2">
    <w:name w:val="heading 2"/>
    <w:basedOn w:val="Normln"/>
    <w:next w:val="Normln"/>
    <w:uiPriority w:val="9"/>
    <w:semiHidden/>
    <w:unhideWhenUsed/>
    <w:qFormat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customStyle="1" w:styleId="Normln">
    <w:name w:val="Normální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  <w:sz w:val="24"/>
      <w:szCs w:val="24"/>
    </w:rPr>
  </w:style>
  <w:style w:type="character" w:customStyle="1" w:styleId="Standardnpsmoodstavce">
    <w:name w:val="Standardní písmo odstavce"/>
    <w:rPr>
      <w:w w:val="100"/>
      <w:position w:val="-1"/>
      <w:effect w:val="none"/>
      <w:vertAlign w:val="baseline"/>
      <w:cs w:val="0"/>
      <w:em w:val="none"/>
    </w:rPr>
  </w:style>
  <w:style w:type="table" w:customStyle="1" w:styleId="Normlntabulka">
    <w:name w:val="Normální tabulka"/>
    <w:pPr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position w:val="-1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Bezseznamu">
    <w:name w:val="Bez seznamu"/>
  </w:style>
  <w:style w:type="character" w:customStyle="1" w:styleId="Nadpis1Char">
    <w:name w:val="Nadpis 1 Char"/>
    <w:rPr>
      <w:b/>
      <w:bCs/>
      <w:w w:val="100"/>
      <w:kern w:val="32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w w:val="100"/>
      <w:position w:val="-1"/>
      <w:sz w:val="28"/>
      <w:szCs w:val="28"/>
      <w:effect w:val="none"/>
      <w:vertAlign w:val="baseline"/>
      <w:cs w:val="0"/>
      <w:em w:val="none"/>
    </w:rPr>
  </w:style>
  <w:style w:type="paragraph" w:customStyle="1" w:styleId="Zkladntext1">
    <w:name w:val="Základní text1"/>
    <w:pPr>
      <w:suppressAutoHyphens/>
      <w:spacing w:after="240" w:line="1" w:lineRule="atLeast"/>
      <w:ind w:leftChars="-1" w:left="-1" w:hangingChars="1" w:hanging="1"/>
      <w:jc w:val="both"/>
      <w:textDirection w:val="btLr"/>
      <w:textAlignment w:val="top"/>
      <w:outlineLvl w:val="0"/>
    </w:pPr>
    <w:rPr>
      <w:color w:val="000000"/>
      <w:position w:val="-1"/>
      <w:sz w:val="24"/>
      <w:szCs w:val="24"/>
    </w:rPr>
  </w:style>
  <w:style w:type="paragraph" w:customStyle="1" w:styleId="Textpoznpodarou">
    <w:name w:val="Text pozn. pod čarou"/>
    <w:basedOn w:val="Normln"/>
    <w:rPr>
      <w:sz w:val="20"/>
      <w:szCs w:val="20"/>
    </w:rPr>
  </w:style>
  <w:style w:type="character" w:customStyle="1" w:styleId="TextpoznpodarouChar">
    <w:name w:val="Text pozn. pod čarou Char"/>
    <w:rPr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customStyle="1" w:styleId="Znakapoznpodarou">
    <w:name w:val="Značka pozn. pod čarou"/>
    <w:rPr>
      <w:w w:val="100"/>
      <w:position w:val="-1"/>
      <w:effect w:val="none"/>
      <w:vertAlign w:val="superscript"/>
      <w:cs w:val="0"/>
      <w:em w:val="none"/>
    </w:rPr>
  </w:style>
  <w:style w:type="paragraph" w:customStyle="1" w:styleId="Zpat">
    <w:name w:val="Zápatí"/>
    <w:basedOn w:val="Normln"/>
    <w:pPr>
      <w:tabs>
        <w:tab w:val="center" w:pos="4536"/>
        <w:tab w:val="right" w:pos="9072"/>
      </w:tabs>
    </w:pPr>
  </w:style>
  <w:style w:type="character" w:customStyle="1" w:styleId="ZpatChar">
    <w:name w:val="Zápatí Char"/>
    <w:rPr>
      <w:w w:val="100"/>
      <w:position w:val="-1"/>
      <w:sz w:val="24"/>
      <w:szCs w:val="24"/>
      <w:effect w:val="none"/>
      <w:vertAlign w:val="baseline"/>
      <w:cs w:val="0"/>
      <w:em w:val="none"/>
    </w:rPr>
  </w:style>
  <w:style w:type="character" w:customStyle="1" w:styleId="slostrnky">
    <w:name w:val="Číslo stránky"/>
    <w:basedOn w:val="Standardnpsmoodstavce"/>
    <w:rPr>
      <w:w w:val="100"/>
      <w:position w:val="-1"/>
      <w:effect w:val="none"/>
      <w:vertAlign w:val="baseline"/>
      <w:cs w:val="0"/>
      <w:em w:val="none"/>
    </w:rPr>
  </w:style>
  <w:style w:type="table" w:customStyle="1" w:styleId="Mkatabulky">
    <w:name w:val="Mřížka tabulky"/>
    <w:basedOn w:val="Normlntabulka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zev">
    <w:name w:val="Název"/>
    <w:basedOn w:val="Normln"/>
    <w:next w:val="Normln"/>
    <w:pPr>
      <w:keepNext/>
      <w:spacing w:before="100" w:beforeAutospacing="1" w:after="220"/>
      <w:jc w:val="center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rPr>
      <w:rFonts w:ascii="Arial Narrow" w:hAnsi="Arial Narrow" w:cs="Arial Narrow"/>
      <w:b/>
      <w:bCs/>
      <w:w w:val="100"/>
      <w:kern w:val="28"/>
      <w:position w:val="-1"/>
      <w:sz w:val="32"/>
      <w:szCs w:val="32"/>
      <w:effect w:val="none"/>
      <w:vertAlign w:val="baseline"/>
      <w:cs w:val="0"/>
      <w:em w:val="none"/>
      <w:lang w:val="sk-SK"/>
    </w:rPr>
  </w:style>
  <w:style w:type="paragraph" w:customStyle="1" w:styleId="TopHeader">
    <w:name w:val="Top Header"/>
    <w:basedOn w:val="Normln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Zhlav">
    <w:name w:val="Záhlaví"/>
    <w:basedOn w:val="Normln"/>
    <w:pPr>
      <w:tabs>
        <w:tab w:val="center" w:pos="4703"/>
        <w:tab w:val="right" w:pos="9406"/>
      </w:tabs>
    </w:pPr>
  </w:style>
  <w:style w:type="character" w:customStyle="1" w:styleId="ZhlavChar">
    <w:name w:val="Záhlaví Char"/>
    <w:rPr>
      <w:w w:val="100"/>
      <w:position w:val="-1"/>
      <w:sz w:val="24"/>
      <w:szCs w:val="24"/>
      <w:effect w:val="none"/>
      <w:vertAlign w:val="baseline"/>
      <w:cs w:val="0"/>
      <w:em w:val="none"/>
      <w:lang w:val="sk-SK" w:eastAsia="sk-SK"/>
    </w:rPr>
  </w:style>
  <w:style w:type="paragraph" w:customStyle="1" w:styleId="Zkladntext">
    <w:name w:val="Základní text"/>
    <w:basedOn w:val="Normln"/>
    <w:qFormat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rPr>
      <w:w w:val="100"/>
      <w:position w:val="-1"/>
      <w:sz w:val="24"/>
      <w:szCs w:val="24"/>
      <w:effect w:val="none"/>
      <w:vertAlign w:val="baseline"/>
      <w:cs w:val="0"/>
      <w:em w:val="none"/>
      <w:lang w:val="en-US" w:eastAsia="en-US"/>
    </w:rPr>
  </w:style>
  <w:style w:type="table" w:customStyle="1" w:styleId="TableNormal0">
    <w:name w:val="Table Normal"/>
    <w:next w:val="TableNormal"/>
    <w:pPr>
      <w:widowControl w:val="0"/>
      <w:suppressAutoHyphens/>
      <w:spacing w:line="1" w:lineRule="atLeast"/>
      <w:ind w:leftChars="-1" w:left="-1" w:hangingChars="1" w:hanging="1"/>
      <w:textDirection w:val="btLr"/>
      <w:textAlignment w:val="top"/>
      <w:outlineLvl w:val="0"/>
    </w:pPr>
    <w:rPr>
      <w:rFonts w:ascii="Calibri" w:eastAsia="Calibri" w:hAnsi="Calibri"/>
      <w:position w:val="-1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Podtitul">
    <w:name w:val="Subtitle"/>
    <w:basedOn w:val="Normlny"/>
    <w:next w:val="Normlny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9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0"/>
    <w:tblPr>
      <w:tblStyleRowBandSize w:val="1"/>
      <w:tblStyleColBandSize w:val="1"/>
      <w:tblCellMar>
        <w:left w:w="70" w:type="dxa"/>
        <w:right w:w="7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774B5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774B5A"/>
  </w:style>
  <w:style w:type="paragraph" w:styleId="Pta">
    <w:name w:val="footer"/>
    <w:basedOn w:val="Normlny"/>
    <w:link w:val="PtaChar"/>
    <w:uiPriority w:val="99"/>
    <w:unhideWhenUsed/>
    <w:rsid w:val="00774B5A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774B5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Ob8WBccWcKV/QMoJl3zv2zNyKiw==">AMUW2mXe4HPu2mNiOfHVCBoS+sXn3ANWPKASz4M6h3ZN8texCPY3UH7sA4qYXT1KUvMX3fWes3HV5AfyxAv8P+wXlHakHmQPfji/Gxe7gXUHSoK2qIF4Y/4=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2974</Words>
  <Characters>16956</Characters>
  <Application>Microsoft Office Word</Application>
  <DocSecurity>0</DocSecurity>
  <Lines>141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BAKER</cp:lastModifiedBy>
  <cp:revision>4</cp:revision>
  <dcterms:created xsi:type="dcterms:W3CDTF">2023-05-17T09:38:00Z</dcterms:created>
  <dcterms:modified xsi:type="dcterms:W3CDTF">2023-06-26T08:24:00Z</dcterms:modified>
</cp:coreProperties>
</file>