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5B0" w:rsidRDefault="001076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  <w:between w:val="nil"/>
        </w:pBdr>
        <w:spacing w:after="120"/>
        <w:jc w:val="center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POZNÁMKY K ÚČTOVNEJ ÁVIERKE 20</w:t>
      </w:r>
      <w:r w:rsidR="009005CD">
        <w:rPr>
          <w:rFonts w:ascii="Arial Narrow" w:eastAsia="Arial Narrow" w:hAnsi="Arial Narrow" w:cs="Arial Narrow"/>
          <w:b/>
          <w:color w:val="000000"/>
          <w:sz w:val="24"/>
          <w:szCs w:val="24"/>
        </w:rPr>
        <w:t>2</w:t>
      </w:r>
      <w:r w:rsidR="007E5C1B">
        <w:rPr>
          <w:rFonts w:ascii="Arial Narrow" w:eastAsia="Arial Narrow" w:hAnsi="Arial Narrow" w:cs="Arial Narrow"/>
          <w:b/>
          <w:color w:val="000000"/>
          <w:sz w:val="24"/>
          <w:szCs w:val="24"/>
        </w:rPr>
        <w:t>2</w:t>
      </w:r>
    </w:p>
    <w:p w:rsidR="00D015B0" w:rsidRDefault="001076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  <w:between w:val="nil"/>
        </w:pBdr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zostavené podľa Opatrenia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č.MF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D015B0" w:rsidRDefault="001076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  <w:between w:val="nil"/>
        </w:pBdr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pre malé účtovné jednotky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:rsidR="00D015B0" w:rsidRDefault="001076C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  <w:between w:val="nil"/>
        </w:pBdr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v znení Opatrenia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č.MF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/19927/2015-74 (FS č.12/2015) a opatrenia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č.MF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/14774/2017-74 (FS č.16/2017)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Článok I – VŠEOBECNÉ INFORMÁCIE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1)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Základné informácie o účtovnej jednotke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2"/>
          <w:szCs w:val="22"/>
        </w:rPr>
      </w:pPr>
    </w:p>
    <w:tbl>
      <w:tblPr>
        <w:tblStyle w:val="a"/>
        <w:tblW w:w="96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36"/>
        <w:gridCol w:w="6969"/>
      </w:tblGrid>
      <w:tr w:rsidR="00D015B0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Obchodné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meno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  <w:r w:rsidR="00774B5A">
              <w:rPr>
                <w:rFonts w:ascii="Arial Narrow" w:eastAsia="Arial Narrow" w:hAnsi="Arial Narrow" w:cs="Arial Narrow"/>
                <w:b/>
                <w:color w:val="000000"/>
              </w:rPr>
              <w:t xml:space="preserve">AGRITECH SLOVAKIA, </w:t>
            </w:r>
            <w:proofErr w:type="spellStart"/>
            <w:r w:rsidR="00774B5A">
              <w:rPr>
                <w:rFonts w:ascii="Arial Narrow" w:eastAsia="Arial Narrow" w:hAnsi="Arial Narrow" w:cs="Arial Narrow"/>
                <w:b/>
                <w:color w:val="000000"/>
              </w:rPr>
              <w:t>spol</w:t>
            </w:r>
            <w:proofErr w:type="spellEnd"/>
            <w:r w:rsidR="00774B5A">
              <w:rPr>
                <w:rFonts w:ascii="Arial Narrow" w:eastAsia="Arial Narrow" w:hAnsi="Arial Narrow" w:cs="Arial Narrow"/>
                <w:b/>
                <w:color w:val="000000"/>
              </w:rPr>
              <w:t xml:space="preserve">. 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r w:rsidR="00774B5A">
              <w:rPr>
                <w:rFonts w:ascii="Arial Narrow" w:eastAsia="Arial Narrow" w:hAnsi="Arial Narrow" w:cs="Arial Narrow"/>
                <w:b/>
                <w:color w:val="000000"/>
              </w:rPr>
              <w:t xml:space="preserve">s </w:t>
            </w:r>
            <w:proofErr w:type="spellStart"/>
            <w:r w:rsidR="00774B5A">
              <w:rPr>
                <w:rFonts w:ascii="Arial Narrow" w:eastAsia="Arial Narrow" w:hAnsi="Arial Narrow" w:cs="Arial Narrow"/>
                <w:b/>
                <w:color w:val="000000"/>
              </w:rPr>
              <w:t>r</w:t>
            </w:r>
            <w:r>
              <w:rPr>
                <w:rFonts w:ascii="Arial Narrow" w:eastAsia="Arial Narrow" w:hAnsi="Arial Narrow" w:cs="Arial Narrow"/>
                <w:b/>
                <w:color w:val="000000"/>
              </w:rPr>
              <w:t>.o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>.</w:t>
            </w:r>
          </w:p>
        </w:tc>
      </w:tr>
      <w:tr w:rsidR="00D015B0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Sídlo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774B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07701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Kráľovslý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Chlmec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Dobranská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2197</w:t>
            </w:r>
          </w:p>
        </w:tc>
      </w:tr>
      <w:tr w:rsidR="00D015B0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Právna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forma: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Spoločnosť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ručením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obmedzeným</w:t>
            </w:r>
            <w:proofErr w:type="spellEnd"/>
          </w:p>
        </w:tc>
      </w:tr>
      <w:tr w:rsidR="00D015B0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Dátum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vzniku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Zápis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obchodného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registra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: </w:t>
            </w:r>
            <w:r w:rsidR="00774B5A">
              <w:rPr>
                <w:rFonts w:ascii="Arial Narrow" w:eastAsia="Arial Narrow" w:hAnsi="Arial Narrow" w:cs="Arial Narrow"/>
                <w:color w:val="000000"/>
              </w:rPr>
              <w:t>18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.7. </w:t>
            </w:r>
            <w:r w:rsidR="00774B5A">
              <w:rPr>
                <w:rFonts w:ascii="Arial Narrow" w:eastAsia="Arial Narrow" w:hAnsi="Arial Narrow" w:cs="Arial Narrow"/>
                <w:color w:val="000000"/>
              </w:rPr>
              <w:t>1996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. </w:t>
            </w:r>
          </w:p>
        </w:tc>
      </w:tr>
      <w:tr w:rsidR="00D015B0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Hlavný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predmet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podnikania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D015B0" w:rsidRDefault="00774B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Výroba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kovových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konštrukcií</w:t>
            </w:r>
            <w:proofErr w:type="spellEnd"/>
          </w:p>
        </w:tc>
      </w:tr>
      <w:tr w:rsidR="00D015B0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Subjekt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verejného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záujmu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Spoločnosť</w:t>
            </w:r>
            <w:proofErr w:type="spellEnd"/>
            <w:r w:rsidR="00774B5A">
              <w:rPr>
                <w:rFonts w:ascii="Arial Narrow" w:eastAsia="Arial Narrow" w:hAnsi="Arial Narrow" w:cs="Arial Narrow"/>
                <w:color w:val="000000"/>
              </w:rPr>
              <w:t xml:space="preserve"> AGRITECH SLOVAKIA </w:t>
            </w:r>
            <w:proofErr w:type="spellStart"/>
            <w:r w:rsidR="00774B5A">
              <w:rPr>
                <w:rFonts w:ascii="Arial Narrow" w:eastAsia="Arial Narrow" w:hAnsi="Arial Narrow" w:cs="Arial Narrow"/>
                <w:color w:val="000000"/>
              </w:rPr>
              <w:t>spol</w:t>
            </w:r>
            <w:proofErr w:type="spellEnd"/>
            <w:r w:rsidR="00774B5A">
              <w:rPr>
                <w:rFonts w:ascii="Arial Narrow" w:eastAsia="Arial Narrow" w:hAnsi="Arial Narrow" w:cs="Arial Narrow"/>
                <w:color w:val="000000"/>
              </w:rPr>
              <w:t>.</w:t>
            </w:r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s.r.o.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nie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je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subjektom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verejného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záujmu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(§ 2/14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ZoU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).</w:t>
            </w:r>
          </w:p>
        </w:tc>
      </w:tr>
      <w:tr w:rsidR="00D015B0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obdobie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Kalendárny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rok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20</w:t>
            </w:r>
            <w:r w:rsidR="00774B5A">
              <w:rPr>
                <w:rFonts w:ascii="Arial Narrow" w:eastAsia="Arial Narrow" w:hAnsi="Arial Narrow" w:cs="Arial Narrow"/>
                <w:color w:val="000000"/>
              </w:rPr>
              <w:t>2</w:t>
            </w:r>
            <w:r w:rsidR="007E5C1B">
              <w:rPr>
                <w:rFonts w:ascii="Arial Narrow" w:eastAsia="Arial Narrow" w:hAnsi="Arial Narrow" w:cs="Arial Narrow"/>
                <w:color w:val="000000"/>
              </w:rPr>
              <w:t>2</w:t>
            </w:r>
          </w:p>
        </w:tc>
      </w:tr>
    </w:tbl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425"/>
        <w:jc w:val="both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)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tbl>
      <w:tblPr>
        <w:tblStyle w:val="a0"/>
        <w:tblW w:w="9568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76"/>
      </w:tblGrid>
      <w:tr w:rsidR="00D015B0">
        <w:tc>
          <w:tcPr>
            <w:tcW w:w="219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položky</w:t>
            </w:r>
            <w:proofErr w:type="spellEnd"/>
          </w:p>
        </w:tc>
        <w:tc>
          <w:tcPr>
            <w:tcW w:w="2835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  <w:tc>
          <w:tcPr>
            <w:tcW w:w="3260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  <w:tc>
          <w:tcPr>
            <w:tcW w:w="1276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Áno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>/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Nie</w:t>
            </w:r>
            <w:proofErr w:type="spellEnd"/>
          </w:p>
        </w:tc>
      </w:tr>
      <w:tr w:rsidR="00D015B0">
        <w:tc>
          <w:tcPr>
            <w:tcW w:w="219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Netto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aktíva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celkom</w:t>
            </w:r>
            <w:proofErr w:type="spellEnd"/>
          </w:p>
        </w:tc>
        <w:tc>
          <w:tcPr>
            <w:tcW w:w="2835" w:type="dxa"/>
          </w:tcPr>
          <w:p w:rsidR="00D015B0" w:rsidRDefault="007E5C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1003457</w:t>
            </w:r>
          </w:p>
        </w:tc>
        <w:tc>
          <w:tcPr>
            <w:tcW w:w="3260" w:type="dxa"/>
          </w:tcPr>
          <w:p w:rsidR="00D015B0" w:rsidRDefault="007E5C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931894</w:t>
            </w:r>
          </w:p>
        </w:tc>
        <w:tc>
          <w:tcPr>
            <w:tcW w:w="1276" w:type="dxa"/>
          </w:tcPr>
          <w:p w:rsidR="00D015B0" w:rsidRDefault="00774B5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áno</w:t>
            </w:r>
            <w:proofErr w:type="spellEnd"/>
          </w:p>
        </w:tc>
        <w:bookmarkStart w:id="0" w:name="_GoBack"/>
        <w:bookmarkEnd w:id="0"/>
      </w:tr>
      <w:tr w:rsidR="00D015B0">
        <w:tc>
          <w:tcPr>
            <w:tcW w:w="219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Čistý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obrat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celkom</w:t>
            </w:r>
            <w:proofErr w:type="spellEnd"/>
          </w:p>
        </w:tc>
        <w:tc>
          <w:tcPr>
            <w:tcW w:w="2835" w:type="dxa"/>
          </w:tcPr>
          <w:p w:rsidR="00D015B0" w:rsidRDefault="008F5D1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10</w:t>
            </w:r>
            <w:r w:rsidR="007E5C1B">
              <w:rPr>
                <w:rFonts w:ascii="Arial Narrow" w:eastAsia="Arial Narrow" w:hAnsi="Arial Narrow" w:cs="Arial Narrow"/>
                <w:color w:val="000000"/>
              </w:rPr>
              <w:t>82537</w:t>
            </w:r>
          </w:p>
        </w:tc>
        <w:tc>
          <w:tcPr>
            <w:tcW w:w="3260" w:type="dxa"/>
          </w:tcPr>
          <w:p w:rsidR="00D015B0" w:rsidRDefault="007E5C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1022895</w:t>
            </w:r>
          </w:p>
        </w:tc>
        <w:tc>
          <w:tcPr>
            <w:tcW w:w="1276" w:type="dxa"/>
          </w:tcPr>
          <w:p w:rsidR="00D015B0" w:rsidRDefault="00F253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áno</w:t>
            </w:r>
            <w:proofErr w:type="spellEnd"/>
          </w:p>
        </w:tc>
      </w:tr>
      <w:tr w:rsidR="00D015B0">
        <w:tc>
          <w:tcPr>
            <w:tcW w:w="219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Počet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zamestnancov</w:t>
            </w:r>
            <w:proofErr w:type="spellEnd"/>
          </w:p>
        </w:tc>
        <w:tc>
          <w:tcPr>
            <w:tcW w:w="2835" w:type="dxa"/>
          </w:tcPr>
          <w:p w:rsidR="00D015B0" w:rsidRDefault="00FF726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14</w:t>
            </w:r>
          </w:p>
        </w:tc>
        <w:tc>
          <w:tcPr>
            <w:tcW w:w="3260" w:type="dxa"/>
          </w:tcPr>
          <w:p w:rsidR="00D015B0" w:rsidRDefault="007E5C1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18</w:t>
            </w:r>
          </w:p>
        </w:tc>
        <w:tc>
          <w:tcPr>
            <w:tcW w:w="1276" w:type="dxa"/>
          </w:tcPr>
          <w:p w:rsidR="00D015B0" w:rsidRDefault="00F253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áno</w:t>
            </w:r>
            <w:proofErr w:type="spellEnd"/>
          </w:p>
        </w:tc>
      </w:tr>
    </w:tbl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Komentár: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malá účtovná jednotka,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č.MF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/23378/2014-74 v znení neskorších predpisov).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Dátum schválenia účtovnej závierky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za bezprostredne predchádzajúce účtovné obdobie príslušným orgánom účtovnej jednotky:</w:t>
      </w:r>
      <w:r w:rsidR="00895FEF">
        <w:rPr>
          <w:rFonts w:ascii="Arial Narrow" w:eastAsia="Arial Narrow" w:hAnsi="Arial Narrow" w:cs="Arial Narrow"/>
          <w:color w:val="000000"/>
          <w:sz w:val="22"/>
          <w:szCs w:val="22"/>
        </w:rPr>
        <w:t>1</w:t>
      </w:r>
      <w:r w:rsidR="00900DD9">
        <w:rPr>
          <w:rFonts w:ascii="Arial Narrow" w:eastAsia="Arial Narrow" w:hAnsi="Arial Narrow" w:cs="Arial Narrow"/>
          <w:color w:val="000000"/>
          <w:sz w:val="22"/>
          <w:szCs w:val="22"/>
        </w:rPr>
        <w:t>5</w:t>
      </w:r>
      <w:r w:rsidR="00F253BA">
        <w:rPr>
          <w:rFonts w:ascii="Arial Narrow" w:eastAsia="Arial Narrow" w:hAnsi="Arial Narrow" w:cs="Arial Narrow"/>
          <w:color w:val="000000"/>
          <w:sz w:val="22"/>
          <w:szCs w:val="22"/>
        </w:rPr>
        <w:t>.</w:t>
      </w:r>
      <w:r w:rsidR="00895FEF">
        <w:rPr>
          <w:rFonts w:ascii="Arial Narrow" w:eastAsia="Arial Narrow" w:hAnsi="Arial Narrow" w:cs="Arial Narrow"/>
          <w:color w:val="000000"/>
          <w:sz w:val="22"/>
          <w:szCs w:val="22"/>
        </w:rPr>
        <w:t>06</w:t>
      </w:r>
      <w:r w:rsidR="00F253BA">
        <w:rPr>
          <w:rFonts w:ascii="Arial Narrow" w:eastAsia="Arial Narrow" w:hAnsi="Arial Narrow" w:cs="Arial Narrow"/>
          <w:color w:val="000000"/>
          <w:sz w:val="22"/>
          <w:szCs w:val="22"/>
        </w:rPr>
        <w:t>.202</w:t>
      </w:r>
      <w:r w:rsidR="008F5D1F">
        <w:rPr>
          <w:rFonts w:ascii="Arial Narrow" w:eastAsia="Arial Narrow" w:hAnsi="Arial Narrow" w:cs="Arial Narrow"/>
          <w:color w:val="000000"/>
          <w:sz w:val="22"/>
          <w:szCs w:val="22"/>
        </w:rPr>
        <w:t>2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Právny dôvod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na zostavenie účtovnej závierky:</w:t>
      </w:r>
      <w:r w:rsidR="00F253BA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Riadna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4)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Údaje o skupine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účtovných jednotiek v súvislosti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s konsolidáciou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</w:t>
      </w:r>
      <w:r w:rsidR="00F253BA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nie je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a) Obchodné meno a sídlo účtovnej jednotky, ktorá zostavuje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konsolidovanú účtovnú závierku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za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najväčšiu skupinu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, ktorej súčasťou je účtovná jednotka ako dcérska účtovná jednotka (najvyšší stupeň konsolidácie):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b) Obchodné meno a sídlo účtovnej jednotky, ktorá zostavuje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konsolidovanú účtovnú závierku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za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najmenšiu skupinu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c) Adresa, kde sa môže vyžiadať kópia vyššie uvedených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konsolidovaných účtovných závierok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lastRenderedPageBreak/>
        <w:t xml:space="preserve">d) Údaj, či účtovná jednotka je materskou účtovnou jednotkou a údaj, či je oslobodená od povinnosti zostaviť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konsolidovanú účtovnú závierku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a konsolidovanú výročnú správu podľa § 22 zákona o účtovníctve, pričom sa uvádzajú: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1. pri oslobodení podľa § 22 ods. 8 zákona o účtovníctve obchodné meno a sídlo materskej účtovnej jednotky zostavujúcej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konsolidovanú účtovnú závierku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podľa osobitných predpisov (IFRS/EÚ):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5)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</w:t>
      </w:r>
    </w:p>
    <w:tbl>
      <w:tblPr>
        <w:tblStyle w:val="a1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D015B0">
        <w:trPr>
          <w:trHeight w:val="537"/>
        </w:trPr>
        <w:tc>
          <w:tcPr>
            <w:tcW w:w="4857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9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položky</w:t>
            </w:r>
            <w:proofErr w:type="spellEnd"/>
          </w:p>
        </w:tc>
        <w:tc>
          <w:tcPr>
            <w:tcW w:w="2523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  <w:tc>
          <w:tcPr>
            <w:tcW w:w="2367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</w:tr>
      <w:tr w:rsidR="00D015B0">
        <w:trPr>
          <w:trHeight w:val="163"/>
        </w:trPr>
        <w:tc>
          <w:tcPr>
            <w:tcW w:w="485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Priemerný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prepočítaný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počet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počas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účtovného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obdobia</w:t>
            </w:r>
            <w:proofErr w:type="spellEnd"/>
          </w:p>
        </w:tc>
        <w:tc>
          <w:tcPr>
            <w:tcW w:w="2523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236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  <w:r w:rsidR="00F253BA">
              <w:rPr>
                <w:rFonts w:ascii="Arial Narrow" w:eastAsia="Arial Narrow" w:hAnsi="Arial Narrow" w:cs="Arial Narrow"/>
                <w:color w:val="000000"/>
              </w:rPr>
              <w:t>1</w:t>
            </w:r>
            <w:r w:rsidR="00900DD9">
              <w:rPr>
                <w:rFonts w:ascii="Arial Narrow" w:eastAsia="Arial Narrow" w:hAnsi="Arial Narrow" w:cs="Arial Narrow"/>
                <w:color w:val="000000"/>
              </w:rPr>
              <w:t>8</w:t>
            </w:r>
          </w:p>
        </w:tc>
      </w:tr>
    </w:tbl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left="928"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468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Článok II – INFORMÁCIE O ORGÁNOCH SPOLOČNOSTI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Informácie o orgánoch účtovnej jednotky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2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01"/>
      </w:tblGrid>
      <w:tr w:rsidR="00D015B0">
        <w:trPr>
          <w:trHeight w:val="780"/>
          <w:jc w:val="center"/>
        </w:trPr>
        <w:tc>
          <w:tcPr>
            <w:tcW w:w="6312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Orgány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účtovnej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jednotky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</w:tr>
      <w:tr w:rsidR="00D015B0">
        <w:trPr>
          <w:trHeight w:val="267"/>
          <w:jc w:val="center"/>
        </w:trPr>
        <w:tc>
          <w:tcPr>
            <w:tcW w:w="6312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Štatutárny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orgán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D015B0">
        <w:trPr>
          <w:trHeight w:val="144"/>
          <w:jc w:val="center"/>
        </w:trPr>
        <w:tc>
          <w:tcPr>
            <w:tcW w:w="6312" w:type="dxa"/>
            <w:vAlign w:val="center"/>
          </w:tcPr>
          <w:p w:rsidR="00D015B0" w:rsidRDefault="001076C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druh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príjmu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výhody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):</w:t>
            </w:r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  <w:proofErr w:type="spellStart"/>
            <w:r w:rsidR="00F253BA">
              <w:rPr>
                <w:rFonts w:ascii="Arial Narrow" w:eastAsia="Arial Narrow" w:hAnsi="Arial Narrow" w:cs="Arial Narrow"/>
                <w:color w:val="000000"/>
              </w:rPr>
              <w:t>žiadne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  <w:proofErr w:type="spellStart"/>
            <w:r w:rsidR="00F253BA">
              <w:rPr>
                <w:rFonts w:ascii="Arial Narrow" w:eastAsia="Arial Narrow" w:hAnsi="Arial Narrow" w:cs="Arial Narrow"/>
                <w:color w:val="000000"/>
              </w:rPr>
              <w:t>žiadne</w:t>
            </w:r>
            <w:proofErr w:type="spellEnd"/>
          </w:p>
        </w:tc>
      </w:tr>
      <w:tr w:rsidR="00D015B0">
        <w:trPr>
          <w:trHeight w:val="161"/>
          <w:jc w:val="center"/>
        </w:trPr>
        <w:tc>
          <w:tcPr>
            <w:tcW w:w="6312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Dozorný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orgán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D015B0">
        <w:trPr>
          <w:trHeight w:val="161"/>
          <w:jc w:val="center"/>
        </w:trPr>
        <w:tc>
          <w:tcPr>
            <w:tcW w:w="6312" w:type="dxa"/>
            <w:vAlign w:val="center"/>
          </w:tcPr>
          <w:p w:rsidR="00D015B0" w:rsidRDefault="001076C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druh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príjmu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výhody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):</w:t>
            </w:r>
          </w:p>
        </w:tc>
        <w:tc>
          <w:tcPr>
            <w:tcW w:w="1701" w:type="dxa"/>
            <w:vAlign w:val="center"/>
          </w:tcPr>
          <w:p w:rsidR="00D015B0" w:rsidRDefault="00F253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Žiadne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F253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Žiadne</w:t>
            </w:r>
            <w:proofErr w:type="spellEnd"/>
          </w:p>
        </w:tc>
      </w:tr>
      <w:tr w:rsidR="00D015B0">
        <w:trPr>
          <w:trHeight w:val="161"/>
          <w:jc w:val="center"/>
        </w:trPr>
        <w:tc>
          <w:tcPr>
            <w:tcW w:w="6312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Iný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orgán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účtovnej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jednotky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rPr>
          <w:trHeight w:val="161"/>
          <w:jc w:val="center"/>
        </w:trPr>
        <w:tc>
          <w:tcPr>
            <w:tcW w:w="6312" w:type="dxa"/>
            <w:vAlign w:val="center"/>
          </w:tcPr>
          <w:p w:rsidR="00D015B0" w:rsidRDefault="001076C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druh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príjmu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výhody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):</w:t>
            </w:r>
          </w:p>
        </w:tc>
        <w:tc>
          <w:tcPr>
            <w:tcW w:w="1701" w:type="dxa"/>
            <w:vAlign w:val="center"/>
          </w:tcPr>
          <w:p w:rsidR="00D015B0" w:rsidRDefault="00F253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žiadne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F253B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žiadne</w:t>
            </w:r>
            <w:proofErr w:type="spellEnd"/>
          </w:p>
        </w:tc>
      </w:tr>
    </w:tbl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141"/>
        <w:jc w:val="center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Článok III – INFORMÁCIE O PRIJATÝCH POSTUPOCH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:rsidR="00D015B0" w:rsidRDefault="00F253BA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                                                            Áno</w:t>
      </w:r>
    </w:p>
    <w:p w:rsidR="00F253BA" w:rsidRDefault="00F253BA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o zmenách účtovných zásad a zmenách účtovných metód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, a to s uvedením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dôvodu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ich uplatnenia a ich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vplyvu na hodnotu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D015B0" w:rsidRDefault="00F253BA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                                                               Nie</w:t>
      </w:r>
    </w:p>
    <w:p w:rsidR="00F253BA" w:rsidRDefault="00F253BA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3) Informácie o charaktere a účele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transakcií, ktoré sa neuvádzajú v súvahe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riziká alebo prínosy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lastRenderedPageBreak/>
        <w:t xml:space="preserve">časovo limitované licencie a oprávnenia, podnikové kombinácie, záväzky investovať, dopad legislatívy, celkový pokles v hospodárskom segmente): </w:t>
      </w:r>
      <w:r w:rsidR="00F253BA">
        <w:rPr>
          <w:rFonts w:ascii="Arial Narrow" w:eastAsia="Arial Narrow" w:hAnsi="Arial Narrow" w:cs="Arial Narrow"/>
          <w:color w:val="000000"/>
          <w:sz w:val="22"/>
          <w:szCs w:val="22"/>
        </w:rPr>
        <w:t>žiadne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  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4)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Spôsob a určenie oceňovania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majetku a záväzkov (vrátane rozhodujúcich odhadov):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):</w:t>
      </w:r>
    </w:p>
    <w:p w:rsidR="00D015B0" w:rsidRDefault="00D015B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3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položky</w:t>
            </w:r>
            <w:proofErr w:type="spellEnd"/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Spôsob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oceňovania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nehmotný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externe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kúpený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cena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nehmotný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interne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vytvorený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nehmotný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obstaraný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inak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darom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externe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kúpený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cena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interne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vytvorený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nehmotný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obstaraný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inak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darom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finančný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cena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Zásoby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obstarané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kúpou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cena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Zásoby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vytvorené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vlastnou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činnosťou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Vlastné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náklady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Zásoby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obstarané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inak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darom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ZV a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zákazková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výstavba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nehnuteľnosti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určenej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predaj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Vlastné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pohľadávky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hodnota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Kúpené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pohľadávky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Krátkodobý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finančný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cena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Časové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rozlíšenie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strane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aktív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súvahy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hodnota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vrátane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rezerv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dlhopisov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pôžičiek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a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úverov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hodnota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Časové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rozlíšenie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strane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pasív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súvahy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hodnota</w:t>
            </w:r>
            <w:proofErr w:type="spellEnd"/>
          </w:p>
        </w:tc>
      </w:tr>
      <w:tr w:rsidR="00D015B0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Deriváty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706" w:type="dxa"/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18.</w:t>
            </w:r>
          </w:p>
        </w:tc>
        <w:tc>
          <w:tcPr>
            <w:tcW w:w="5300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a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zabezpečené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derivátmi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: </w:t>
            </w:r>
          </w:p>
        </w:tc>
        <w:tc>
          <w:tcPr>
            <w:tcW w:w="3600" w:type="dxa"/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706" w:type="dxa"/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19.</w:t>
            </w:r>
          </w:p>
        </w:tc>
        <w:tc>
          <w:tcPr>
            <w:tcW w:w="5300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Prenajatý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obstaraný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základe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zmluvy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kúpe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prenajatej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veci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cena</w:t>
            </w:r>
            <w:proofErr w:type="spellEnd"/>
          </w:p>
        </w:tc>
      </w:tr>
      <w:tr w:rsidR="00D015B0">
        <w:tc>
          <w:tcPr>
            <w:tcW w:w="706" w:type="dxa"/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20.</w:t>
            </w:r>
          </w:p>
        </w:tc>
        <w:tc>
          <w:tcPr>
            <w:tcW w:w="5300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Splatná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daň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z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príjmov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</w:rPr>
              <w:t>a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odložená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daň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z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príjmov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>:</w:t>
            </w:r>
          </w:p>
        </w:tc>
        <w:tc>
          <w:tcPr>
            <w:tcW w:w="3600" w:type="dxa"/>
          </w:tcPr>
          <w:p w:rsidR="00D015B0" w:rsidRDefault="00107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hodnota</w:t>
            </w:r>
            <w:proofErr w:type="spellEnd"/>
          </w:p>
        </w:tc>
      </w:tr>
    </w:tbl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d) Určenie ocenenia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finančných nástrojov alebo majetku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, ktorý nie je finančným nástrojom pri oceňovaní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reálnou hodnotou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e) Určenie ocenenia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finančných nástrojov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pri oceňovaní obstarávacou cenou alebo vlastnými nákladmi: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Komentár k oceňovaniu majetku a záväzkov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: </w:t>
      </w:r>
    </w:p>
    <w:p w:rsidR="00D015B0" w:rsidRDefault="001076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Finančné nástroje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Z.z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futures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, swapy, forwardy), nástroje peňažného trhu (pokladničné poukážky, vkladové listy).</w:t>
      </w:r>
    </w:p>
    <w:p w:rsidR="00D015B0" w:rsidRDefault="001076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Opravné položky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D015B0" w:rsidRDefault="001076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Opravnú položku k dlhodobej pohľadávke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a opravnú položku k dlhodobej pôžičke UJ stanovila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odúročenia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 xml:space="preserve"> na súčasnú hodnotu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(§ 18/8 PU; § 21/6 PU).</w:t>
      </w:r>
    </w:p>
    <w:p w:rsidR="00D015B0" w:rsidRDefault="001076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Rezervy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ocenila UJ kalkulačnou metódou kvalifikovaného odhadu ich menovitej hodnoty na pokrytie budúcich záväzkov.</w:t>
      </w:r>
    </w:p>
    <w:p w:rsidR="00D015B0" w:rsidRDefault="001076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lastRenderedPageBreak/>
        <w:t xml:space="preserve">UJ počas účtovného obdobia (§ 25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), ani k 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závierkovému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dňu (§ 27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) nepoužila ocenenie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reálnou hodnotou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lebo nemala k tomu vecnú náplň.</w:t>
      </w:r>
    </w:p>
    <w:p w:rsidR="00D015B0" w:rsidRDefault="001076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vážený aritmetický priemer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(§ 25/5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; § 22/1 PU).</w:t>
      </w:r>
    </w:p>
    <w:p w:rsidR="00D015B0" w:rsidRDefault="001076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používa pri oceňovaní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prírastku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cudzej meny v hotovosti alebo na bankový účet –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zmenárenský kurz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konkrétnej banky (§ 24/3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).</w:t>
      </w:r>
    </w:p>
    <w:p w:rsidR="00D015B0" w:rsidRDefault="001076C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používa pri oceňovaní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úbytku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cudzej meny v hotovosti alebo z bankového účtu –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základné pravidlo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).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metódou vlastného imania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(§ 27/9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).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D015B0" w:rsidRDefault="001076C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120"/>
        <w:jc w:val="both"/>
        <w:rPr>
          <w:rFonts w:ascii="Arial Narrow" w:eastAsia="Arial Narrow" w:hAnsi="Arial Narrow" w:cs="Arial Narrow"/>
          <w:i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g) </w:t>
      </w:r>
      <w:r>
        <w:rPr>
          <w:rFonts w:ascii="Arial Narrow" w:eastAsia="Arial Narrow" w:hAnsi="Arial Narrow" w:cs="Arial Narrow"/>
          <w:b/>
          <w:i/>
          <w:color w:val="000000"/>
          <w:sz w:val="22"/>
          <w:szCs w:val="22"/>
        </w:rPr>
        <w:t>Tvorba odpisového plánu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Style w:val="a4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D015B0">
        <w:tc>
          <w:tcPr>
            <w:tcW w:w="421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hmotný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nehmotný</w:t>
            </w:r>
            <w:proofErr w:type="spellEnd"/>
          </w:p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odpisovaný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majetok</w:t>
            </w:r>
            <w:proofErr w:type="spellEnd"/>
          </w:p>
        </w:tc>
        <w:tc>
          <w:tcPr>
            <w:tcW w:w="1013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číslo</w:t>
            </w:r>
            <w:proofErr w:type="spellEnd"/>
          </w:p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účtu</w:t>
            </w:r>
            <w:proofErr w:type="spellEnd"/>
          </w:p>
        </w:tc>
        <w:tc>
          <w:tcPr>
            <w:tcW w:w="210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doba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odpisovania</w:t>
            </w:r>
            <w:proofErr w:type="spellEnd"/>
          </w:p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(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počet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rokov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>)</w:t>
            </w:r>
          </w:p>
        </w:tc>
        <w:tc>
          <w:tcPr>
            <w:tcW w:w="226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odpisová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sadzba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</w:p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(%)</w:t>
            </w:r>
          </w:p>
        </w:tc>
      </w:tr>
      <w:tr w:rsidR="00D015B0">
        <w:tc>
          <w:tcPr>
            <w:tcW w:w="421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Software</w:t>
            </w:r>
          </w:p>
        </w:tc>
        <w:tc>
          <w:tcPr>
            <w:tcW w:w="1013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013</w:t>
            </w:r>
          </w:p>
        </w:tc>
        <w:tc>
          <w:tcPr>
            <w:tcW w:w="210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4</w:t>
            </w:r>
          </w:p>
        </w:tc>
        <w:tc>
          <w:tcPr>
            <w:tcW w:w="226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25</w:t>
            </w:r>
          </w:p>
        </w:tc>
      </w:tr>
      <w:tr w:rsidR="00D015B0">
        <w:tc>
          <w:tcPr>
            <w:tcW w:w="421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Ostatný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DNM </w:t>
            </w:r>
          </w:p>
        </w:tc>
        <w:tc>
          <w:tcPr>
            <w:tcW w:w="1013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019</w:t>
            </w:r>
          </w:p>
        </w:tc>
        <w:tc>
          <w:tcPr>
            <w:tcW w:w="210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4</w:t>
            </w:r>
          </w:p>
        </w:tc>
        <w:tc>
          <w:tcPr>
            <w:tcW w:w="226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25</w:t>
            </w:r>
          </w:p>
        </w:tc>
      </w:tr>
      <w:tr w:rsidR="00D015B0">
        <w:tc>
          <w:tcPr>
            <w:tcW w:w="421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Stavby</w:t>
            </w:r>
            <w:proofErr w:type="spellEnd"/>
          </w:p>
        </w:tc>
        <w:tc>
          <w:tcPr>
            <w:tcW w:w="1013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021</w:t>
            </w:r>
          </w:p>
        </w:tc>
        <w:tc>
          <w:tcPr>
            <w:tcW w:w="210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25</w:t>
            </w:r>
          </w:p>
        </w:tc>
        <w:tc>
          <w:tcPr>
            <w:tcW w:w="226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4</w:t>
            </w:r>
          </w:p>
        </w:tc>
      </w:tr>
      <w:tr w:rsidR="00D015B0">
        <w:tc>
          <w:tcPr>
            <w:tcW w:w="421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Počítače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príslušenstvom</w:t>
            </w:r>
            <w:proofErr w:type="spellEnd"/>
          </w:p>
        </w:tc>
        <w:tc>
          <w:tcPr>
            <w:tcW w:w="1013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022.A</w:t>
            </w:r>
          </w:p>
        </w:tc>
        <w:tc>
          <w:tcPr>
            <w:tcW w:w="210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5</w:t>
            </w:r>
          </w:p>
        </w:tc>
        <w:tc>
          <w:tcPr>
            <w:tcW w:w="226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20</w:t>
            </w:r>
          </w:p>
        </w:tc>
      </w:tr>
      <w:tr w:rsidR="00D015B0">
        <w:tc>
          <w:tcPr>
            <w:tcW w:w="421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Dopravné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prostriedky</w:t>
            </w:r>
            <w:proofErr w:type="spellEnd"/>
          </w:p>
        </w:tc>
        <w:tc>
          <w:tcPr>
            <w:tcW w:w="1013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023</w:t>
            </w:r>
          </w:p>
        </w:tc>
        <w:tc>
          <w:tcPr>
            <w:tcW w:w="2107" w:type="dxa"/>
          </w:tcPr>
          <w:p w:rsidR="00D015B0" w:rsidRDefault="00F9593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4</w:t>
            </w:r>
          </w:p>
        </w:tc>
        <w:tc>
          <w:tcPr>
            <w:tcW w:w="2268" w:type="dxa"/>
          </w:tcPr>
          <w:p w:rsidR="00D015B0" w:rsidRDefault="00F9593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25</w:t>
            </w:r>
          </w:p>
        </w:tc>
      </w:tr>
      <w:tr w:rsidR="00D015B0">
        <w:tc>
          <w:tcPr>
            <w:tcW w:w="421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stroje</w:t>
            </w:r>
            <w:proofErr w:type="spellEnd"/>
          </w:p>
        </w:tc>
        <w:tc>
          <w:tcPr>
            <w:tcW w:w="1013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022.A</w:t>
            </w:r>
          </w:p>
        </w:tc>
        <w:tc>
          <w:tcPr>
            <w:tcW w:w="2107" w:type="dxa"/>
          </w:tcPr>
          <w:p w:rsidR="00D015B0" w:rsidRDefault="00F9593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4</w:t>
            </w:r>
          </w:p>
        </w:tc>
        <w:tc>
          <w:tcPr>
            <w:tcW w:w="2268" w:type="dxa"/>
          </w:tcPr>
          <w:p w:rsidR="00D015B0" w:rsidRDefault="00F9593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25</w:t>
            </w:r>
          </w:p>
        </w:tc>
      </w:tr>
      <w:tr w:rsidR="00D015B0">
        <w:tc>
          <w:tcPr>
            <w:tcW w:w="421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Ostatný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</w:p>
        </w:tc>
        <w:tc>
          <w:tcPr>
            <w:tcW w:w="1013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029</w:t>
            </w:r>
          </w:p>
        </w:tc>
        <w:tc>
          <w:tcPr>
            <w:tcW w:w="2107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5</w:t>
            </w:r>
          </w:p>
        </w:tc>
        <w:tc>
          <w:tcPr>
            <w:tcW w:w="226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20</w:t>
            </w:r>
          </w:p>
        </w:tc>
      </w:tr>
    </w:tbl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Komentár k odpisovému plánu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: </w:t>
      </w:r>
    </w:p>
    <w:p w:rsidR="00D015B0" w:rsidRDefault="001076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UJ používa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účtovné odpisy nezávisle na daňových odpisoch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. Majetok sa začína odpisovať v mesiaci, kedy bol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zaradený do užívania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D015B0" w:rsidRDefault="001076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UJ používa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rovnomerné odpisovanie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D015B0" w:rsidRDefault="001076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UJ odpisuje jednotlivé veci alebo relevantné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súbory hnuteľných vecí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D015B0" w:rsidRDefault="001076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UJ nepoužila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jednorazový odpis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dlhodobého majetku z dôvodu jednorazového trvalého zníženia hodnoty majetku (§ 21/5 PU).</w:t>
      </w:r>
    </w:p>
    <w:p w:rsidR="00D015B0" w:rsidRDefault="001076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- položky pod 2 400 eur jednotkovej ceny so životnosťou nad jeden rok (§ 13/2 PU).</w:t>
      </w:r>
    </w:p>
    <w:p w:rsidR="00D015B0" w:rsidRDefault="001076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- položky pod 1 700 eur jednotkovej ceny so životnosťou nad jeden rok (§ 13/6 PU).</w:t>
      </w:r>
    </w:p>
    <w:p w:rsidR="00D015B0" w:rsidRDefault="001076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D015B0" w:rsidRDefault="001076C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nepoužíva dobrovoľnú kapitalizáciu úrokov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keepNext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i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lastRenderedPageBreak/>
        <w:t xml:space="preserve">h) Informácia </w:t>
      </w:r>
      <w:r>
        <w:rPr>
          <w:rFonts w:ascii="Arial Narrow" w:eastAsia="Arial Narrow" w:hAnsi="Arial Narrow" w:cs="Arial Narrow"/>
          <w:b/>
          <w:i/>
          <w:color w:val="000000"/>
          <w:sz w:val="22"/>
          <w:szCs w:val="22"/>
        </w:rPr>
        <w:t>o poskytnutých dotáciách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a pri dotáciách na obstaranie majetku sa uvedú zložky majetku a ich ocenenie: </w:t>
      </w:r>
    </w:p>
    <w:p w:rsidR="00D015B0" w:rsidRDefault="00D015B0">
      <w:pPr>
        <w:keepNext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i/>
          <w:color w:val="000000"/>
          <w:sz w:val="22"/>
          <w:szCs w:val="22"/>
        </w:rPr>
      </w:pPr>
    </w:p>
    <w:p w:rsidR="00D015B0" w:rsidRDefault="001076C0">
      <w:pPr>
        <w:keepNext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b/>
          <w:i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5) </w:t>
      </w:r>
      <w:r>
        <w:rPr>
          <w:rFonts w:ascii="Arial Narrow" w:eastAsia="Arial Narrow" w:hAnsi="Arial Narrow" w:cs="Arial Narrow"/>
          <w:b/>
          <w:i/>
          <w:color w:val="000000"/>
          <w:sz w:val="22"/>
          <w:szCs w:val="22"/>
        </w:rPr>
        <w:t xml:space="preserve">Informácie o oprave </w:t>
      </w:r>
      <w:r>
        <w:rPr>
          <w:rFonts w:ascii="Arial Narrow" w:eastAsia="Arial Narrow" w:hAnsi="Arial Narrow" w:cs="Arial Narrow"/>
          <w:b/>
          <w:i/>
          <w:color w:val="000000"/>
          <w:sz w:val="22"/>
          <w:szCs w:val="22"/>
          <w:u w:val="single"/>
        </w:rPr>
        <w:t>významných chýb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  <w:u w:val="single"/>
        </w:rPr>
        <w:t>s uvedením sumy vplyvu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  <w:u w:val="single"/>
        </w:rPr>
        <w:t>nevýznamných chýb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Style w:val="a5"/>
        <w:tblW w:w="96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19"/>
      </w:tblGrid>
      <w:tr w:rsidR="00D015B0">
        <w:tc>
          <w:tcPr>
            <w:tcW w:w="3075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    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Opis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účtovného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prípadu</w:t>
            </w:r>
            <w:proofErr w:type="spellEnd"/>
          </w:p>
        </w:tc>
        <w:tc>
          <w:tcPr>
            <w:tcW w:w="1040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 Suma</w:t>
            </w:r>
          </w:p>
        </w:tc>
        <w:tc>
          <w:tcPr>
            <w:tcW w:w="1039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MD/DAL</w:t>
            </w:r>
          </w:p>
        </w:tc>
        <w:tc>
          <w:tcPr>
            <w:tcW w:w="1928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Vplyv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výsledok</w:t>
            </w:r>
            <w:proofErr w:type="spellEnd"/>
          </w:p>
        </w:tc>
        <w:tc>
          <w:tcPr>
            <w:tcW w:w="2519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Vplyv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vlastné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imanie</w:t>
            </w:r>
            <w:proofErr w:type="spellEnd"/>
          </w:p>
        </w:tc>
      </w:tr>
      <w:tr w:rsidR="00D015B0">
        <w:tc>
          <w:tcPr>
            <w:tcW w:w="3075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040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039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928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2519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c>
          <w:tcPr>
            <w:tcW w:w="3075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040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039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928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2519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Vysvetlivky k oprave chýb minulých účtovných období:</w:t>
      </w:r>
    </w:p>
    <w:p w:rsidR="00D015B0" w:rsidRDefault="001076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).</w:t>
      </w:r>
    </w:p>
    <w:p w:rsidR="00D015B0" w:rsidRDefault="001076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D015B0" w:rsidRDefault="001076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D015B0" w:rsidRDefault="001076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Hranicu významnosti si UJ stanoví individuálne v internej účtovnej smernici (napr. 1 tisícina z brutto aktív).</w:t>
      </w:r>
    </w:p>
    <w:p w:rsidR="00D015B0" w:rsidRDefault="001076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).</w:t>
      </w:r>
    </w:p>
    <w:p w:rsidR="00D015B0" w:rsidRDefault="001076C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468"/>
        <w:jc w:val="center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Článok IV – INFORMÁCIE, KTORÉ VYSVETĽUJÚ A DOPĹŇAJÚ SÚVAHU A VÝKAZ ZISKOV A STRÁT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a) Dlhodobý nehmotný majetok, ktorým je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-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dôvod jeho vzniku, spôsob výpočtu a prehodnotenie opodstatnenosti jeho výšky a odpisu jeho hodnoty: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[Vysvetlivky: Záporný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goodwill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sa účtovne odpíše do výnosov (075/551)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jednorázovo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v roku jeho vzniku (§ 37 PU). Daňovo sa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goodwill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2) Informácie o významných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v tabuľkovej forme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informácia zobrazujúca pohyby v oceňovacích rozdieloch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 ocenenia reálnou hodnotou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počas účtovného obdobia.</w:t>
      </w:r>
    </w:p>
    <w:tbl>
      <w:tblPr>
        <w:tblStyle w:val="a6"/>
        <w:tblW w:w="96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36"/>
      </w:tblGrid>
      <w:tr w:rsidR="00D015B0">
        <w:trPr>
          <w:trHeight w:val="153"/>
        </w:trPr>
        <w:tc>
          <w:tcPr>
            <w:tcW w:w="3655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    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položky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derivátov</w:t>
            </w:r>
            <w:proofErr w:type="spellEnd"/>
          </w:p>
        </w:tc>
        <w:tc>
          <w:tcPr>
            <w:tcW w:w="1135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 Suma</w:t>
            </w:r>
          </w:p>
        </w:tc>
        <w:tc>
          <w:tcPr>
            <w:tcW w:w="1135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MD/DAL</w:t>
            </w:r>
          </w:p>
        </w:tc>
        <w:tc>
          <w:tcPr>
            <w:tcW w:w="1844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Vplyv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výsledok</w:t>
            </w:r>
            <w:proofErr w:type="spellEnd"/>
          </w:p>
        </w:tc>
        <w:tc>
          <w:tcPr>
            <w:tcW w:w="1836" w:type="dxa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Vplyv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imanie</w:t>
            </w:r>
            <w:proofErr w:type="spellEnd"/>
          </w:p>
        </w:tc>
      </w:tr>
      <w:tr w:rsidR="00D015B0">
        <w:trPr>
          <w:trHeight w:val="62"/>
        </w:trPr>
        <w:tc>
          <w:tcPr>
            <w:tcW w:w="3655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135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135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844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836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rPr>
          <w:trHeight w:val="109"/>
        </w:trPr>
        <w:tc>
          <w:tcPr>
            <w:tcW w:w="3655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135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135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844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836" w:type="dxa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right="-471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Komentár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: Prvotné ocenenie reálnou hodnotou (§ 25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 počas účtovného obdobia – bez náplne.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lastRenderedPageBreak/>
        <w:t>[Vysvetlivky: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Reálnou hodnotou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sa k 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závierkovému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); precenenie na reálnu hodnotu k 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závierkovému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dňu sa účtuje (§ 16 PU) - výsledkovo (účty 56x, 66x) alebo súvahovo (účet 414)].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after="120"/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3a) Celková suma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:  </w:t>
      </w:r>
    </w:p>
    <w:tbl>
      <w:tblPr>
        <w:tblStyle w:val="a7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D015B0">
        <w:trPr>
          <w:trHeight w:val="693"/>
          <w:jc w:val="center"/>
        </w:trPr>
        <w:tc>
          <w:tcPr>
            <w:tcW w:w="4785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položky</w:t>
            </w:r>
            <w:proofErr w:type="spellEnd"/>
          </w:p>
        </w:tc>
        <w:tc>
          <w:tcPr>
            <w:tcW w:w="2553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  <w:tc>
          <w:tcPr>
            <w:tcW w:w="2376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</w:tr>
      <w:tr w:rsidR="00D015B0">
        <w:trPr>
          <w:trHeight w:val="207"/>
          <w:jc w:val="center"/>
        </w:trPr>
        <w:tc>
          <w:tcPr>
            <w:tcW w:w="4785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so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zostatkovou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dobou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splatnosti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nad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5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rokov</w:t>
            </w:r>
            <w:proofErr w:type="spellEnd"/>
          </w:p>
        </w:tc>
        <w:tc>
          <w:tcPr>
            <w:tcW w:w="2553" w:type="dxa"/>
            <w:vAlign w:val="center"/>
          </w:tcPr>
          <w:p w:rsidR="00D015B0" w:rsidRDefault="00F9593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</w:t>
            </w:r>
          </w:p>
        </w:tc>
        <w:tc>
          <w:tcPr>
            <w:tcW w:w="2376" w:type="dxa"/>
            <w:vAlign w:val="center"/>
          </w:tcPr>
          <w:p w:rsidR="00D015B0" w:rsidRDefault="00F9593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</w:t>
            </w:r>
          </w:p>
        </w:tc>
      </w:tr>
    </w:tbl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before="120"/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závierkovým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dňom (§ 12 PU).]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before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ind w:right="-14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3b) Celková suma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zabezpečených záväzkov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opis a spôsob zabezpečenia záväzkov: </w:t>
      </w:r>
    </w:p>
    <w:tbl>
      <w:tblPr>
        <w:tblStyle w:val="a8"/>
        <w:tblW w:w="96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D015B0">
        <w:trPr>
          <w:jc w:val="center"/>
        </w:trPr>
        <w:tc>
          <w:tcPr>
            <w:tcW w:w="4396" w:type="dxa"/>
            <w:vMerge w:val="restart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Zabezpečené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záväzky</w:t>
            </w:r>
            <w:proofErr w:type="spellEnd"/>
          </w:p>
        </w:tc>
        <w:tc>
          <w:tcPr>
            <w:tcW w:w="5242" w:type="dxa"/>
            <w:gridSpan w:val="2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</w:tr>
      <w:tr w:rsidR="00D015B0">
        <w:trPr>
          <w:jc w:val="center"/>
        </w:trPr>
        <w:tc>
          <w:tcPr>
            <w:tcW w:w="4396" w:type="dxa"/>
            <w:vMerge/>
            <w:vAlign w:val="center"/>
          </w:tcPr>
          <w:p w:rsidR="00D015B0" w:rsidRDefault="00D015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 Narrow" w:eastAsia="Arial Narrow" w:hAnsi="Arial Narrow" w:cs="Arial Narrow"/>
                <w:b/>
                <w:color w:val="000000"/>
              </w:rPr>
            </w:pPr>
          </w:p>
        </w:tc>
        <w:tc>
          <w:tcPr>
            <w:tcW w:w="283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Spôsob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</w:p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zabezpečenia</w:t>
            </w:r>
            <w:proofErr w:type="spellEnd"/>
          </w:p>
        </w:tc>
        <w:tc>
          <w:tcPr>
            <w:tcW w:w="241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Hodnota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> 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záväzkov</w:t>
            </w:r>
            <w:proofErr w:type="spellEnd"/>
          </w:p>
        </w:tc>
      </w:tr>
      <w:tr w:rsidR="00D015B0">
        <w:trPr>
          <w:trHeight w:val="69"/>
          <w:jc w:val="center"/>
        </w:trPr>
        <w:tc>
          <w:tcPr>
            <w:tcW w:w="4396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zabezpečené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záložným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právom</w:t>
            </w:r>
            <w:proofErr w:type="spellEnd"/>
          </w:p>
        </w:tc>
        <w:tc>
          <w:tcPr>
            <w:tcW w:w="283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záložné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právo</w:t>
            </w:r>
            <w:proofErr w:type="spellEnd"/>
          </w:p>
        </w:tc>
        <w:tc>
          <w:tcPr>
            <w:tcW w:w="2411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rPr>
          <w:trHeight w:val="117"/>
          <w:jc w:val="center"/>
        </w:trPr>
        <w:tc>
          <w:tcPr>
            <w:tcW w:w="4396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zabezpečené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iným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spôsobom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</w:p>
        </w:tc>
        <w:tc>
          <w:tcPr>
            <w:tcW w:w="2831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2411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rPr>
          <w:trHeight w:val="117"/>
          <w:jc w:val="center"/>
        </w:trPr>
        <w:tc>
          <w:tcPr>
            <w:tcW w:w="4396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Celková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suma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zabezpečených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záväzkov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>:</w:t>
            </w:r>
          </w:p>
        </w:tc>
        <w:tc>
          <w:tcPr>
            <w:tcW w:w="283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x</w:t>
            </w:r>
          </w:p>
        </w:tc>
        <w:tc>
          <w:tcPr>
            <w:tcW w:w="2411" w:type="dxa"/>
            <w:vAlign w:val="center"/>
          </w:tcPr>
          <w:p w:rsidR="00D015B0" w:rsidRDefault="00F9593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0</w:t>
            </w:r>
          </w:p>
        </w:tc>
      </w:tr>
    </w:tbl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4)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Informácie o vlastných akciách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: 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a) dôvod nadobudnutia vlastných akcií počas účtovného obdobia: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5) K vlastnému imaniu sa uvádza informácia, či účtovná jednotka tvorila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kapitálový fond z príspevkov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podľa § 123 ods. 2 alebo § 217a Obchodného zákonníka v znení neskorších predpisov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6) Informácie o sume a dôvodoch vzniku jednotlivých položiek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nákladov alebo výnosov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, ktoré majú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výnimočný rozsah alebo výskyt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žiadne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spacing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ind w:right="-471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Článok V – INFORMÁCIE O INÝCH AKTÍVACH A INÝCH PASÍVACH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1a)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Podmienený majetok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lastRenderedPageBreak/>
        <w:t xml:space="preserve">1b)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Podmienené záväzky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nie</w:t>
      </w:r>
    </w:p>
    <w:p w:rsidR="00D015B0" w:rsidRDefault="001076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nie</w:t>
      </w:r>
    </w:p>
    <w:p w:rsidR="00D015B0" w:rsidRDefault="001076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27" w:hanging="227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Ostatné finančné povinnosti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Podsúvahové účty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Style w:val="a9"/>
        <w:tblW w:w="96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593"/>
      </w:tblGrid>
      <w:tr w:rsidR="00D015B0">
        <w:trPr>
          <w:trHeight w:val="780"/>
          <w:jc w:val="center"/>
        </w:trPr>
        <w:tc>
          <w:tcPr>
            <w:tcW w:w="631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podsúvahovej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položky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  <w:tc>
          <w:tcPr>
            <w:tcW w:w="1593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b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obdobie</w:t>
            </w:r>
            <w:proofErr w:type="spellEnd"/>
          </w:p>
        </w:tc>
      </w:tr>
      <w:tr w:rsidR="00D015B0">
        <w:trPr>
          <w:trHeight w:val="267"/>
          <w:jc w:val="center"/>
        </w:trPr>
        <w:tc>
          <w:tcPr>
            <w:tcW w:w="631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Prenajatý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93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D015B0">
        <w:trPr>
          <w:trHeight w:val="144"/>
          <w:jc w:val="center"/>
        </w:trPr>
        <w:tc>
          <w:tcPr>
            <w:tcW w:w="631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prijatý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úschovy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93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D015B0">
        <w:trPr>
          <w:trHeight w:val="161"/>
          <w:jc w:val="center"/>
        </w:trPr>
        <w:tc>
          <w:tcPr>
            <w:tcW w:w="631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Pohľadávky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z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opcií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  <w:tc>
          <w:tcPr>
            <w:tcW w:w="1593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r>
              <w:rPr>
                <w:rFonts w:ascii="Arial Narrow" w:eastAsia="Arial Narrow" w:hAnsi="Arial Narrow" w:cs="Arial Narrow"/>
                <w:color w:val="000000"/>
              </w:rPr>
              <w:t> </w:t>
            </w:r>
          </w:p>
        </w:tc>
      </w:tr>
      <w:tr w:rsidR="00D015B0">
        <w:trPr>
          <w:trHeight w:val="161"/>
          <w:jc w:val="center"/>
        </w:trPr>
        <w:tc>
          <w:tcPr>
            <w:tcW w:w="631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z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opcií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593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rPr>
          <w:trHeight w:val="161"/>
          <w:jc w:val="center"/>
        </w:trPr>
        <w:tc>
          <w:tcPr>
            <w:tcW w:w="631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Odpísané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pohľadávky</w:t>
            </w:r>
            <w:proofErr w:type="spellEnd"/>
          </w:p>
        </w:tc>
        <w:tc>
          <w:tcPr>
            <w:tcW w:w="1701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593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  <w:tr w:rsidR="00D015B0">
        <w:trPr>
          <w:trHeight w:val="161"/>
          <w:jc w:val="center"/>
        </w:trPr>
        <w:tc>
          <w:tcPr>
            <w:tcW w:w="6311" w:type="dxa"/>
            <w:vAlign w:val="center"/>
          </w:tcPr>
          <w:p w:rsidR="00D015B0" w:rsidRDefault="001076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Iné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</w:rPr>
              <w:t xml:space="preserve"> ............................</w:t>
            </w:r>
          </w:p>
        </w:tc>
        <w:tc>
          <w:tcPr>
            <w:tcW w:w="1701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  <w:tc>
          <w:tcPr>
            <w:tcW w:w="1593" w:type="dxa"/>
            <w:vAlign w:val="center"/>
          </w:tcPr>
          <w:p w:rsidR="00D015B0" w:rsidRDefault="00D015B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</w:rPr>
            </w:pPr>
          </w:p>
        </w:tc>
      </w:tr>
    </w:tbl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468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Článok VI – UDALOSTI, KTORÉ NASTALI PO ZÁVIERKOVOM DNI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468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(Následné udalosti)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t.j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 a ktoré nie sú zohľadnené v súvahe alebo vo výkaze ziskov a strát, napríklad: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a)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Pokles alebo zvýšenie trhovej ceny finančného majetku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b)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Dôvody pre zmenu výšky rezerv a opravných položiek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, ktoré nastali v dôsledku udalostí po dni, ku ktorému sa zostavuje účtovná závierka do dňa zostavenia účtovnej závierky: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c) Zmena spoločníkov účtovnej jednotky: 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>nebola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d) Prijaté rozhodnutia o predaji účtovnej jednotky alebo jej časti: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e) Zmeny významných položiek dlhodobého finančného majetku: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žiadne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>nie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g) Vydané dlhopisy a iné cenné papiere: 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>neboli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h) Zlúčenie, splynutie, rozdelenie a zmena právnej formy účtovnej jednotky: 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>nie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i) Mimoriadne udalosti, ak majú vplyv na hospodárenie účtovnej jednotky, napr. živelná pohroma: 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>žiadne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j) Získanie alebo odobratie licencií alebo iných povolení významných pre činnosť účtovnej jednotky:</w:t>
      </w:r>
      <w:r w:rsidR="00F95935"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[Vysvetlivky: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Následná udalosť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dni do dňa podpísania výkazov – uvádza sa v poznámkach.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 xml:space="preserve">Upravujúci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závierkový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 xml:space="preserve"> účtovný prípad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stal sa do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závierkového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; § 2a; § 18/9; § 19/6; § 48/3; § 50/6 PU).]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ind w:right="-468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Článok VII – OSTATNÉ INFORMÁCIE</w:t>
      </w:r>
    </w:p>
    <w:p w:rsidR="00D015B0" w:rsidRDefault="00D015B0">
      <w:pPr>
        <w:pBdr>
          <w:top w:val="nil"/>
          <w:left w:val="nil"/>
          <w:bottom w:val="nil"/>
          <w:right w:val="nil"/>
          <w:between w:val="nil"/>
        </w:pBdr>
        <w:ind w:right="-468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1) Informácie o výlučnom práve poskytovať služby vo verejnom záujme: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):</w:t>
      </w:r>
    </w:p>
    <w:p w:rsidR="00D015B0" w:rsidRDefault="001076C0">
      <w:pPr>
        <w:pBdr>
          <w:top w:val="nil"/>
          <w:left w:val="nil"/>
          <w:bottom w:val="nil"/>
          <w:right w:val="nil"/>
          <w:between w:val="nil"/>
        </w:pBdr>
        <w:spacing w:after="120"/>
        <w:ind w:right="-471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):</w:t>
      </w:r>
    </w:p>
    <w:sectPr w:rsidR="00D015B0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1249" w:rsidRDefault="003C1249">
      <w:r>
        <w:separator/>
      </w:r>
    </w:p>
  </w:endnote>
  <w:endnote w:type="continuationSeparator" w:id="0">
    <w:p w:rsidR="003C1249" w:rsidRDefault="003C1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15B0" w:rsidRDefault="001076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97062A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:rsidR="00D015B0" w:rsidRDefault="00D015B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1249" w:rsidRDefault="003C1249">
      <w:r>
        <w:separator/>
      </w:r>
    </w:p>
  </w:footnote>
  <w:footnote w:type="continuationSeparator" w:id="0">
    <w:p w:rsidR="003C1249" w:rsidRDefault="003C12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15B0" w:rsidRDefault="001076C0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2990"/>
        <w:tab w:val="left" w:pos="6348"/>
      </w:tabs>
      <w:ind w:left="-397"/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2"/>
        <w:szCs w:val="22"/>
      </w:rPr>
      <w:t>Poznámky Úč POD 3 – 01                           IČO: 3</w:t>
    </w:r>
    <w:r w:rsidR="00774B5A">
      <w:rPr>
        <w:rFonts w:ascii="Arial" w:eastAsia="Arial" w:hAnsi="Arial" w:cs="Arial"/>
        <w:color w:val="000000"/>
        <w:sz w:val="22"/>
        <w:szCs w:val="22"/>
      </w:rPr>
      <w:t>1731171</w:t>
    </w:r>
    <w:r>
      <w:rPr>
        <w:rFonts w:ascii="Arial" w:eastAsia="Arial" w:hAnsi="Arial" w:cs="Arial"/>
        <w:color w:val="000000"/>
        <w:sz w:val="22"/>
        <w:szCs w:val="22"/>
      </w:rPr>
      <w:t xml:space="preserve">        DIČ: </w:t>
    </w:r>
    <w:r w:rsidR="00774B5A">
      <w:rPr>
        <w:rFonts w:ascii="Arial" w:eastAsia="Arial" w:hAnsi="Arial" w:cs="Arial"/>
        <w:color w:val="000000"/>
        <w:sz w:val="22"/>
        <w:szCs w:val="22"/>
      </w:rPr>
      <w:t>2020505861</w:t>
    </w:r>
  </w:p>
  <w:p w:rsidR="00D015B0" w:rsidRDefault="00D015B0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15B0" w:rsidRDefault="00D015B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4"/>
        <w:szCs w:val="24"/>
      </w:rPr>
    </w:pPr>
  </w:p>
  <w:tbl>
    <w:tblPr>
      <w:tblStyle w:val="aa"/>
      <w:tblW w:w="8794" w:type="dxa"/>
      <w:tblInd w:w="55" w:type="dxa"/>
      <w:tblLayout w:type="fixed"/>
      <w:tblLook w:val="0000" w:firstRow="0" w:lastRow="0" w:firstColumn="0" w:lastColumn="0" w:noHBand="0" w:noVBand="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015B0">
      <w:trPr>
        <w:trHeight w:val="330"/>
      </w:trPr>
      <w:tc>
        <w:tcPr>
          <w:tcW w:w="0" w:type="auto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Poznámky Úč POD 3 - 04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</w:tcPr>
        <w:p w:rsidR="00D015B0" w:rsidRDefault="00D015B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DIČ</w:t>
          </w:r>
        </w:p>
      </w:tc>
      <w:tc>
        <w:tcPr>
          <w:tcW w:w="0" w:type="auto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 1</w:t>
          </w:r>
        </w:p>
      </w:tc>
      <w:tc>
        <w:tcPr>
          <w:tcW w:w="0" w:type="auto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2 </w:t>
          </w:r>
        </w:p>
      </w:tc>
      <w:tc>
        <w:tcPr>
          <w:tcW w:w="0" w:type="auto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3 </w:t>
          </w:r>
        </w:p>
      </w:tc>
      <w:tc>
        <w:tcPr>
          <w:tcW w:w="0" w:type="auto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4 </w:t>
          </w:r>
        </w:p>
      </w:tc>
      <w:tc>
        <w:tcPr>
          <w:tcW w:w="0" w:type="auto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5 </w:t>
          </w:r>
        </w:p>
      </w:tc>
      <w:tc>
        <w:tcPr>
          <w:tcW w:w="0" w:type="auto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6 </w:t>
          </w:r>
        </w:p>
      </w:tc>
      <w:tc>
        <w:tcPr>
          <w:tcW w:w="0" w:type="auto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7 </w:t>
          </w:r>
        </w:p>
      </w:tc>
      <w:tc>
        <w:tcPr>
          <w:tcW w:w="0" w:type="auto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8 </w:t>
          </w:r>
        </w:p>
      </w:tc>
      <w:tc>
        <w:tcPr>
          <w:tcW w:w="0" w:type="auto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9 </w:t>
          </w:r>
        </w:p>
      </w:tc>
      <w:tc>
        <w:tcPr>
          <w:tcW w:w="0" w:type="auto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:rsidR="00D015B0" w:rsidRDefault="001076C0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/>
              <w:color w:val="000000"/>
              <w:sz w:val="24"/>
              <w:szCs w:val="24"/>
            </w:rPr>
          </w:pPr>
          <w:r>
            <w:rPr>
              <w:rFonts w:ascii="Times New Roman" w:eastAsia="Times New Roman" w:hAnsi="Times New Roman"/>
              <w:color w:val="000000"/>
              <w:sz w:val="24"/>
              <w:szCs w:val="24"/>
            </w:rPr>
            <w:t>0 </w:t>
          </w:r>
        </w:p>
      </w:tc>
    </w:tr>
  </w:tbl>
  <w:p w:rsidR="00D015B0" w:rsidRDefault="00D015B0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D0D2F"/>
    <w:multiLevelType w:val="multilevel"/>
    <w:tmpl w:val="D4E4ACF6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AEA0AA7"/>
    <w:multiLevelType w:val="multilevel"/>
    <w:tmpl w:val="A12A714E"/>
    <w:lvl w:ilvl="0">
      <w:start w:val="6"/>
      <w:numFmt w:val="bullet"/>
      <w:pStyle w:val="Nadpis1"/>
      <w:lvlText w:val="-"/>
      <w:lvlJc w:val="left"/>
      <w:pPr>
        <w:ind w:left="72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2BC5F3A"/>
    <w:multiLevelType w:val="multilevel"/>
    <w:tmpl w:val="143800A4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6B851B3A"/>
    <w:multiLevelType w:val="multilevel"/>
    <w:tmpl w:val="8B20CD06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78F35080"/>
    <w:multiLevelType w:val="multilevel"/>
    <w:tmpl w:val="E3E452D8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5B0"/>
    <w:rsid w:val="001076C0"/>
    <w:rsid w:val="00174C20"/>
    <w:rsid w:val="003C1249"/>
    <w:rsid w:val="00774B5A"/>
    <w:rsid w:val="007E5C1B"/>
    <w:rsid w:val="00895FEF"/>
    <w:rsid w:val="008F5D1F"/>
    <w:rsid w:val="009005CD"/>
    <w:rsid w:val="00900DD9"/>
    <w:rsid w:val="0097062A"/>
    <w:rsid w:val="009B54EE"/>
    <w:rsid w:val="009F0719"/>
    <w:rsid w:val="00C95BE8"/>
    <w:rsid w:val="00D015B0"/>
    <w:rsid w:val="00D0173A"/>
    <w:rsid w:val="00DC7904"/>
    <w:rsid w:val="00F253BA"/>
    <w:rsid w:val="00F7139D"/>
    <w:rsid w:val="00F95935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F069A"/>
  <w15:docId w15:val="{D7F08AD3-CB70-4B62-8D4E-159EADE89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"/>
    <w:next w:val="Nadpis2"/>
    <w:uiPriority w:val="9"/>
    <w:qFormat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</w:pPr>
    <w:rPr>
      <w:b/>
      <w:bCs/>
      <w:kern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ln">
    <w:name w:val="Normální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Standardnpsmoodstavce">
    <w:name w:val="Standardní písmo odstavce"/>
    <w:rPr>
      <w:w w:val="100"/>
      <w:position w:val="-1"/>
      <w:effect w:val="none"/>
      <w:vertAlign w:val="baseline"/>
      <w:cs w:val="0"/>
      <w:em w:val="none"/>
    </w:rPr>
  </w:style>
  <w:style w:type="table" w:customStyle="1" w:styleId="Normlntabulka">
    <w:name w:val="Normální tabul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seznamu">
    <w:name w:val="Bez seznamu"/>
  </w:style>
  <w:style w:type="character" w:customStyle="1" w:styleId="Nadpis1Char">
    <w:name w:val="Nadpis 1 Char"/>
    <w:rPr>
      <w:b/>
      <w:bCs/>
      <w:w w:val="100"/>
      <w:kern w:val="32"/>
      <w:position w:val="-1"/>
      <w:sz w:val="24"/>
      <w:szCs w:val="24"/>
      <w:effect w:val="none"/>
      <w:vertAlign w:val="baseline"/>
      <w:cs w:val="0"/>
      <w:em w:val="none"/>
      <w:lang w:val="sk-SK" w:eastAsia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Zkladntext1">
    <w:name w:val="Základní text1"/>
    <w:pPr>
      <w:suppressAutoHyphens/>
      <w:spacing w:after="24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Textpoznpodarou">
    <w:name w:val="Text pozn. pod čarou"/>
    <w:basedOn w:val="Normln"/>
    <w:rPr>
      <w:sz w:val="20"/>
      <w:szCs w:val="20"/>
    </w:rPr>
  </w:style>
  <w:style w:type="character" w:customStyle="1" w:styleId="TextpoznpodarouChar">
    <w:name w:val="Text pozn. pod čarou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Znakapoznpodarou">
    <w:name w:val="Značka pozn. pod čarou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Zpat">
    <w:name w:val="Zápatí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slostrnky">
    <w:name w:val="Číslo stránky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table" w:customStyle="1" w:styleId="Mkatabulky">
    <w:name w:val="Mřížka tabulky"/>
    <w:basedOn w:val="Normlntabulk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ev">
    <w:name w:val="Název"/>
    <w:basedOn w:val="Normln"/>
    <w:next w:val="Normln"/>
    <w:pPr>
      <w:keepNext/>
      <w:spacing w:before="100" w:beforeAutospacing="1" w:after="220"/>
      <w:jc w:val="center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evChar">
    <w:name w:val="Název Char"/>
    <w:rPr>
      <w:rFonts w:ascii="Arial Narrow" w:hAnsi="Arial Narrow" w:cs="Arial Narrow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sk-SK"/>
    </w:rPr>
  </w:style>
  <w:style w:type="paragraph" w:customStyle="1" w:styleId="TopHeader">
    <w:name w:val="Top Header"/>
    <w:basedOn w:val="Normln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Zhlav">
    <w:name w:val="Záhlaví"/>
    <w:basedOn w:val="Normln"/>
    <w:pPr>
      <w:tabs>
        <w:tab w:val="center" w:pos="4703"/>
        <w:tab w:val="right" w:pos="9406"/>
      </w:tabs>
    </w:pPr>
  </w:style>
  <w:style w:type="character" w:customStyle="1" w:styleId="ZhlavChar">
    <w:name w:val="Záhlaví Char"/>
    <w:rPr>
      <w:w w:val="100"/>
      <w:position w:val="-1"/>
      <w:sz w:val="24"/>
      <w:szCs w:val="24"/>
      <w:effect w:val="none"/>
      <w:vertAlign w:val="baseline"/>
      <w:cs w:val="0"/>
      <w:em w:val="none"/>
      <w:lang w:val="sk-SK" w:eastAsia="sk-SK"/>
    </w:rPr>
  </w:style>
  <w:style w:type="paragraph" w:customStyle="1" w:styleId="Zkladntext">
    <w:name w:val="Základní text"/>
    <w:basedOn w:val="Normln"/>
    <w:qFormat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table" w:customStyle="1" w:styleId="TableNormal0">
    <w:name w:val="Table Normal"/>
    <w:next w:val="TableNormal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74B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74B5A"/>
  </w:style>
  <w:style w:type="paragraph" w:styleId="Pta">
    <w:name w:val="footer"/>
    <w:basedOn w:val="Normlny"/>
    <w:link w:val="PtaChar"/>
    <w:uiPriority w:val="99"/>
    <w:unhideWhenUsed/>
    <w:rsid w:val="00774B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74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b8WBccWcKV/QMoJl3zv2zNyKiw==">AMUW2mXe4HPu2mNiOfHVCBoS+sXn3ANWPKASz4M6h3ZN8texCPY3UH7sA4qYXT1KUvMX3fWes3HV5AfyxAv8P+wXlHakHmQPfji/Gxe7gXUHSoK2qIF4Y/4=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2974</Words>
  <Characters>16956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BAKER</cp:lastModifiedBy>
  <cp:revision>4</cp:revision>
  <dcterms:created xsi:type="dcterms:W3CDTF">2023-05-17T09:38:00Z</dcterms:created>
  <dcterms:modified xsi:type="dcterms:W3CDTF">2023-06-26T08:24:00Z</dcterms:modified>
</cp:coreProperties>
</file>