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spacing w:after="120"/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  <w:b/>
        </w:rPr>
        <w:t xml:space="preserve">Poznámky k </w:t>
      </w:r>
      <w:proofErr w:type="spellStart"/>
      <w:r>
        <w:rPr>
          <w:rFonts w:ascii="Arial Narrow" w:hAnsi="Arial Narrow" w:cs="Arial Narrow"/>
          <w:b/>
        </w:rPr>
        <w:t>mik</w:t>
      </w:r>
      <w:r w:rsidR="00D95690">
        <w:rPr>
          <w:rFonts w:ascii="Arial Narrow" w:hAnsi="Arial Narrow" w:cs="Arial Narrow"/>
          <w:b/>
        </w:rPr>
        <w:t>ro</w:t>
      </w:r>
      <w:proofErr w:type="spellEnd"/>
      <w:r w:rsidR="00D95690">
        <w:rPr>
          <w:rFonts w:ascii="Arial Narrow" w:hAnsi="Arial Narrow" w:cs="Arial Narrow"/>
          <w:b/>
        </w:rPr>
        <w:t xml:space="preserve"> účtovnej závierke za rok 2022</w:t>
      </w:r>
    </w:p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zostavené podľa Opatrenia Ministerstva financií SR č.MF/15464/2013-74, ktorým sa ustanovujú podrobnosti o usporiadaní, označovaní a obsahovom vymedzení položiek individuálnej účtovnej závierky a rozsahu údajov určených z individuálnej účtovnej závierky na zverejnenie pre </w:t>
      </w:r>
      <w:proofErr w:type="spellStart"/>
      <w:r>
        <w:rPr>
          <w:rFonts w:ascii="Arial Narrow" w:hAnsi="Arial Narrow" w:cs="Arial Narrow"/>
          <w:b/>
        </w:rPr>
        <w:t>mikro</w:t>
      </w:r>
      <w:proofErr w:type="spellEnd"/>
      <w:r>
        <w:rPr>
          <w:rFonts w:ascii="Arial Narrow" w:hAnsi="Arial Narrow" w:cs="Arial Narrow"/>
          <w:b/>
        </w:rPr>
        <w:t xml:space="preserve"> účtovné jednotky</w:t>
      </w:r>
      <w:r>
        <w:rPr>
          <w:rFonts w:ascii="Arial Narrow" w:hAnsi="Arial Narrow" w:cs="Arial Narrow"/>
        </w:rPr>
        <w:t xml:space="preserve"> v znení neskorších predpisov</w:t>
      </w:r>
    </w:p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jc w:val="center"/>
        <w:rPr>
          <w:rFonts w:ascii="Arial" w:hAnsi="Arial" w:cs="Arial"/>
          <w:lang w:val="en-US"/>
        </w:rPr>
      </w:pPr>
      <w:r>
        <w:rPr>
          <w:rFonts w:ascii="Arial Narrow" w:hAnsi="Arial Narrow" w:cs="Arial Narrow"/>
        </w:rPr>
        <w:t>(ostatná novela č.MF/18008/2014-74 – FS č.10/2014)</w:t>
      </w:r>
    </w:p>
    <w:p w:rsidR="00143E94" w:rsidRDefault="00143E94"/>
    <w:p w:rsidR="00D56C28" w:rsidRDefault="00D56C28" w:rsidP="00D56C28">
      <w:pPr>
        <w:pStyle w:val="Nadpis1"/>
        <w:numPr>
          <w:ilvl w:val="0"/>
          <w:numId w:val="1"/>
        </w:numPr>
        <w:spacing w:before="69"/>
        <w:ind w:left="0" w:right="836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</w:t>
      </w:r>
    </w:p>
    <w:p w:rsidR="00D56C28" w:rsidRDefault="00D56C28" w:rsidP="00D56C28">
      <w:pPr>
        <w:ind w:right="841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Vš</w:t>
      </w:r>
      <w:r>
        <w:rPr>
          <w:rFonts w:ascii="Arial" w:eastAsia="Times New Roman" w:hAnsi="Arial" w:cs="Arial"/>
          <w:b/>
          <w:bCs/>
          <w:spacing w:val="-2"/>
        </w:rPr>
        <w:t>e</w:t>
      </w:r>
      <w:r>
        <w:rPr>
          <w:rFonts w:ascii="Arial" w:eastAsia="Times New Roman" w:hAnsi="Arial" w:cs="Arial"/>
          <w:b/>
          <w:bCs/>
        </w:rPr>
        <w:t>ob</w:t>
      </w:r>
      <w:r>
        <w:rPr>
          <w:rFonts w:ascii="Arial" w:eastAsia="Times New Roman" w:hAnsi="Arial" w:cs="Arial"/>
          <w:b/>
          <w:bCs/>
          <w:spacing w:val="-1"/>
        </w:rPr>
        <w:t>ec</w:t>
      </w:r>
      <w:r>
        <w:rPr>
          <w:rFonts w:ascii="Arial" w:eastAsia="Times New Roman" w:hAnsi="Arial" w:cs="Arial"/>
          <w:b/>
          <w:bCs/>
        </w:rPr>
        <w:t>né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úda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e</w:t>
      </w:r>
    </w:p>
    <w:p w:rsidR="00D56C28" w:rsidRDefault="00D56C28" w:rsidP="00D56C28">
      <w:pPr>
        <w:spacing w:before="7" w:line="24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" w:type="dxa"/>
        <w:tblLayout w:type="fixed"/>
        <w:tblLook w:val="0000"/>
      </w:tblPr>
      <w:tblGrid>
        <w:gridCol w:w="3084"/>
        <w:gridCol w:w="6622"/>
      </w:tblGrid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CD0DAC" w:rsidP="001E3C39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Calma community</w:t>
            </w:r>
            <w:r w:rsidR="00B85FCD">
              <w:rPr>
                <w:rFonts w:ascii="Arial" w:hAnsi="Arial" w:cs="Arial"/>
              </w:rPr>
              <w:t xml:space="preserve">, </w:t>
            </w:r>
            <w:r w:rsidR="001E3C39">
              <w:rPr>
                <w:rFonts w:ascii="Arial" w:hAnsi="Arial" w:cs="Arial"/>
              </w:rPr>
              <w:t xml:space="preserve"> </w:t>
            </w:r>
            <w:r w:rsidR="00D56C28">
              <w:rPr>
                <w:rFonts w:ascii="Arial" w:hAnsi="Arial" w:cs="Arial"/>
              </w:rPr>
              <w:t>s.r.o.</w:t>
            </w:r>
          </w:p>
        </w:tc>
      </w:tr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CD0DAC" w:rsidP="00FB1747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53234375</w:t>
            </w:r>
          </w:p>
        </w:tc>
      </w:tr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CD0DAC" w:rsidP="00FB1747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SNP 10/5, 03851 Turčianska Štiavnička</w:t>
            </w:r>
          </w:p>
        </w:tc>
      </w:tr>
    </w:tbl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– </w:t>
      </w:r>
      <w:r>
        <w:rPr>
          <w:rFonts w:ascii="Arial" w:hAnsi="Arial" w:cs="Arial"/>
          <w:spacing w:val="-5"/>
          <w:sz w:val="22"/>
          <w:szCs w:val="22"/>
        </w:rPr>
        <w:t>spoločnosť nie je súčasťou konsolidovaného celku, nakoľko neboli splnené podmienky konsolidácie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" w:type="dxa"/>
        <w:tblLayout w:type="fixed"/>
        <w:tblLook w:val="0000"/>
      </w:tblPr>
      <w:tblGrid>
        <w:gridCol w:w="4218"/>
        <w:gridCol w:w="2126"/>
        <w:gridCol w:w="3363"/>
      </w:tblGrid>
      <w:tr w:rsidR="00D56C28" w:rsidTr="00FB174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Bežné účtovné</w:t>
            </w:r>
          </w:p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D56C28" w:rsidTr="00FB174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8650DA" w:rsidP="00FB1747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D95690" w:rsidP="00FB1747">
            <w:pPr>
              <w:spacing w:line="260" w:lineRule="exact"/>
              <w:jc w:val="center"/>
            </w:pPr>
            <w:r>
              <w:rPr>
                <w:rFonts w:ascii="Arial" w:hAnsi="Arial" w:cs="Arial"/>
              </w:rPr>
              <w:t>4</w:t>
            </w:r>
          </w:p>
        </w:tc>
      </w:tr>
    </w:tbl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spacing w:before="1" w:line="28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Nadpis1"/>
        <w:numPr>
          <w:ilvl w:val="0"/>
          <w:numId w:val="1"/>
        </w:numPr>
        <w:ind w:left="0" w:right="839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II</w:t>
      </w:r>
    </w:p>
    <w:p w:rsidR="00D56C28" w:rsidRDefault="00D56C28" w:rsidP="00D56C28">
      <w:pPr>
        <w:ind w:right="836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 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</w:t>
      </w:r>
      <w:r>
        <w:rPr>
          <w:rFonts w:ascii="Arial" w:eastAsia="Times New Roman" w:hAnsi="Arial" w:cs="Arial"/>
          <w:b/>
          <w:bCs/>
          <w:spacing w:val="2"/>
        </w:rPr>
        <w:t xml:space="preserve"> </w:t>
      </w:r>
      <w:r>
        <w:rPr>
          <w:rFonts w:ascii="Arial" w:eastAsia="Times New Roman" w:hAnsi="Arial" w:cs="Arial"/>
          <w:b/>
          <w:bCs/>
        </w:rPr>
        <w:t>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:rsidR="00D56C28" w:rsidRDefault="00D56C28" w:rsidP="00D56C28">
      <w:pPr>
        <w:spacing w:before="11"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činnosti:  účtovná závierka je zostavená za predpokladu, že účtovná jednotka bude vo svojej činnosti pokračovať aj v nasledujúcom období.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to: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center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Názov položky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center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Spôsob oceňovania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tok:   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hmotný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obstarávacia cena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nčný ma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1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Zásoby obst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né </w:t>
      </w:r>
      <w:r>
        <w:rPr>
          <w:rFonts w:ascii="Arial" w:hAnsi="Arial" w:cs="Arial"/>
          <w:sz w:val="22"/>
          <w:szCs w:val="22"/>
        </w:rPr>
        <w:t>kúpo</w:t>
      </w:r>
      <w:r>
        <w:rPr>
          <w:rFonts w:ascii="Arial" w:hAnsi="Arial" w:cs="Arial"/>
          <w:spacing w:val="2"/>
          <w:sz w:val="22"/>
          <w:szCs w:val="22"/>
        </w:rPr>
        <w:t>u:</w:t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1"/>
          <w:sz w:val="22"/>
          <w:szCs w:val="22"/>
        </w:rPr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soby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 xml:space="preserve">né </w:t>
      </w:r>
      <w:r>
        <w:rPr>
          <w:rFonts w:ascii="Arial" w:hAnsi="Arial" w:cs="Arial"/>
          <w:sz w:val="22"/>
          <w:szCs w:val="22"/>
        </w:rPr>
        <w:t>vlastnou činnosťou:</w:t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Vlastné náklady: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Vlastné pohľ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vky: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Kúpené pohľ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vky: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rá</w:t>
      </w:r>
      <w:r>
        <w:rPr>
          <w:rFonts w:ascii="Arial" w:hAnsi="Arial" w:cs="Arial"/>
          <w:sz w:val="22"/>
          <w:szCs w:val="22"/>
        </w:rPr>
        <w:t xml:space="preserve">tkodobý </w:t>
      </w:r>
      <w:r>
        <w:rPr>
          <w:rFonts w:ascii="Arial" w:hAnsi="Arial" w:cs="Arial"/>
          <w:spacing w:val="-2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</w:t>
      </w:r>
      <w:r>
        <w:rPr>
          <w:rFonts w:ascii="Arial" w:hAnsi="Arial" w:cs="Arial"/>
          <w:spacing w:val="1"/>
          <w:sz w:val="22"/>
          <w:szCs w:val="22"/>
        </w:rPr>
        <w:t>nč</w:t>
      </w:r>
      <w:r>
        <w:rPr>
          <w:rFonts w:ascii="Arial" w:hAnsi="Arial" w:cs="Arial"/>
          <w:sz w:val="22"/>
          <w:szCs w:val="22"/>
        </w:rPr>
        <w:t>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ky v</w:t>
      </w:r>
      <w:r>
        <w:rPr>
          <w:rFonts w:ascii="Arial" w:hAnsi="Arial" w:cs="Arial"/>
          <w:spacing w:val="-1"/>
          <w:sz w:val="22"/>
          <w:szCs w:val="22"/>
        </w:rPr>
        <w:t>rá</w:t>
      </w:r>
      <w:r>
        <w:rPr>
          <w:rFonts w:ascii="Arial" w:hAnsi="Arial" w:cs="Arial"/>
          <w:sz w:val="22"/>
          <w:szCs w:val="22"/>
        </w:rPr>
        <w:t>tane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rv: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Dlhopisy: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ičky a 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riv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5"/>
          <w:sz w:val="22"/>
          <w:szCs w:val="22"/>
        </w:rPr>
        <w:t xml:space="preserve">vé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    Odpisový plán účtovných odpisov dlhodobého hmotného majetku vychádzal z toho, že vzal za základ spôsob odpisovania podľa daňových odpisov. Odpisové sadzby sa teda pre účtovné a daňové opisy rovnajú.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účtov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účtov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nčnú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      nemá náplň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jc w:val="both"/>
      </w:pPr>
      <w:r>
        <w:rPr>
          <w:rFonts w:ascii="Arial" w:hAnsi="Arial" w:cs="Arial"/>
          <w:spacing w:val="-5"/>
        </w:rPr>
        <w:t xml:space="preserve">5. </w:t>
      </w:r>
      <w:r>
        <w:rPr>
          <w:rFonts w:ascii="Arial" w:hAnsi="Arial" w:cs="Arial"/>
          <w:spacing w:val="-4"/>
          <w:u w:val="single"/>
        </w:rPr>
        <w:t>I</w:t>
      </w:r>
      <w:r>
        <w:rPr>
          <w:rFonts w:ascii="Arial" w:hAnsi="Arial" w:cs="Arial"/>
          <w:spacing w:val="2"/>
          <w:u w:val="single"/>
        </w:rPr>
        <w:t>n</w:t>
      </w:r>
      <w:r>
        <w:rPr>
          <w:rFonts w:ascii="Arial" w:hAnsi="Arial" w:cs="Arial"/>
          <w:u w:val="single"/>
        </w:rPr>
        <w:t>fo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u w:val="single"/>
        </w:rPr>
        <w:t>má</w:t>
      </w:r>
      <w:r>
        <w:rPr>
          <w:rFonts w:ascii="Arial" w:hAnsi="Arial" w:cs="Arial"/>
          <w:spacing w:val="-2"/>
          <w:u w:val="single"/>
        </w:rPr>
        <w:t>c</w:t>
      </w:r>
      <w:r>
        <w:rPr>
          <w:rFonts w:ascii="Arial" w:hAnsi="Arial" w:cs="Arial"/>
          <w:spacing w:val="2"/>
          <w:u w:val="single"/>
        </w:rPr>
        <w:t>i</w:t>
      </w:r>
      <w:r>
        <w:rPr>
          <w:rFonts w:ascii="Arial" w:hAnsi="Arial" w:cs="Arial"/>
          <w:u w:val="single"/>
        </w:rPr>
        <w:t>e</w:t>
      </w:r>
      <w:r>
        <w:rPr>
          <w:rFonts w:ascii="Arial" w:hAnsi="Arial" w:cs="Arial"/>
          <w:spacing w:val="-1"/>
          <w:u w:val="single"/>
        </w:rPr>
        <w:t xml:space="preserve"> </w:t>
      </w:r>
      <w:r>
        <w:rPr>
          <w:rFonts w:ascii="Arial" w:hAnsi="Arial" w:cs="Arial"/>
          <w:u w:val="single"/>
        </w:rPr>
        <w:t>o dotá</w:t>
      </w:r>
      <w:r>
        <w:rPr>
          <w:rFonts w:ascii="Arial" w:hAnsi="Arial" w:cs="Arial"/>
          <w:spacing w:val="-2"/>
          <w:u w:val="single"/>
        </w:rPr>
        <w:t>c</w:t>
      </w:r>
      <w:r>
        <w:rPr>
          <w:rFonts w:ascii="Arial" w:hAnsi="Arial" w:cs="Arial"/>
          <w:u w:val="single"/>
        </w:rPr>
        <w:t>i</w:t>
      </w:r>
      <w:r>
        <w:rPr>
          <w:rFonts w:ascii="Arial" w:hAnsi="Arial" w:cs="Arial"/>
          <w:spacing w:val="1"/>
          <w:u w:val="single"/>
        </w:rPr>
        <w:t>á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h</w:t>
      </w:r>
      <w:r>
        <w:rPr>
          <w:rFonts w:ascii="Arial" w:hAnsi="Arial" w:cs="Arial"/>
        </w:rPr>
        <w:t xml:space="preserve"> a</w:t>
      </w:r>
      <w:r>
        <w:rPr>
          <w:rFonts w:ascii="Arial" w:hAnsi="Arial" w:cs="Arial"/>
          <w:spacing w:val="2"/>
        </w:rPr>
        <w:t xml:space="preserve"> </w:t>
      </w:r>
      <w:r>
        <w:rPr>
          <w:rFonts w:ascii="Arial" w:hAnsi="Arial" w:cs="Arial"/>
        </w:rPr>
        <w:t>ich o</w:t>
      </w:r>
      <w:r>
        <w:rPr>
          <w:rFonts w:ascii="Arial" w:hAnsi="Arial" w:cs="Arial"/>
          <w:spacing w:val="-2"/>
        </w:rPr>
        <w:t>c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ňov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2"/>
        </w:rPr>
        <w:t>i</w:t>
      </w:r>
      <w:r>
        <w:rPr>
          <w:rFonts w:ascii="Arial" w:hAnsi="Arial" w:cs="Arial"/>
        </w:rPr>
        <w:t>e</w:t>
      </w:r>
      <w:r>
        <w:rPr>
          <w:rFonts w:ascii="Arial" w:hAnsi="Arial" w:cs="Arial"/>
          <w:spacing w:val="59"/>
        </w:rPr>
        <w:t xml:space="preserve"> </w:t>
      </w:r>
      <w:r>
        <w:rPr>
          <w:rFonts w:ascii="Arial" w:hAnsi="Arial" w:cs="Arial"/>
        </w:rPr>
        <w:t>v účtov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</w:rPr>
        <w:t>íctv</w:t>
      </w:r>
      <w:r>
        <w:rPr>
          <w:rFonts w:ascii="Arial" w:hAnsi="Arial" w:cs="Arial"/>
          <w:spacing w:val="-1"/>
        </w:rPr>
        <w:t xml:space="preserve">e:   </w:t>
      </w:r>
      <w:r w:rsidR="00D95690">
        <w:rPr>
          <w:rFonts w:ascii="Arial" w:hAnsi="Arial" w:cs="Arial"/>
          <w:spacing w:val="-1"/>
        </w:rPr>
        <w:t xml:space="preserve">dotácie sú poskytované od UPSVAR </w:t>
      </w:r>
      <w:r w:rsidR="00D60C32">
        <w:rPr>
          <w:rFonts w:ascii="Arial" w:hAnsi="Arial" w:cs="Arial"/>
          <w:spacing w:val="-1"/>
        </w:rPr>
        <w:t>na úhradu mzdových  nákladov, oceňované sú nominálnou hodnotou a účtované do daňových príjmov v priamej úmere daňových nákladov,  na ktoré bola dotácia poskytnutá.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účtovnom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            nemá náplň</w:t>
      </w:r>
    </w:p>
    <w:p w:rsidR="00D56C28" w:rsidRDefault="00D56C28" w:rsidP="00D56C28">
      <w:pPr>
        <w:spacing w:before="1" w:line="28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Nadpis1"/>
        <w:numPr>
          <w:ilvl w:val="0"/>
          <w:numId w:val="1"/>
        </w:numPr>
        <w:ind w:left="0" w:right="157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III</w:t>
      </w:r>
    </w:p>
    <w:p w:rsidR="00D56C28" w:rsidRDefault="00D56C28" w:rsidP="00D56C28">
      <w:pPr>
        <w:ind w:right="157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ie, ktoré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vysv</w:t>
      </w:r>
      <w:r>
        <w:rPr>
          <w:rFonts w:ascii="Arial" w:eastAsia="Times New Roman" w:hAnsi="Arial" w:cs="Arial"/>
          <w:b/>
          <w:bCs/>
          <w:spacing w:val="1"/>
        </w:rPr>
        <w:t>e</w:t>
      </w:r>
      <w:r>
        <w:rPr>
          <w:rFonts w:ascii="Arial" w:eastAsia="Times New Roman" w:hAnsi="Arial" w:cs="Arial"/>
          <w:b/>
          <w:bCs/>
        </w:rPr>
        <w:t>tľujú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dop</w:t>
      </w:r>
      <w:r>
        <w:rPr>
          <w:rFonts w:ascii="Arial" w:eastAsia="Times New Roman" w:hAnsi="Arial" w:cs="Arial"/>
          <w:b/>
          <w:bCs/>
          <w:spacing w:val="-2"/>
        </w:rPr>
        <w:t>ĺ</w:t>
      </w:r>
      <w:r>
        <w:rPr>
          <w:rFonts w:ascii="Arial" w:eastAsia="Times New Roman" w:hAnsi="Arial" w:cs="Arial"/>
          <w:b/>
          <w:bCs/>
        </w:rPr>
        <w:t>ňa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ú súv</w:t>
      </w:r>
      <w:r>
        <w:rPr>
          <w:rFonts w:ascii="Arial" w:eastAsia="Times New Roman" w:hAnsi="Arial" w:cs="Arial"/>
          <w:b/>
          <w:bCs/>
          <w:spacing w:val="-3"/>
        </w:rPr>
        <w:t>a</w:t>
      </w:r>
      <w:r>
        <w:rPr>
          <w:rFonts w:ascii="Arial" w:eastAsia="Times New Roman" w:hAnsi="Arial" w:cs="Arial"/>
          <w:b/>
          <w:bCs/>
          <w:spacing w:val="-2"/>
        </w:rPr>
        <w:t>h</w:t>
      </w:r>
      <w:r>
        <w:rPr>
          <w:rFonts w:ascii="Arial" w:eastAsia="Times New Roman" w:hAnsi="Arial" w:cs="Arial"/>
          <w:b/>
          <w:bCs/>
        </w:rPr>
        <w:t>u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výkaz</w:t>
      </w:r>
      <w:r>
        <w:rPr>
          <w:rFonts w:ascii="Arial" w:eastAsia="Times New Roman" w:hAnsi="Arial" w:cs="Arial"/>
          <w:b/>
          <w:bCs/>
          <w:spacing w:val="-1"/>
        </w:rPr>
        <w:t xml:space="preserve"> z</w:t>
      </w:r>
      <w:r>
        <w:rPr>
          <w:rFonts w:ascii="Arial" w:eastAsia="Times New Roman" w:hAnsi="Arial" w:cs="Arial"/>
          <w:b/>
          <w:bCs/>
        </w:rPr>
        <w:t>is</w:t>
      </w:r>
      <w:r>
        <w:rPr>
          <w:rFonts w:ascii="Arial" w:eastAsia="Times New Roman" w:hAnsi="Arial" w:cs="Arial"/>
          <w:b/>
          <w:bCs/>
          <w:spacing w:val="1"/>
        </w:rPr>
        <w:t>k</w:t>
      </w:r>
      <w:r>
        <w:rPr>
          <w:rFonts w:ascii="Arial" w:eastAsia="Times New Roman" w:hAnsi="Arial" w:cs="Arial"/>
          <w:b/>
          <w:bCs/>
        </w:rPr>
        <w:t>ov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st</w:t>
      </w:r>
      <w:r>
        <w:rPr>
          <w:rFonts w:ascii="Arial" w:eastAsia="Times New Roman" w:hAnsi="Arial" w:cs="Arial"/>
          <w:b/>
          <w:bCs/>
          <w:spacing w:val="-2"/>
        </w:rPr>
        <w:t>r</w:t>
      </w:r>
      <w:r>
        <w:rPr>
          <w:rFonts w:ascii="Arial" w:eastAsia="Times New Roman" w:hAnsi="Arial" w:cs="Arial"/>
          <w:b/>
          <w:bCs/>
        </w:rPr>
        <w:t>át</w:t>
      </w:r>
    </w:p>
    <w:p w:rsidR="00D56C28" w:rsidRDefault="00D56C28" w:rsidP="00D56C28">
      <w:pPr>
        <w:spacing w:before="11"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   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 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Poč</w:t>
      </w:r>
      <w:r>
        <w:rPr>
          <w:rFonts w:ascii="Arial" w:hAnsi="Arial" w:cs="Arial"/>
          <w:spacing w:val="-1"/>
          <w:sz w:val="22"/>
          <w:szCs w:val="22"/>
        </w:rPr>
        <w:t>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účtovná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účtovnej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 v člen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  účtovná jednotka neposkytla členom štatutárneho orgánu žiadne druhy záruk alebo zabezpečení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účtovnej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účtovného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 v člen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lastRenderedPageBreak/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účtovného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 čl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   účtovná jednotka neposkytla členom štatutárneho orgánu žiadne pôžičky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>čl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tovať: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účtovnej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a 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nčn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 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voči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95690" w:rsidRDefault="00D56C28" w:rsidP="00D95690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6. Informácie o udelení výlučného práva alebo osobitného práva, ktorým sa udelilo právo poskytovať </w:t>
      </w:r>
      <w:r>
        <w:rPr>
          <w:rFonts w:ascii="Arial" w:hAnsi="Arial" w:cs="Arial"/>
          <w:b/>
          <w:u w:val="single"/>
        </w:rPr>
        <w:t>služby vo verejnom záujme</w:t>
      </w:r>
      <w:r>
        <w:rPr>
          <w:rFonts w:ascii="Arial" w:hAnsi="Arial" w:cs="Arial"/>
        </w:rPr>
        <w:t xml:space="preserve">, pričom sa uvádza náhrada za túto činnosť v akejkoľvek forme, a ak sa zároveň vykonávajú aj iné činnosti, uvádzajú sa aj informácie o všetkých formách prijatej náhrady, účtovných zásadách použitých pri prideľovaní nákladov a výnosov, všetkých druhoch činnosti účtovnej jednotky:  </w:t>
      </w:r>
    </w:p>
    <w:p w:rsidR="00D95690" w:rsidRDefault="00D95690" w:rsidP="00D95690">
      <w:pPr>
        <w:jc w:val="both"/>
      </w:pPr>
      <w:r>
        <w:rPr>
          <w:rFonts w:ascii="Arial" w:hAnsi="Arial" w:cs="Arial"/>
        </w:rPr>
        <w:t xml:space="preserve">Spoločnosť splnila podmienky a je zaregistrovaná ako sociálny podnik. </w:t>
      </w:r>
      <w:r>
        <w:rPr>
          <w:rFonts w:ascii="Arial" w:hAnsi="Arial" w:cs="Arial"/>
          <w:spacing w:val="-1"/>
        </w:rPr>
        <w:t xml:space="preserve">V zmysle § 30d zákona č 595 vykázanú daňovú povinnosť spoločnosť uviedla ako oslobodenú v plnej výške, bude použitá na investovanie a rozvoj </w:t>
      </w:r>
      <w:r w:rsidR="00D60C32">
        <w:rPr>
          <w:rFonts w:ascii="Arial" w:hAnsi="Arial" w:cs="Arial"/>
          <w:spacing w:val="-1"/>
        </w:rPr>
        <w:t>služieb vo verejnom záujme.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/>
    <w:sectPr w:rsidR="00D56C28" w:rsidSect="00143E9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font193">
    <w:altName w:val="Times New Roman"/>
    <w:charset w:val="EE"/>
    <w:family w:val="auto"/>
    <w:pitch w:val="variable"/>
    <w:sig w:usb0="00000000" w:usb1="00000000" w:usb2="00000000" w:usb3="00000000" w:csb0="0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2"/>
    <w:multiLevelType w:val="multilevel"/>
    <w:tmpl w:val="00000002"/>
    <w:name w:val="WW8Num2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  <w:rPr>
        <w:rFonts w:ascii="Courier New" w:hAnsi="Courier New" w:cs="Courier New"/>
      </w:r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>
    <w:nsid w:val="5FE63E37"/>
    <w:multiLevelType w:val="multilevel"/>
    <w:tmpl w:val="FCDAD702"/>
    <w:lvl w:ilvl="0">
      <w:start w:val="1"/>
      <w:numFmt w:val="decimal"/>
      <w:pStyle w:val="Nadpis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D56C28"/>
    <w:rsid w:val="000F50D6"/>
    <w:rsid w:val="00143E94"/>
    <w:rsid w:val="00151D9B"/>
    <w:rsid w:val="001E3C39"/>
    <w:rsid w:val="00260C17"/>
    <w:rsid w:val="005D75B4"/>
    <w:rsid w:val="006816BF"/>
    <w:rsid w:val="006C3476"/>
    <w:rsid w:val="008650DA"/>
    <w:rsid w:val="008A0D75"/>
    <w:rsid w:val="008F729A"/>
    <w:rsid w:val="00B85FCD"/>
    <w:rsid w:val="00C21412"/>
    <w:rsid w:val="00CD0DAC"/>
    <w:rsid w:val="00D56C28"/>
    <w:rsid w:val="00D60C32"/>
    <w:rsid w:val="00D95690"/>
    <w:rsid w:val="00E226BB"/>
    <w:rsid w:val="00EE04C3"/>
    <w:rsid w:val="00FB429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56C28"/>
    <w:pPr>
      <w:suppressAutoHyphens/>
      <w:spacing w:after="0" w:line="240" w:lineRule="auto"/>
    </w:pPr>
    <w:rPr>
      <w:rFonts w:ascii="Calibri" w:eastAsia="SimSun" w:hAnsi="Calibri" w:cs="font193"/>
      <w:kern w:val="1"/>
      <w:lang w:eastAsia="zh-CN"/>
    </w:rPr>
  </w:style>
  <w:style w:type="paragraph" w:styleId="Nadpis1">
    <w:name w:val="heading 1"/>
    <w:basedOn w:val="Normlny"/>
    <w:next w:val="Zkladntext"/>
    <w:link w:val="Nadpis1Char"/>
    <w:qFormat/>
    <w:rsid w:val="00D56C28"/>
    <w:pPr>
      <w:numPr>
        <w:numId w:val="2"/>
      </w:numPr>
      <w:outlineLvl w:val="0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D56C28"/>
    <w:rPr>
      <w:rFonts w:ascii="Times New Roman" w:eastAsia="Times New Roman" w:hAnsi="Times New Roman" w:cs="Times New Roman"/>
      <w:b/>
      <w:bCs/>
      <w:kern w:val="1"/>
      <w:sz w:val="24"/>
      <w:szCs w:val="24"/>
      <w:lang w:eastAsia="zh-CN"/>
    </w:rPr>
  </w:style>
  <w:style w:type="paragraph" w:styleId="Zkladntext">
    <w:name w:val="Body Text"/>
    <w:basedOn w:val="Normlny"/>
    <w:link w:val="ZkladntextChar"/>
    <w:rsid w:val="00D56C28"/>
    <w:pPr>
      <w:ind w:left="668" w:hanging="567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rsid w:val="00D56C28"/>
    <w:rPr>
      <w:rFonts w:ascii="Times New Roman" w:eastAsia="Times New Roman" w:hAnsi="Times New Roman" w:cs="Times New Roman"/>
      <w:kern w:val="1"/>
      <w:sz w:val="24"/>
      <w:szCs w:val="24"/>
      <w:lang w:eastAsia="zh-C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3</Pages>
  <Words>1153</Words>
  <Characters>6574</Characters>
  <Application>Microsoft Office Word</Application>
  <DocSecurity>0</DocSecurity>
  <Lines>54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7712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ziarova</dc:creator>
  <cp:lastModifiedBy>ziarova</cp:lastModifiedBy>
  <cp:revision>3</cp:revision>
  <cp:lastPrinted>2016-03-10T11:52:00Z</cp:lastPrinted>
  <dcterms:created xsi:type="dcterms:W3CDTF">2023-06-02T05:33:00Z</dcterms:created>
  <dcterms:modified xsi:type="dcterms:W3CDTF">2023-06-02T05:45:00Z</dcterms:modified>
</cp:coreProperties>
</file>