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ED5" w:rsidRDefault="00D35ED5">
      <w:pPr>
        <w:pStyle w:val="Title"/>
        <w:spacing w:before="360"/>
      </w:pPr>
      <w:r>
        <w:t>Poznámky k účtovnej závierke zostavenej k 31. decembru 20</w:t>
      </w:r>
      <w:r w:rsidR="00D6009F">
        <w:t>2</w:t>
      </w:r>
      <w:r w:rsidR="00774CFC">
        <w:t>2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založenia: 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 w:rsidR="00774CFC">
        <w:rPr>
          <w:rStyle w:val="CommentReference"/>
          <w:rFonts w:ascii="Arial" w:hAnsi="Arial"/>
          <w:color w:val="000080"/>
          <w:sz w:val="18"/>
        </w:rPr>
        <w:t>11.6.1999</w:t>
      </w:r>
    </w:p>
    <w:p w:rsidR="00D447D7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zápisu do obchodného registra: </w:t>
      </w:r>
      <w:r>
        <w:rPr>
          <w:rStyle w:val="CommentReference"/>
          <w:rFonts w:ascii="Arial" w:hAnsi="Arial"/>
          <w:color w:val="000080"/>
          <w:sz w:val="18"/>
        </w:rPr>
        <w:tab/>
      </w:r>
      <w:r w:rsidR="00774CFC">
        <w:rPr>
          <w:rStyle w:val="CommentReference"/>
          <w:rFonts w:ascii="Arial" w:hAnsi="Arial"/>
          <w:color w:val="000080"/>
          <w:sz w:val="18"/>
        </w:rPr>
        <w:t>11.6.1999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IČO: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 w:rsidR="00D447D7">
        <w:rPr>
          <w:rStyle w:val="CommentReference"/>
          <w:rFonts w:ascii="Arial" w:hAnsi="Arial"/>
          <w:color w:val="000080"/>
          <w:sz w:val="18"/>
        </w:rPr>
        <w:t>3</w:t>
      </w:r>
      <w:r w:rsidR="00774CFC">
        <w:rPr>
          <w:rStyle w:val="CommentReference"/>
          <w:rFonts w:ascii="Arial" w:hAnsi="Arial"/>
          <w:color w:val="000080"/>
          <w:sz w:val="18"/>
        </w:rPr>
        <w:t>5767561</w:t>
      </w:r>
    </w:p>
    <w:p w:rsidR="00671DEF" w:rsidRDefault="00671DEF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Účtovné obdobie: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b/>
          <w:color w:val="000080"/>
          <w:sz w:val="18"/>
        </w:rPr>
        <w:t>20</w:t>
      </w:r>
      <w:r w:rsidR="00D6009F">
        <w:rPr>
          <w:rStyle w:val="CommentReference"/>
          <w:rFonts w:ascii="Arial" w:hAnsi="Arial"/>
          <w:b/>
          <w:color w:val="000080"/>
          <w:sz w:val="18"/>
        </w:rPr>
        <w:t>2</w:t>
      </w:r>
      <w:r w:rsidR="00774CFC">
        <w:rPr>
          <w:rStyle w:val="CommentReference"/>
          <w:rFonts w:ascii="Arial" w:hAnsi="Arial"/>
          <w:b/>
          <w:color w:val="000080"/>
          <w:sz w:val="18"/>
        </w:rPr>
        <w:t>2</w:t>
      </w: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  <w:r>
        <w:rPr>
          <w:rFonts w:ascii="Arial" w:hAnsi="Arial"/>
          <w:color w:val="000080"/>
          <w:sz w:val="18"/>
        </w:rPr>
        <w:t>Účtovná jednotka nemá v bežnom roku povinnosť overenia účtovnej závierky audítorom.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Poznámka: Finančné údaje v Poznámkach k účtovnej závierke vychádzajú z finančných výkazov priloženým k daňovému priznaniu k dani z príjmov a teda sú zaokrúhlené a uvedené v</w:t>
      </w:r>
      <w:r w:rsidR="00735BF8">
        <w:rPr>
          <w:rFonts w:ascii="Arial" w:hAnsi="Arial"/>
          <w:i/>
          <w:sz w:val="18"/>
        </w:rPr>
        <w:t xml:space="preserve"> Eurách 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A.</w:t>
      </w:r>
      <w:r>
        <w:rPr>
          <w:u w:val="single"/>
        </w:rPr>
        <w:tab/>
        <w:t>ZÁKLADNÉ INFORMÁCIE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Obchodné meno a sídlo Spoločnosti:</w:t>
      </w:r>
    </w:p>
    <w:p w:rsidR="00D35ED5" w:rsidRDefault="00D447D7">
      <w:pPr>
        <w:pStyle w:val="Header"/>
        <w:pBdr>
          <w:bottom w:val="none" w:sz="0" w:space="0" w:color="auto"/>
        </w:pBdr>
        <w:tabs>
          <w:tab w:val="clear" w:pos="9072"/>
          <w:tab w:val="left" w:pos="8040"/>
          <w:tab w:val="right" w:pos="9639"/>
        </w:tabs>
        <w:spacing w:after="60"/>
        <w:ind w:right="360" w:firstLine="426"/>
        <w:jc w:val="left"/>
        <w:rPr>
          <w:rFonts w:ascii="Arial" w:hAnsi="Arial"/>
          <w:b/>
          <w:i/>
        </w:rPr>
      </w:pPr>
      <w:r>
        <w:rPr>
          <w:rFonts w:ascii="Arial" w:hAnsi="Arial"/>
          <w:sz w:val="18"/>
        </w:rPr>
        <w:t>S</w:t>
      </w:r>
      <w:r w:rsidR="00774CFC">
        <w:rPr>
          <w:rFonts w:ascii="Arial" w:hAnsi="Arial"/>
          <w:sz w:val="18"/>
        </w:rPr>
        <w:t>G.J.S. spol.sro</w:t>
      </w:r>
      <w:r w:rsidR="00D35ED5">
        <w:rPr>
          <w:rFonts w:ascii="Arial" w:hAnsi="Arial"/>
          <w:sz w:val="18"/>
        </w:rPr>
        <w:t>.</w:t>
      </w:r>
    </w:p>
    <w:p w:rsidR="00EE0763" w:rsidRDefault="00774CFC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Turbínova 1</w:t>
      </w:r>
    </w:p>
    <w:p w:rsidR="00D35ED5" w:rsidRDefault="00D35ED5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8</w:t>
      </w:r>
      <w:r w:rsidR="00774CFC">
        <w:rPr>
          <w:rFonts w:ascii="Arial" w:hAnsi="Arial"/>
          <w:sz w:val="18"/>
        </w:rPr>
        <w:t>3</w:t>
      </w:r>
      <w:r>
        <w:rPr>
          <w:rFonts w:ascii="Arial" w:hAnsi="Arial"/>
          <w:sz w:val="18"/>
        </w:rPr>
        <w:t>1 0</w:t>
      </w:r>
      <w:r w:rsidR="00774CFC">
        <w:rPr>
          <w:rFonts w:ascii="Arial" w:hAnsi="Arial"/>
          <w:sz w:val="18"/>
        </w:rPr>
        <w:t>4</w:t>
      </w:r>
      <w:r>
        <w:rPr>
          <w:rFonts w:ascii="Arial" w:hAnsi="Arial"/>
          <w:sz w:val="18"/>
        </w:rPr>
        <w:t xml:space="preserve">  Bratislava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</w:t>
      </w:r>
      <w:r w:rsidR="00D447D7">
        <w:rPr>
          <w:rFonts w:ascii="Arial" w:hAnsi="Arial"/>
          <w:sz w:val="18"/>
        </w:rPr>
        <w:t xml:space="preserve">Saxana </w:t>
      </w:r>
      <w:r w:rsidR="00671DEF">
        <w:rPr>
          <w:rFonts w:ascii="Arial" w:hAnsi="Arial"/>
          <w:sz w:val="18"/>
        </w:rPr>
        <w:t>,</w:t>
      </w:r>
      <w:r>
        <w:rPr>
          <w:rFonts w:ascii="Arial" w:hAnsi="Arial"/>
          <w:sz w:val="18"/>
        </w:rPr>
        <w:t xml:space="preserve">s.r.o. (ďalej len „Spoločnosť“) bola založená </w:t>
      </w:r>
      <w:r w:rsidR="00774CFC">
        <w:rPr>
          <w:rFonts w:ascii="Arial" w:hAnsi="Arial"/>
          <w:sz w:val="18"/>
        </w:rPr>
        <w:t>11.6.1999</w:t>
      </w:r>
      <w:r>
        <w:rPr>
          <w:rFonts w:ascii="Arial" w:hAnsi="Arial"/>
          <w:sz w:val="18"/>
        </w:rPr>
        <w:t xml:space="preserve"> a do obchodného registra bola zapísaná </w:t>
      </w:r>
      <w:r w:rsidR="00774CFC">
        <w:rPr>
          <w:rFonts w:ascii="Arial" w:hAnsi="Arial"/>
          <w:sz w:val="18"/>
        </w:rPr>
        <w:t>11.6.1999</w:t>
      </w:r>
      <w:r>
        <w:rPr>
          <w:rFonts w:ascii="Arial" w:hAnsi="Arial"/>
          <w:sz w:val="18"/>
        </w:rPr>
        <w:t xml:space="preserve"> (Obchodný register Okresného súdu Bratislava I, oddiel Sro, vložka</w:t>
      </w:r>
      <w:r w:rsidR="00671DEF">
        <w:rPr>
          <w:rFonts w:ascii="Arial" w:hAnsi="Arial"/>
          <w:sz w:val="18"/>
        </w:rPr>
        <w:t xml:space="preserve"> </w:t>
      </w:r>
      <w:r w:rsidR="00774CFC">
        <w:rPr>
          <w:rFonts w:ascii="Arial" w:hAnsi="Arial"/>
          <w:sz w:val="18"/>
        </w:rPr>
        <w:t>19153</w:t>
      </w:r>
      <w:r w:rsidR="00671DEF">
        <w:rPr>
          <w:rFonts w:ascii="Arial" w:hAnsi="Arial"/>
          <w:sz w:val="18"/>
        </w:rPr>
        <w:t>/B</w:t>
      </w:r>
      <w:r>
        <w:rPr>
          <w:rFonts w:ascii="Arial" w:hAnsi="Arial"/>
          <w:sz w:val="18"/>
        </w:rPr>
        <w:t>).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Hlavné činnosti Spoločnosti podľa výpisu z obchodného registra:</w:t>
      </w:r>
    </w:p>
    <w:p w:rsidR="00D35ED5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kúpa tovaru za účelom jeho predaja konečnému spotrebiteľovi (maloobchod)</w:t>
      </w:r>
      <w:r w:rsidR="00E71EA3">
        <w:rPr>
          <w:rFonts w:ascii="Arial" w:hAnsi="Arial"/>
          <w:sz w:val="18"/>
        </w:rPr>
        <w:t>,veľkoobchod</w:t>
      </w:r>
      <w:r>
        <w:rPr>
          <w:rFonts w:ascii="Arial" w:hAnsi="Arial"/>
          <w:sz w:val="18"/>
        </w:rPr>
        <w:t xml:space="preserve"> </w:t>
      </w:r>
    </w:p>
    <w:p w:rsidR="00D35ED5" w:rsidRDefault="00D447D7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administratívne práce</w:t>
      </w:r>
      <w:r w:rsidR="007F007A">
        <w:rPr>
          <w:rFonts w:ascii="Arial" w:hAnsi="Arial"/>
          <w:sz w:val="18"/>
        </w:rPr>
        <w:t xml:space="preserve"> </w:t>
      </w:r>
      <w:r w:rsidR="00671DEF">
        <w:rPr>
          <w:rFonts w:ascii="Arial" w:hAnsi="Arial"/>
          <w:sz w:val="18"/>
        </w:rPr>
        <w:t xml:space="preserve"> </w:t>
      </w:r>
      <w:r w:rsidR="00E71EA3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</w:t>
      </w:r>
    </w:p>
    <w:p w:rsidR="00735BF8" w:rsidRDefault="00774CFC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zámočnícke práce</w:t>
      </w:r>
    </w:p>
    <w:p w:rsidR="00D447D7" w:rsidRDefault="00774CFC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oprava motorových vozidiel 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  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je spoločníkom v spoločnosti: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nie je spoločníkom v iných spoločnostiach.</w:t>
      </w:r>
    </w:p>
    <w:p w:rsidR="00E71EA3" w:rsidRDefault="00E71EA3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Priemerný počet zamestnacov 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mala v roku 20</w:t>
      </w:r>
      <w:r w:rsidR="00774CFC">
        <w:rPr>
          <w:rFonts w:ascii="Arial" w:hAnsi="Arial"/>
          <w:sz w:val="18"/>
        </w:rPr>
        <w:t>22</w:t>
      </w:r>
      <w:r>
        <w:rPr>
          <w:rFonts w:ascii="Arial" w:hAnsi="Arial"/>
          <w:sz w:val="18"/>
        </w:rPr>
        <w:t xml:space="preserve"> priemerne </w:t>
      </w:r>
      <w:r w:rsidR="00774CFC">
        <w:rPr>
          <w:rFonts w:ascii="Arial" w:hAnsi="Arial"/>
          <w:sz w:val="18"/>
        </w:rPr>
        <w:t>3</w:t>
      </w:r>
      <w:r>
        <w:rPr>
          <w:rFonts w:ascii="Arial" w:hAnsi="Arial"/>
          <w:sz w:val="18"/>
        </w:rPr>
        <w:t xml:space="preserve"> zamestnancov, z toho  </w:t>
      </w:r>
      <w:r w:rsidR="00D447D7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vedúcich pracovníkov.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Právny dôvod na zostavenie účtovnej závierky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k 31. decembru 20</w:t>
      </w:r>
      <w:r w:rsidR="00774CFC">
        <w:rPr>
          <w:rFonts w:ascii="Arial" w:hAnsi="Arial"/>
          <w:sz w:val="18"/>
        </w:rPr>
        <w:t>22</w:t>
      </w:r>
      <w:r>
        <w:rPr>
          <w:rFonts w:ascii="Arial" w:hAnsi="Arial"/>
          <w:sz w:val="18"/>
        </w:rPr>
        <w:t xml:space="preserve"> je zostavená ako riadna účtovná závierka podľa § 17 ods. 6 zákona NR SR č. 431/2002 Z.z. o účtovníctve (ďalej len „zákon o účtovníctve“) za účtovné obdobie od 1. januára 20</w:t>
      </w:r>
      <w:r w:rsidR="00D6009F">
        <w:rPr>
          <w:rFonts w:ascii="Arial" w:hAnsi="Arial"/>
          <w:sz w:val="18"/>
        </w:rPr>
        <w:t>2</w:t>
      </w:r>
      <w:r w:rsidR="00774CFC">
        <w:rPr>
          <w:rFonts w:ascii="Arial" w:hAnsi="Arial"/>
          <w:sz w:val="18"/>
        </w:rPr>
        <w:t>2</w:t>
      </w:r>
      <w:r>
        <w:rPr>
          <w:rFonts w:ascii="Arial" w:hAnsi="Arial"/>
          <w:sz w:val="18"/>
        </w:rPr>
        <w:t xml:space="preserve"> do 31. decembra 20</w:t>
      </w:r>
      <w:r w:rsidR="00D6009F">
        <w:rPr>
          <w:rFonts w:ascii="Arial" w:hAnsi="Arial"/>
          <w:sz w:val="18"/>
        </w:rPr>
        <w:t>2</w:t>
      </w:r>
      <w:r w:rsidR="00774CFC">
        <w:rPr>
          <w:rFonts w:ascii="Arial" w:hAnsi="Arial"/>
          <w:sz w:val="18"/>
        </w:rPr>
        <w:t>2</w:t>
      </w:r>
      <w:r>
        <w:rPr>
          <w:rFonts w:ascii="Arial" w:hAnsi="Arial"/>
          <w:sz w:val="18"/>
        </w:rPr>
        <w:t>.</w:t>
      </w: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B.</w:t>
      </w:r>
      <w:r>
        <w:rPr>
          <w:u w:val="single"/>
        </w:rPr>
        <w:tab/>
        <w:t>ORGÁNY SPOLOČNOSTI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Orgány Spoločnosti</w:t>
      </w:r>
    </w:p>
    <w:p w:rsidR="00D35ED5" w:rsidRDefault="00D35ED5">
      <w:pPr>
        <w:widowControl w:val="0"/>
        <w:spacing w:after="120"/>
        <w:ind w:firstLine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Konateľ: </w:t>
      </w:r>
      <w:r w:rsidR="00774CFC">
        <w:rPr>
          <w:rFonts w:ascii="Arial" w:hAnsi="Arial"/>
          <w:sz w:val="18"/>
        </w:rPr>
        <w:t xml:space="preserve">Pavel Golkovský </w:t>
      </w:r>
      <w:r w:rsidR="007F007A">
        <w:rPr>
          <w:rFonts w:ascii="Arial" w:hAnsi="Arial"/>
          <w:sz w:val="18"/>
        </w:rPr>
        <w:t xml:space="preserve"> </w:t>
      </w:r>
      <w:r w:rsidR="00671DEF">
        <w:rPr>
          <w:rFonts w:ascii="Arial" w:hAnsi="Arial"/>
          <w:sz w:val="18"/>
        </w:rPr>
        <w:t xml:space="preserve"> </w:t>
      </w:r>
      <w:r w:rsidR="00E71EA3">
        <w:rPr>
          <w:rFonts w:ascii="Arial" w:hAnsi="Arial"/>
          <w:sz w:val="18"/>
        </w:rPr>
        <w:t xml:space="preserve"> </w:t>
      </w:r>
      <w:r w:rsidR="00735BF8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 xml:space="preserve"> 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Informácie o spoločníkoch/akcionároch Spoločnosti</w:t>
      </w:r>
    </w:p>
    <w:p w:rsidR="00D35ED5" w:rsidRDefault="00D35ED5">
      <w:pPr>
        <w:keepNext/>
        <w:keepLines/>
        <w:tabs>
          <w:tab w:val="left" w:pos="426"/>
        </w:tabs>
        <w:spacing w:after="6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Štruktúra spoločníkov/akcionárov Spoločnosti k 31. decembru 20</w:t>
      </w:r>
      <w:r w:rsidR="00D6009F">
        <w:rPr>
          <w:rFonts w:ascii="Arial" w:hAnsi="Arial"/>
          <w:sz w:val="18"/>
        </w:rPr>
        <w:t>2</w:t>
      </w:r>
      <w:r w:rsidR="00774CFC">
        <w:rPr>
          <w:rFonts w:ascii="Arial" w:hAnsi="Arial"/>
          <w:sz w:val="18"/>
        </w:rPr>
        <w:t>2</w:t>
      </w:r>
      <w:r>
        <w:rPr>
          <w:rFonts w:ascii="Arial" w:hAnsi="Arial"/>
          <w:sz w:val="18"/>
        </w:rPr>
        <w:t>:</w:t>
      </w:r>
    </w:p>
    <w:tbl>
      <w:tblPr>
        <w:tblW w:w="0" w:type="auto"/>
        <w:tblInd w:w="5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Look w:val="00BF"/>
      </w:tblPr>
      <w:tblGrid>
        <w:gridCol w:w="3402"/>
        <w:gridCol w:w="3029"/>
        <w:gridCol w:w="1992"/>
      </w:tblGrid>
      <w:tr w:rsidR="00D35ED5">
        <w:tc>
          <w:tcPr>
            <w:tcW w:w="3402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podielu na základnom imaní</w:t>
            </w:r>
          </w:p>
        </w:tc>
        <w:tc>
          <w:tcPr>
            <w:tcW w:w="1992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lines"/>
              <w:keepNext/>
              <w:keepLines/>
              <w:pBdr>
                <w:bottom w:val="none" w:sz="0" w:space="0" w:color="auto"/>
              </w:pBdr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hlasovacích práv</w:t>
            </w:r>
          </w:p>
        </w:tc>
      </w:tr>
      <w:tr w:rsidR="00D35ED5">
        <w:tc>
          <w:tcPr>
            <w:tcW w:w="3402" w:type="dxa"/>
            <w:tcBorders>
              <w:top w:val="nil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top w:val="nil"/>
            </w:tcBorders>
          </w:tcPr>
          <w:p w:rsidR="00D35ED5" w:rsidRDefault="00D35ED5" w:rsidP="00735BF8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v </w:t>
            </w:r>
            <w:r w:rsidR="00735BF8">
              <w:rPr>
                <w:rFonts w:ascii="Arial" w:hAnsi="Arial"/>
                <w:sz w:val="16"/>
              </w:rPr>
              <w:t xml:space="preserve">EUR </w:t>
            </w:r>
          </w:p>
        </w:tc>
        <w:tc>
          <w:tcPr>
            <w:tcW w:w="1992" w:type="dxa"/>
            <w:tcBorders>
              <w:top w:val="nil"/>
            </w:tcBorders>
          </w:tcPr>
          <w:p w:rsidR="00D35ED5" w:rsidRDefault="00D35ED5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%</w:t>
            </w:r>
          </w:p>
        </w:tc>
      </w:tr>
      <w:tr w:rsidR="00D35ED5">
        <w:tc>
          <w:tcPr>
            <w:tcW w:w="3402" w:type="dxa"/>
          </w:tcPr>
          <w:p w:rsidR="00D447D7" w:rsidRDefault="00774CFC" w:rsidP="007F007A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Pavel Golkovský</w:t>
            </w:r>
          </w:p>
          <w:p w:rsidR="00D447D7" w:rsidRDefault="00774CFC" w:rsidP="00774CFC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Milena Golkovská </w:t>
            </w:r>
            <w:r w:rsidR="00D447D7">
              <w:rPr>
                <w:rFonts w:ascii="Arial" w:hAnsi="Arial"/>
                <w:sz w:val="16"/>
              </w:rPr>
              <w:t xml:space="preserve"> </w:t>
            </w:r>
            <w:r w:rsidR="00B60A8D">
              <w:rPr>
                <w:rFonts w:ascii="Arial" w:hAnsi="Arial"/>
                <w:sz w:val="16"/>
              </w:rPr>
              <w:t xml:space="preserve">                                                                                                                                                                  </w:t>
            </w:r>
            <w:r w:rsidR="00D447D7">
              <w:rPr>
                <w:rFonts w:ascii="Arial" w:hAnsi="Arial"/>
                <w:sz w:val="16"/>
              </w:rPr>
              <w:t xml:space="preserve">                                             </w:t>
            </w:r>
          </w:p>
        </w:tc>
        <w:tc>
          <w:tcPr>
            <w:tcW w:w="3029" w:type="dxa"/>
          </w:tcPr>
          <w:p w:rsidR="00D35ED5" w:rsidRDefault="00B60A8D" w:rsidP="00B60A8D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3320</w:t>
            </w:r>
          </w:p>
        </w:tc>
        <w:tc>
          <w:tcPr>
            <w:tcW w:w="1992" w:type="dxa"/>
          </w:tcPr>
          <w:p w:rsidR="00D35ED5" w:rsidRDefault="00B60A8D" w:rsidP="00B60A8D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5</w:t>
            </w:r>
            <w:r w:rsidR="00D35ED5">
              <w:rPr>
                <w:rFonts w:ascii="Arial" w:hAnsi="Arial"/>
                <w:sz w:val="16"/>
              </w:rPr>
              <w:t>0</w:t>
            </w:r>
          </w:p>
          <w:p w:rsidR="00B60A8D" w:rsidRDefault="00B60A8D" w:rsidP="00B60A8D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50</w:t>
            </w: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Spolu</w:t>
            </w:r>
          </w:p>
        </w:tc>
        <w:tc>
          <w:tcPr>
            <w:tcW w:w="3029" w:type="dxa"/>
          </w:tcPr>
          <w:p w:rsidR="00D35ED5" w:rsidRDefault="00C972B2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6640</w:t>
            </w:r>
            <w:r w:rsidR="00D35ED5">
              <w:rPr>
                <w:rFonts w:ascii="Arial" w:hAnsi="Arial"/>
                <w:b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100</w:t>
            </w:r>
          </w:p>
        </w:tc>
      </w:tr>
    </w:tbl>
    <w:p w:rsidR="00D35ED5" w:rsidRDefault="00D35ED5">
      <w:pPr>
        <w:pStyle w:val="Heading3"/>
        <w:spacing w:after="120" w:line="360" w:lineRule="auto"/>
        <w:ind w:left="0" w:firstLine="0"/>
        <w:rPr>
          <w:u w:val="single"/>
        </w:rPr>
      </w:pPr>
      <w:r>
        <w:rPr>
          <w:u w:val="single"/>
        </w:rPr>
        <w:t>C.</w:t>
      </w:r>
      <w:r>
        <w:rPr>
          <w:u w:val="single"/>
        </w:rPr>
        <w:tab/>
        <w:t>KONSOLIDOVANÝ CELOK</w:t>
      </w:r>
    </w:p>
    <w:p w:rsidR="00D35ED5" w:rsidRDefault="00D35ED5">
      <w:pPr>
        <w:keepNext/>
        <w:keepLines/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sa nezahrňuje do konsolidovanej účtovnej závierky. </w:t>
      </w:r>
    </w:p>
    <w:p w:rsidR="00D35ED5" w:rsidRDefault="00D35ED5">
      <w:pPr>
        <w:pStyle w:val="Heading3"/>
        <w:spacing w:after="0"/>
        <w:ind w:left="0" w:firstLine="0"/>
        <w:rPr>
          <w:u w:val="single"/>
        </w:rPr>
      </w:pPr>
      <w:r>
        <w:rPr>
          <w:u w:val="single"/>
        </w:rPr>
        <w:t>D.</w:t>
      </w:r>
      <w:r>
        <w:rPr>
          <w:u w:val="single"/>
        </w:rPr>
        <w:tab/>
        <w:t>ĎALŠIE INFORMÁCIE</w:t>
      </w:r>
    </w:p>
    <w:p w:rsidR="00D35ED5" w:rsidRDefault="00D35ED5">
      <w:pPr>
        <w:pStyle w:val="Heading3"/>
      </w:pPr>
      <w:r>
        <w:t>D.a)</w:t>
      </w:r>
      <w:r>
        <w:tab/>
        <w:t>Účtovné metódy a všeobecné účtovné zásady</w:t>
      </w:r>
    </w:p>
    <w:p w:rsidR="00D35ED5" w:rsidRDefault="00D35ED5">
      <w:pPr>
        <w:pStyle w:val="odstavecabc"/>
        <w:rPr>
          <w:rFonts w:ascii="Arial" w:hAnsi="Arial"/>
          <w:sz w:val="18"/>
        </w:rPr>
      </w:pPr>
      <w:r>
        <w:rPr>
          <w:rFonts w:ascii="Arial" w:hAnsi="Arial"/>
          <w:sz w:val="18"/>
        </w:rPr>
        <w:t>Východiská pre zostavenie účtovnej závierky</w:t>
      </w:r>
    </w:p>
    <w:p w:rsidR="00D35ED5" w:rsidRDefault="00D35ED5">
      <w:pPr>
        <w:pStyle w:val="odstavecbezcisla"/>
        <w:tabs>
          <w:tab w:val="num" w:pos="426"/>
        </w:tabs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35ED5" w:rsidRDefault="00D35ED5">
      <w:pPr>
        <w:pStyle w:val="odstavecbezcisla"/>
        <w:tabs>
          <w:tab w:val="num" w:pos="426"/>
        </w:tabs>
        <w:spacing w:before="120"/>
        <w:ind w:left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Účtovné metódy a všeobecné účtovné zásady Spoločnosť aplikuje konzistentne. 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Spôsob oceňovania položiek súvahy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nehmotný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zásoby -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pohľadávky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finančný majetok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aktív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záväzky vrátane rezerv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pasív – menovitá hodnota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Odpisový plán</w:t>
      </w:r>
    </w:p>
    <w:p w:rsidR="00D35ED5" w:rsidRDefault="00D35ED5">
      <w:pPr>
        <w:pStyle w:val="odstavecbezcisla"/>
        <w:rPr>
          <w:rFonts w:ascii="Arial" w:hAnsi="Arial"/>
          <w:sz w:val="18"/>
        </w:rPr>
      </w:pPr>
    </w:p>
    <w:p w:rsidR="00D35ED5" w:rsidRDefault="00D35ED5">
      <w:pPr>
        <w:pStyle w:val="odstavecbezcisla"/>
        <w:numPr>
          <w:ilvl w:val="0"/>
          <w:numId w:val="39"/>
        </w:numPr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dlhodobý nehmotný majetok </w:t>
      </w:r>
      <w:r>
        <w:rPr>
          <w:rFonts w:ascii="Arial" w:hAnsi="Arial"/>
          <w:sz w:val="18"/>
        </w:rPr>
        <w:tab/>
        <w:t xml:space="preserve">Podľa rozhodnutia spoločnosti sa doba odpisovania stanovuje </w:t>
      </w:r>
    </w:p>
    <w:p w:rsidR="00D35ED5" w:rsidRDefault="00D35ED5">
      <w:pPr>
        <w:pStyle w:val="odstavecbezcisla"/>
        <w:ind w:left="3600"/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>individuálne od dvoch do piatich rokov. Daňové a účtovné odpisy sa rovnajú a sú rovnomerné.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Zatriedi sa do štyroch odpisových skupín podľa zákona o dani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z príjmu. Účtovný mesačný odpis sa stanoví ako podiel z ročného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odpisu. To znamená, že účtovné a daňové odpisy sa rovnajú.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drobný dlhodobý hmotný majetok </w:t>
      </w:r>
      <w:r>
        <w:rPr>
          <w:rFonts w:ascii="Arial" w:hAnsi="Arial"/>
          <w:sz w:val="18"/>
        </w:rPr>
        <w:tab/>
        <w:t>Odpíše sa jednorazovo do nákladov, ak spoločnosť nerozhodne inak.</w:t>
      </w:r>
    </w:p>
    <w:p w:rsidR="00D35ED5" w:rsidRDefault="00D35ED5">
      <w:pPr>
        <w:pStyle w:val="Heading3"/>
      </w:pPr>
      <w:r>
        <w:lastRenderedPageBreak/>
        <w:t>D.b)</w:t>
      </w:r>
      <w:r>
        <w:tab/>
        <w:t>Aktíva</w:t>
      </w:r>
    </w:p>
    <w:p w:rsidR="00D858A9" w:rsidRPr="00D858A9" w:rsidRDefault="00D35ED5" w:rsidP="00D858A9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dlhodobého majetku v </w:t>
      </w:r>
      <w:r w:rsidR="00E71EA3">
        <w:t>€</w:t>
      </w:r>
      <w:r w:rsidRPr="00D858A9">
        <w:rPr>
          <w:b w:val="0"/>
        </w:rPr>
        <w:t xml:space="preserve"> - </w:t>
      </w:r>
      <w:r w:rsidR="00B60A8D">
        <w:rPr>
          <w:b w:val="0"/>
        </w:rPr>
        <w:t>0</w:t>
      </w:r>
      <w:r w:rsidR="00D447D7">
        <w:rPr>
          <w:b w:val="0"/>
        </w:rPr>
        <w:t xml:space="preserve"> €</w:t>
      </w:r>
      <w:r w:rsidR="00D858A9" w:rsidRPr="00D858A9">
        <w:rPr>
          <w:b w:val="0"/>
        </w:rPr>
        <w:t xml:space="preserve"> </w:t>
      </w:r>
    </w:p>
    <w:p w:rsidR="00D35ED5" w:rsidRDefault="00D35ED5" w:rsidP="00D858A9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oprávok a zostatkových hodnôt v </w:t>
      </w:r>
      <w:r w:rsidR="00E71EA3">
        <w:t>€</w:t>
      </w:r>
      <w:r>
        <w:t xml:space="preserve">  </w:t>
      </w:r>
      <w:r w:rsidRPr="00D858A9">
        <w:rPr>
          <w:b w:val="0"/>
        </w:rPr>
        <w:t xml:space="preserve">– </w:t>
      </w:r>
      <w:r w:rsidR="00774CFC">
        <w:rPr>
          <w:b w:val="0"/>
        </w:rPr>
        <w:t>2146</w:t>
      </w:r>
      <w:r w:rsidR="00D447D7">
        <w:rPr>
          <w:b w:val="0"/>
        </w:rPr>
        <w:t xml:space="preserve">€ </w:t>
      </w:r>
      <w:r w:rsidR="00D858A9"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Poistenie dlhodobého majetku a zásob </w:t>
      </w:r>
      <w:r>
        <w:rPr>
          <w:b w:val="0"/>
        </w:rPr>
        <w:t>– nie sú uzavreté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Majetok, na ktorý je zriadené záložné právo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 nadobudnutý zmluvou o zabezpečovacom práve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Nadobudnutý majetok nezapísaný do katastra nehnuteľností, pričom sa tento majetok používa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Majetok, ktorým je Goodwill</w:t>
      </w:r>
      <w:r>
        <w:rPr>
          <w:b w:val="0"/>
        </w:rPr>
        <w:t xml:space="preserve"> – nie je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Používanie účtu 097 – Opravná položka k nadobudnutému majetku</w:t>
      </w:r>
      <w:r>
        <w:rPr>
          <w:b w:val="0"/>
        </w:rPr>
        <w:t xml:space="preserve"> – nepoužíva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Výskumná a vývojová činnosť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Využívanie dlhodobého finančného majetku na ovládanie inej účtovnej jednotky</w:t>
      </w:r>
      <w:r>
        <w:rPr>
          <w:b w:val="0"/>
        </w:rPr>
        <w:t xml:space="preserve"> - nie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Pohyb zložiek dlhodobého finančného majetku </w:t>
      </w:r>
      <w:r>
        <w:rPr>
          <w:b w:val="0"/>
        </w:rPr>
        <w:t>- nebol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Opravné položky k dlhodobému finančnému majetku</w:t>
      </w:r>
      <w:r>
        <w:rPr>
          <w:b w:val="0"/>
        </w:rPr>
        <w:t xml:space="preserve"> – nevznikol dôvod na ich tvorbu</w:t>
      </w:r>
      <w: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Zmeny v zložkách dlhodobého finančného majetku </w:t>
      </w:r>
      <w:r>
        <w:rPr>
          <w:b w:val="0"/>
        </w:rPr>
        <w:t>- nebol</w:t>
      </w:r>
      <w:r>
        <w:t>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Dlhodobý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Ocenenie finančného majetku reálnou hodnotou alebo metódou vlastného imania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zásobám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Zásob, na ktoré je zriadené záložné právo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Zákazková výroba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pohľadávkam</w:t>
      </w:r>
      <w:r>
        <w:rPr>
          <w:b w:val="0"/>
        </w:rPr>
        <w:t xml:space="preserve"> – nerobili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Hodnota pohľadávok</w:t>
      </w:r>
      <w:r>
        <w:rPr>
          <w:b w:val="0"/>
        </w:rPr>
        <w:t xml:space="preserve"> –</w:t>
      </w:r>
      <w:r w:rsidR="00774CFC">
        <w:rPr>
          <w:b w:val="0"/>
        </w:rPr>
        <w:t>13344</w:t>
      </w:r>
      <w:r w:rsidR="00F04627">
        <w:rPr>
          <w:b w:val="0"/>
        </w:rPr>
        <w:t xml:space="preserve"> </w:t>
      </w:r>
      <w:r w:rsidR="00C972B2">
        <w:rPr>
          <w:b w:val="0"/>
        </w:rPr>
        <w:t xml:space="preserve"> 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Pohľadávky, na ktoré je zriadené záložné právo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Odložená daňová pohľadávka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krátkodobého finančného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Opravné položky ku krátkodobému finančnému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Krátkodobý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Ocenenie krátkodobého finančného majetku reálnou hodnotou alebo metódou vlastného imania </w:t>
      </w:r>
      <w:r>
        <w:rPr>
          <w:b w:val="0"/>
        </w:rPr>
        <w:t>– nerobilo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časového rozlíšenia nákladov budúcich období a príjmov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 prenajatý formou finančného prenájmu vykazovaný u prenajímateľa </w:t>
      </w:r>
      <w:r>
        <w:rPr>
          <w:b w:val="0"/>
        </w:rPr>
        <w:t>– nie je</w:t>
      </w:r>
    </w:p>
    <w:p w:rsidR="00D35ED5" w:rsidRDefault="00D35ED5">
      <w:pPr>
        <w:pStyle w:val="Heading3"/>
      </w:pPr>
      <w:r>
        <w:t>D.c)</w:t>
      </w:r>
      <w:r>
        <w:tab/>
        <w:t>Pasíva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Údaje o základnom imaní</w:t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upísané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6640</w:t>
      </w:r>
      <w:r>
        <w:rPr>
          <w:rFonts w:ascii="Arial" w:hAnsi="Arial"/>
          <w:sz w:val="18"/>
        </w:rPr>
        <w:tab/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splatené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6640</w:t>
      </w:r>
      <w:r>
        <w:rPr>
          <w:rFonts w:ascii="Arial" w:hAnsi="Arial"/>
          <w:sz w:val="18"/>
        </w:rPr>
        <w:tab/>
      </w:r>
    </w:p>
    <w:p w:rsidR="00D35ED5" w:rsidRDefault="00E71EA3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Rez</w:t>
      </w:r>
      <w:r w:rsidR="00D35ED5">
        <w:t xml:space="preserve">ervy </w:t>
      </w:r>
      <w:r w:rsidR="00D35ED5">
        <w:rPr>
          <w:b w:val="0"/>
        </w:rPr>
        <w:t>– nie sú</w:t>
      </w:r>
    </w:p>
    <w:p w:rsid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>
        <w:t xml:space="preserve">Hodnota záväzkov </w:t>
      </w:r>
    </w:p>
    <w:p w:rsidR="00C972B2" w:rsidRP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do lehoty splatnosti = </w:t>
      </w:r>
      <w:r w:rsidR="00774CFC">
        <w:rPr>
          <w:b w:val="0"/>
        </w:rPr>
        <w:t>131494</w:t>
      </w:r>
      <w:r w:rsidR="00F04627">
        <w:rPr>
          <w:b w:val="0"/>
        </w:rPr>
        <w:t xml:space="preserve"> </w:t>
      </w:r>
      <w:r w:rsidR="00C972B2" w:rsidRPr="00C972B2">
        <w:rPr>
          <w:b w:val="0"/>
        </w:rPr>
        <w:t xml:space="preserve">€ </w:t>
      </w:r>
    </w:p>
    <w:p w:rsidR="00D35ED5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po lehote splatnosti </w:t>
      </w:r>
      <w:r w:rsidRPr="00C972B2">
        <w:rPr>
          <w:b w:val="0"/>
          <w:lang w:val="en-US"/>
        </w:rPr>
        <w:t xml:space="preserve">= </w:t>
      </w:r>
      <w:r w:rsidRPr="00C972B2">
        <w:rPr>
          <w:b w:val="0"/>
        </w:rPr>
        <w:t>0</w:t>
      </w:r>
    </w:p>
    <w:p w:rsidR="00D35ED5" w:rsidRDefault="00D35ED5">
      <w:pPr>
        <w:pStyle w:val="Heading8"/>
        <w:keepNext w:val="0"/>
        <w:widowControl w:val="0"/>
        <w:ind w:left="360" w:hanging="360"/>
        <w:rPr>
          <w:b w:val="0"/>
        </w:rPr>
      </w:pPr>
      <w:r>
        <w:rPr>
          <w:b w:val="0"/>
        </w:rPr>
        <w:tab/>
        <w:t xml:space="preserve">Rozdelenie záväzkov </w:t>
      </w:r>
      <w:r>
        <w:rPr>
          <w:b w:val="0"/>
        </w:rPr>
        <w:tab/>
        <w:t>-    voči spoločníkom</w:t>
      </w:r>
      <w:r w:rsidR="00E71EA3">
        <w:rPr>
          <w:b w:val="0"/>
        </w:rPr>
        <w:t xml:space="preserve"> </w:t>
      </w:r>
      <w:r w:rsidR="00D858A9">
        <w:rPr>
          <w:b w:val="0"/>
        </w:rPr>
        <w:t xml:space="preserve"> 0</w:t>
      </w:r>
      <w:r w:rsidR="00E71EA3">
        <w:rPr>
          <w:b w:val="0"/>
        </w:rPr>
        <w:t>€</w:t>
      </w:r>
    </w:p>
    <w:p w:rsidR="00D35ED5" w:rsidRDefault="00F04627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K</w:t>
      </w:r>
      <w:r w:rsidR="00D35ED5">
        <w:rPr>
          <w:b w:val="0"/>
        </w:rPr>
        <w:t>aucia</w:t>
      </w:r>
      <w:r>
        <w:rPr>
          <w:b w:val="0"/>
        </w:rPr>
        <w:t>-5000€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lastRenderedPageBreak/>
        <w:t>voči dodávateľom</w:t>
      </w:r>
      <w:r w:rsidR="00D858A9">
        <w:rPr>
          <w:b w:val="0"/>
        </w:rPr>
        <w:t xml:space="preserve"> –</w:t>
      </w:r>
      <w:r w:rsidR="00CC0704">
        <w:rPr>
          <w:b w:val="0"/>
        </w:rPr>
        <w:t xml:space="preserve"> </w:t>
      </w:r>
      <w:r w:rsidR="00774CFC">
        <w:rPr>
          <w:b w:val="0"/>
        </w:rPr>
        <w:t>2537</w:t>
      </w:r>
      <w:r w:rsidR="00F04627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nevyfakturované dodávky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zamestnancom</w:t>
      </w:r>
      <w:r w:rsidR="00E71EA3">
        <w:rPr>
          <w:b w:val="0"/>
        </w:rPr>
        <w:t xml:space="preserve"> –</w:t>
      </w:r>
      <w:r w:rsidR="00774CFC">
        <w:rPr>
          <w:b w:val="0"/>
        </w:rPr>
        <w:t>16303</w:t>
      </w:r>
      <w:r w:rsidR="00E71EA3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zdravotnej poisťovni</w:t>
      </w:r>
      <w:r w:rsidR="00E71EA3">
        <w:rPr>
          <w:b w:val="0"/>
        </w:rPr>
        <w:t xml:space="preserve">- </w:t>
      </w:r>
      <w:r w:rsidR="00F04627">
        <w:rPr>
          <w:b w:val="0"/>
        </w:rPr>
        <w:t xml:space="preserve"> </w:t>
      </w:r>
      <w:r w:rsidR="00774CFC">
        <w:rPr>
          <w:b w:val="0"/>
        </w:rPr>
        <w:t>3661</w:t>
      </w:r>
      <w:r w:rsidR="0089589C">
        <w:rPr>
          <w:b w:val="0"/>
        </w:rPr>
        <w:t xml:space="preserve"> 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daňovému úradu</w:t>
      </w:r>
      <w:r w:rsidR="00E71EA3">
        <w:rPr>
          <w:b w:val="0"/>
        </w:rPr>
        <w:t xml:space="preserve"> –</w:t>
      </w:r>
      <w:r w:rsidR="007F007A">
        <w:rPr>
          <w:b w:val="0"/>
        </w:rPr>
        <w:t xml:space="preserve"> </w:t>
      </w:r>
      <w:r w:rsidR="00774CFC">
        <w:rPr>
          <w:b w:val="0"/>
        </w:rPr>
        <w:t>7769</w:t>
      </w:r>
      <w:r w:rsidR="00E71EA3">
        <w:rPr>
          <w:b w:val="0"/>
        </w:rPr>
        <w:t>€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Záväzky do 1 roka, od 1-5, viac ako 5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Záväzky zabezpečené záložným právom </w:t>
      </w:r>
      <w:r>
        <w:rPr>
          <w:b w:val="0"/>
        </w:rPr>
        <w:t>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Odložený daňový záväzok </w:t>
      </w:r>
      <w:r>
        <w:rPr>
          <w:b w:val="0"/>
        </w:rPr>
        <w:t>– nie je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spacing w:after="60"/>
        <w:ind w:left="425" w:hanging="425"/>
      </w:pPr>
      <w:r>
        <w:t xml:space="preserve">Sociálny fond </w:t>
      </w:r>
      <w:r>
        <w:rPr>
          <w:b w:val="0"/>
        </w:rPr>
        <w:t>–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259"/>
        <w:gridCol w:w="1111"/>
        <w:gridCol w:w="1212"/>
      </w:tblGrid>
      <w:tr w:rsidR="00D35ED5">
        <w:trPr>
          <w:cantSplit/>
        </w:trPr>
        <w:tc>
          <w:tcPr>
            <w:tcW w:w="2259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774CFC">
              <w:rPr>
                <w:rFonts w:ascii="Arial" w:hAnsi="Arial"/>
                <w:b/>
                <w:sz w:val="16"/>
              </w:rPr>
              <w:t>2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</w:p>
          <w:p w:rsidR="00D35ED5" w:rsidRDefault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C972B2" w:rsidRDefault="000A1BCE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</w:t>
            </w:r>
            <w:r w:rsidR="00774CFC">
              <w:rPr>
                <w:rFonts w:ascii="Arial" w:hAnsi="Arial"/>
                <w:b/>
                <w:sz w:val="16"/>
              </w:rPr>
              <w:t>2</w:t>
            </w:r>
            <w:r>
              <w:rPr>
                <w:rFonts w:ascii="Arial" w:hAnsi="Arial"/>
                <w:b/>
                <w:sz w:val="16"/>
              </w:rPr>
              <w:t>.2022</w:t>
            </w:r>
          </w:p>
        </w:tc>
      </w:tr>
      <w:tr w:rsidR="00D35ED5">
        <w:trPr>
          <w:cantSplit/>
        </w:trPr>
        <w:tc>
          <w:tcPr>
            <w:tcW w:w="2259" w:type="dxa"/>
            <w:tcBorders>
              <w:top w:val="nil"/>
            </w:tcBorders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1. Januáru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774CFC" w:rsidP="00774CFC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175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0A1BCE" w:rsidP="007C7AC2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175</w:t>
            </w:r>
            <w:r w:rsidR="0089589C">
              <w:rPr>
                <w:rFonts w:ascii="Arial" w:hAnsi="Arial"/>
                <w:sz w:val="16"/>
              </w:rPr>
              <w:t>946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na ťarchu nákladov</w:t>
            </w:r>
          </w:p>
        </w:tc>
        <w:tc>
          <w:tcPr>
            <w:tcW w:w="1111" w:type="dxa"/>
            <w:vAlign w:val="bottom"/>
          </w:tcPr>
          <w:p w:rsidR="00D35ED5" w:rsidRDefault="00CC0704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89589C" w:rsidP="007C7AC2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858A9" w:rsidP="00D858A9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Čerpanie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C972B2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0A1BCE" w:rsidP="000A1BCE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175</w:t>
            </w:r>
          </w:p>
        </w:tc>
        <w:tc>
          <w:tcPr>
            <w:tcW w:w="1212" w:type="dxa"/>
            <w:vAlign w:val="bottom"/>
          </w:tcPr>
          <w:p w:rsidR="00D35ED5" w:rsidRDefault="000A1BCE" w:rsidP="000A1BCE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175</w:t>
            </w:r>
            <w:r w:rsidR="007C7AC2">
              <w:rPr>
                <w:rFonts w:ascii="Arial" w:hAnsi="Arial"/>
                <w:color w:val="auto"/>
                <w:sz w:val="16"/>
              </w:rPr>
              <w:t>6</w:t>
            </w:r>
          </w:p>
        </w:tc>
      </w:tr>
    </w:tbl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spacing w:before="80"/>
        <w:ind w:left="425" w:hanging="425"/>
      </w:pPr>
      <w:r>
        <w:t xml:space="preserve">Vydané dlhopisy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Bankové úvery, pôžičky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pôžičky časového rozlíšenia výdavkov budúcich období a výnosov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položky derivátov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a záväzky zabezpečené derivátmi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prenajatý formou finančného prenájmu vykazovaný u nájomcu</w:t>
      </w:r>
      <w:r>
        <w:rPr>
          <w:b w:val="0"/>
        </w:rPr>
        <w:t xml:space="preserve"> – nie je</w:t>
      </w:r>
    </w:p>
    <w:p w:rsidR="00D35ED5" w:rsidRDefault="00D35ED5">
      <w:pPr>
        <w:pStyle w:val="Heading3"/>
        <w:keepNext w:val="0"/>
        <w:widowControl w:val="0"/>
      </w:pPr>
      <w:r>
        <w:t>D.d)</w:t>
      </w:r>
      <w:r>
        <w:tab/>
        <w:t>Výnosy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Tržby za tovar </w:t>
      </w:r>
      <w:r>
        <w:rPr>
          <w:b w:val="0"/>
        </w:rPr>
        <w:t>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Tržby za služby</w:t>
      </w:r>
      <w:r>
        <w:rPr>
          <w:b w:val="0"/>
        </w:rPr>
        <w:t xml:space="preserve"> –</w:t>
      </w:r>
      <w:r w:rsidR="00D858A9">
        <w:rPr>
          <w:b w:val="0"/>
        </w:rPr>
        <w:t xml:space="preserve"> </w:t>
      </w:r>
      <w:r w:rsidR="000A1BCE">
        <w:rPr>
          <w:b w:val="0"/>
        </w:rPr>
        <w:t xml:space="preserve"> 37425</w:t>
      </w:r>
      <w:r w:rsidR="00B20EF3">
        <w:rPr>
          <w:b w:val="0"/>
        </w:rPr>
        <w:t xml:space="preserve"> </w:t>
      </w:r>
      <w:r w:rsidR="00C972B2">
        <w:rPr>
          <w:b w:val="0"/>
        </w:rPr>
        <w:t>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Zmena stavu zásob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Aktivácia materiálu na sklad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Výnosy z hospodárskej činnosti</w:t>
      </w:r>
      <w:r>
        <w:rPr>
          <w:b w:val="0"/>
        </w:rPr>
        <w:t xml:space="preserve">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Finančné výnosy</w:t>
      </w:r>
    </w:p>
    <w:p w:rsid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Úroky –</w:t>
      </w:r>
      <w:r w:rsidR="007334E5">
        <w:rPr>
          <w:rFonts w:ascii="Arial" w:hAnsi="Arial"/>
        </w:rPr>
        <w:t xml:space="preserve"> </w:t>
      </w:r>
      <w:r w:rsidR="00B20EF3">
        <w:rPr>
          <w:rFonts w:ascii="Arial" w:hAnsi="Arial"/>
        </w:rPr>
        <w:t>0</w:t>
      </w:r>
      <w:r w:rsidR="00C972B2" w:rsidRPr="00C972B2">
        <w:rPr>
          <w:rFonts w:ascii="Arial" w:hAnsi="Arial"/>
        </w:rPr>
        <w:t xml:space="preserve">€ </w:t>
      </w:r>
    </w:p>
    <w:p w:rsidR="00D35ED5" w:rsidRP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kurzové zisky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Mimoriadne výnosy </w:t>
      </w:r>
      <w:r>
        <w:rPr>
          <w:b w:val="0"/>
        </w:rPr>
        <w:t>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D.e)</w:t>
      </w:r>
      <w:r>
        <w:tab/>
        <w:t>Náklady</w:t>
      </w:r>
    </w:p>
    <w:p w:rsidR="00CC0704" w:rsidRPr="00CC0704" w:rsidRDefault="00D35ED5" w:rsidP="00CC0704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za prijaté služby </w:t>
      </w:r>
      <w:r w:rsidRPr="00CC0704">
        <w:rPr>
          <w:b w:val="0"/>
        </w:rPr>
        <w:t xml:space="preserve">– </w:t>
      </w:r>
      <w:r w:rsidR="000A1BCE">
        <w:rPr>
          <w:b w:val="0"/>
        </w:rPr>
        <w:t>18569</w:t>
      </w:r>
      <w:r w:rsidR="0089589C">
        <w:rPr>
          <w:b w:val="0"/>
        </w:rPr>
        <w:t>€</w:t>
      </w:r>
    </w:p>
    <w:p w:rsidR="00D35ED5" w:rsidRDefault="00CC0704" w:rsidP="00CC0704">
      <w:pPr>
        <w:pStyle w:val="Heading90"/>
        <w:keepNext w:val="0"/>
        <w:widowControl w:val="0"/>
        <w:numPr>
          <w:ilvl w:val="0"/>
          <w:numId w:val="43"/>
        </w:numPr>
      </w:pPr>
      <w:r>
        <w:t>N</w:t>
      </w:r>
      <w:r w:rsidR="00D35ED5">
        <w:t xml:space="preserve">áklady z hospodárskej činnosti </w:t>
      </w:r>
      <w:r w:rsidR="00D35ED5" w:rsidRPr="00CC0704">
        <w:rPr>
          <w:b w:val="0"/>
        </w:rPr>
        <w:t xml:space="preserve">– </w:t>
      </w:r>
      <w:r w:rsidR="000A1BCE">
        <w:rPr>
          <w:b w:val="0"/>
        </w:rPr>
        <w:t>14602</w:t>
      </w:r>
      <w:r w:rsidR="0089589C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Finančné náklady </w:t>
      </w:r>
      <w:r>
        <w:rPr>
          <w:b w:val="0"/>
        </w:rPr>
        <w:t xml:space="preserve">– </w:t>
      </w:r>
      <w:r w:rsidR="000A1BCE">
        <w:rPr>
          <w:b w:val="0"/>
        </w:rPr>
        <w:t>2354</w:t>
      </w:r>
      <w:r w:rsidR="00B20EF3">
        <w:rPr>
          <w:b w:val="0"/>
        </w:rPr>
        <w:t xml:space="preserve"> 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>Mimoriadne náklady</w:t>
      </w:r>
      <w:r>
        <w:rPr>
          <w:b w:val="0"/>
        </w:rPr>
        <w:t xml:space="preserve"> - neboli</w:t>
      </w:r>
    </w:p>
    <w:p w:rsidR="00F04627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t>D.f)</w:t>
      </w:r>
      <w:r>
        <w:tab/>
        <w:t>Údaje o dani z príjmov</w:t>
      </w:r>
      <w:r>
        <w:rPr>
          <w:b w:val="0"/>
        </w:rPr>
        <w:t xml:space="preserve"> </w:t>
      </w:r>
      <w:r>
        <w:rPr>
          <w:b w:val="0"/>
          <w:color w:val="auto"/>
        </w:rPr>
        <w:t xml:space="preserve">– </w:t>
      </w:r>
      <w:r w:rsidR="000A1BCE">
        <w:rPr>
          <w:b w:val="0"/>
          <w:color w:val="auto"/>
        </w:rPr>
        <w:t>0</w:t>
      </w:r>
      <w:r w:rsidR="00F04627">
        <w:rPr>
          <w:b w:val="0"/>
          <w:color w:val="auto"/>
        </w:rPr>
        <w:t xml:space="preserve"> € 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lastRenderedPageBreak/>
        <w:t>D.g)</w:t>
      </w:r>
      <w:r>
        <w:tab/>
        <w:t xml:space="preserve">Údaje na podsúvahových účtoch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D.h)</w:t>
      </w:r>
      <w:r>
        <w:tab/>
        <w:t>Údaje o iných aktívach a pasívach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D.i)</w:t>
      </w:r>
      <w:r>
        <w:tab/>
        <w:t>Údaje o príjmoch a výhodách členov štatutárnych orgánov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D.j)</w:t>
      </w:r>
      <w:r>
        <w:tab/>
        <w:t xml:space="preserve">Ekonomické vzťahy so spriaznenými osobami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>Zmluva o obchodnom zastúpení</w:t>
      </w:r>
      <w:r>
        <w:rPr>
          <w:b w:val="0"/>
        </w:rPr>
        <w:t xml:space="preserve"> - nebola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Leasingová zmluva </w:t>
      </w:r>
      <w:r>
        <w:rPr>
          <w:b w:val="0"/>
        </w:rPr>
        <w:t>-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Záruky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Transfer know-how </w:t>
      </w:r>
      <w:r>
        <w:rPr>
          <w:b w:val="0"/>
        </w:rPr>
        <w:t>- nebol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D.k)</w:t>
      </w:r>
      <w:r>
        <w:tab/>
        <w:t>Skutočnosti, ktoré nastali po dni, ku ktorému sa zostavuje účtovná závierka, do dňa zostavenia účtovnej závierky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Pokles alebo zvýšenie trhovej ceny finančného majetku </w:t>
      </w:r>
      <w:r>
        <w:rPr>
          <w:b w:val="0"/>
        </w:rPr>
        <w:t>- nebol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Dôvody pre zmenu výšky rezerv a opravných položiek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Zmeny spoločníkov účtovnej jednotky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Rozhodnutie o predaji účtovnej jednotky alebo jej časti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Zmena významných položiek dlhodobého finančného majetku </w:t>
      </w:r>
      <w:r>
        <w:rPr>
          <w:b w:val="0"/>
        </w:rPr>
        <w:t>–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Začatie alebo ukončenie činnosti účtovnej jednotky </w:t>
      </w:r>
      <w:r>
        <w:rPr>
          <w:b w:val="0"/>
        </w:rPr>
        <w:t>– nebolo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Vydanie dlhopisov a iných cenných papierov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Zlúčenie, splynutie, rozdelenie a zmena právnej formy účtovnej jednotky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Mimoriadne udalosti, ktoré majú vplyv na hospodárenie účtovnej jednotky </w:t>
      </w:r>
      <w:r>
        <w:rPr>
          <w:b w:val="0"/>
        </w:rPr>
        <w:t>–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Získanie a odňatie licencií alebo iných povolení pre činnosť účtovnej jednotky </w:t>
      </w:r>
      <w:r>
        <w:rPr>
          <w:b w:val="0"/>
        </w:rPr>
        <w:t>– nebolo</w:t>
      </w:r>
    </w:p>
    <w:p w:rsidR="00D35ED5" w:rsidRDefault="00D35ED5">
      <w:pPr>
        <w:pStyle w:val="Heading3"/>
        <w:keepNext w:val="0"/>
        <w:widowControl w:val="0"/>
      </w:pPr>
      <w:r>
        <w:t>D.l)</w:t>
      </w:r>
      <w:r>
        <w:tab/>
        <w:t>Prehľad o zmenách vlastného imania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784"/>
        <w:gridCol w:w="1111"/>
        <w:gridCol w:w="1212"/>
      </w:tblGrid>
      <w:tr w:rsidR="00D35ED5">
        <w:trPr>
          <w:cantSplit/>
        </w:trPr>
        <w:tc>
          <w:tcPr>
            <w:tcW w:w="2784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Položka</w:t>
            </w: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0A1BCE">
              <w:rPr>
                <w:rFonts w:ascii="Arial" w:hAnsi="Arial"/>
                <w:b/>
                <w:sz w:val="16"/>
              </w:rPr>
              <w:t>2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</w:p>
          <w:p w:rsidR="00D35ED5" w:rsidRDefault="00C972B2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0A1BCE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89589C">
              <w:rPr>
                <w:rFonts w:ascii="Arial" w:hAnsi="Arial"/>
                <w:b/>
                <w:sz w:val="16"/>
              </w:rPr>
              <w:t>2</w:t>
            </w:r>
            <w:r w:rsidR="000A1BCE">
              <w:rPr>
                <w:rFonts w:ascii="Arial" w:hAnsi="Arial"/>
                <w:b/>
                <w:sz w:val="16"/>
              </w:rPr>
              <w:t>2</w:t>
            </w:r>
            <w:r>
              <w:rPr>
                <w:rFonts w:ascii="Arial" w:hAnsi="Arial"/>
                <w:b/>
                <w:sz w:val="16"/>
              </w:rPr>
              <w:br/>
            </w:r>
            <w:r w:rsidR="00C972B2"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784" w:type="dxa"/>
            <w:tcBorders>
              <w:top w:val="nil"/>
            </w:tcBorders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Vlastné imanie spolu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0A1BCE" w:rsidP="00CC0704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-28207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0A1BCE" w:rsidP="0089589C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-45399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Základné imanie zapísané v OR</w:t>
            </w:r>
          </w:p>
        </w:tc>
        <w:tc>
          <w:tcPr>
            <w:tcW w:w="1111" w:type="dxa"/>
            <w:vAlign w:val="bottom"/>
          </w:tcPr>
          <w:p w:rsidR="00D35ED5" w:rsidRDefault="00205AE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6640</w:t>
            </w:r>
          </w:p>
        </w:tc>
        <w:tc>
          <w:tcPr>
            <w:tcW w:w="1212" w:type="dxa"/>
            <w:vAlign w:val="bottom"/>
          </w:tcPr>
          <w:p w:rsidR="00D35ED5" w:rsidRDefault="00205AE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6640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Rezervný fond</w:t>
            </w:r>
          </w:p>
        </w:tc>
        <w:tc>
          <w:tcPr>
            <w:tcW w:w="1111" w:type="dxa"/>
            <w:vAlign w:val="bottom"/>
          </w:tcPr>
          <w:p w:rsidR="00D35ED5" w:rsidRDefault="00200D7A" w:rsidP="00B63F76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663</w:t>
            </w:r>
          </w:p>
        </w:tc>
        <w:tc>
          <w:tcPr>
            <w:tcW w:w="1212" w:type="dxa"/>
            <w:vAlign w:val="bottom"/>
          </w:tcPr>
          <w:p w:rsidR="00D35ED5" w:rsidRDefault="00200D7A" w:rsidP="00200D7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663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Ostatné kapitálové fondy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Fondy tvorené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Nerozdelený zisk z minulých rokov</w:t>
            </w:r>
          </w:p>
        </w:tc>
        <w:tc>
          <w:tcPr>
            <w:tcW w:w="1111" w:type="dxa"/>
            <w:vAlign w:val="bottom"/>
          </w:tcPr>
          <w:p w:rsidR="00D35ED5" w:rsidRDefault="000A1BCE" w:rsidP="00CC0704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47062</w:t>
            </w:r>
          </w:p>
        </w:tc>
        <w:tc>
          <w:tcPr>
            <w:tcW w:w="1212" w:type="dxa"/>
            <w:vAlign w:val="bottom"/>
          </w:tcPr>
          <w:p w:rsidR="00D35ED5" w:rsidRDefault="000A1BCE" w:rsidP="0089589C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46944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Neuhradená strata minulých rokov</w:t>
            </w:r>
          </w:p>
        </w:tc>
        <w:tc>
          <w:tcPr>
            <w:tcW w:w="1111" w:type="dxa"/>
            <w:vAlign w:val="bottom"/>
          </w:tcPr>
          <w:p w:rsidR="00D35ED5" w:rsidRDefault="000A1BCE" w:rsidP="007F007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-95967</w:t>
            </w:r>
          </w:p>
        </w:tc>
        <w:tc>
          <w:tcPr>
            <w:tcW w:w="1212" w:type="dxa"/>
            <w:vAlign w:val="bottom"/>
          </w:tcPr>
          <w:p w:rsidR="00D35ED5" w:rsidRDefault="000A1BCE" w:rsidP="007F007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-95967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Výsledok hospodárenia na schválenie</w:t>
            </w:r>
          </w:p>
        </w:tc>
        <w:tc>
          <w:tcPr>
            <w:tcW w:w="1111" w:type="dxa"/>
            <w:vAlign w:val="bottom"/>
          </w:tcPr>
          <w:p w:rsidR="00D35ED5" w:rsidRDefault="000A1BCE" w:rsidP="00CC0704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118</w:t>
            </w:r>
          </w:p>
        </w:tc>
        <w:tc>
          <w:tcPr>
            <w:tcW w:w="1212" w:type="dxa"/>
            <w:vAlign w:val="bottom"/>
          </w:tcPr>
          <w:p w:rsidR="00D35ED5" w:rsidRDefault="000A1BCE" w:rsidP="0089589C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-16956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0A1BCE" w:rsidP="00212CD5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-69691</w:t>
            </w:r>
          </w:p>
        </w:tc>
        <w:tc>
          <w:tcPr>
            <w:tcW w:w="1212" w:type="dxa"/>
            <w:vAlign w:val="bottom"/>
          </w:tcPr>
          <w:p w:rsidR="00D35ED5" w:rsidRDefault="000A1BCE" w:rsidP="0089589C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-104075</w:t>
            </w:r>
          </w:p>
        </w:tc>
      </w:tr>
    </w:tbl>
    <w:p w:rsidR="00D35ED5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t>D.m)</w:t>
      </w:r>
      <w:r>
        <w:tab/>
        <w:t>Prehľad o peňažných tokoch</w:t>
      </w:r>
      <w:r>
        <w:rPr>
          <w:b w:val="0"/>
          <w:color w:val="auto"/>
        </w:rPr>
        <w:t xml:space="preserve"> - netvoril sa</w:t>
      </w:r>
    </w:p>
    <w:p w:rsidR="00D35ED5" w:rsidRDefault="00D35ED5">
      <w:pPr>
        <w:pStyle w:val="dotabulky"/>
        <w:spacing w:before="8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Zostavené</w:t>
      </w:r>
      <w:r>
        <w:rPr>
          <w:rFonts w:ascii="Arial" w:hAnsi="Arial"/>
          <w:sz w:val="18"/>
        </w:rPr>
        <w:tab/>
        <w:t xml:space="preserve">Podpisový záznam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Podpisový záznam osoby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Podpisový záznam</w:t>
      </w:r>
    </w:p>
    <w:p w:rsidR="00D35ED5" w:rsidRDefault="00D35ED5">
      <w:pPr>
        <w:pStyle w:val="dotabulky"/>
        <w:spacing w:before="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dňa:</w:t>
      </w:r>
      <w:r w:rsidR="00B63F76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štatutárneho orgánu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zodpovednej za účtovníctvo</w:t>
      </w:r>
      <w:r>
        <w:rPr>
          <w:rFonts w:ascii="Arial" w:hAnsi="Arial"/>
          <w:sz w:val="18"/>
        </w:rPr>
        <w:tab/>
        <w:t>za vedenie účtovníctva</w:t>
      </w:r>
    </w:p>
    <w:p w:rsidR="00D35ED5" w:rsidRDefault="00D35ED5">
      <w:pPr>
        <w:pStyle w:val="dotabulky"/>
        <w:spacing w:before="14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2</w:t>
      </w:r>
      <w:r w:rsidR="000A1BCE">
        <w:rPr>
          <w:rFonts w:ascii="Arial" w:hAnsi="Arial"/>
          <w:sz w:val="18"/>
        </w:rPr>
        <w:t>4</w:t>
      </w:r>
      <w:r w:rsidR="00200D7A">
        <w:rPr>
          <w:rFonts w:ascii="Arial" w:hAnsi="Arial"/>
          <w:sz w:val="18"/>
        </w:rPr>
        <w:t>.6.20</w:t>
      </w:r>
      <w:r w:rsidR="00CC0704">
        <w:rPr>
          <w:rFonts w:ascii="Arial" w:hAnsi="Arial"/>
          <w:sz w:val="18"/>
        </w:rPr>
        <w:t>2</w:t>
      </w:r>
      <w:r w:rsidR="000A1BCE">
        <w:rPr>
          <w:rFonts w:ascii="Arial" w:hAnsi="Arial"/>
          <w:sz w:val="18"/>
        </w:rPr>
        <w:t>3</w:t>
      </w:r>
      <w:r w:rsidR="00B63F76">
        <w:rPr>
          <w:rFonts w:ascii="Arial" w:hAnsi="Arial"/>
          <w:sz w:val="18"/>
        </w:rPr>
        <w:t xml:space="preserve">        </w:t>
      </w:r>
      <w:r w:rsidR="00200D7A">
        <w:rPr>
          <w:rFonts w:ascii="Arial" w:hAnsi="Arial"/>
          <w:sz w:val="18"/>
        </w:rPr>
        <w:t xml:space="preserve"> </w:t>
      </w:r>
      <w:r w:rsidR="000A1BCE">
        <w:rPr>
          <w:rFonts w:ascii="Arial" w:hAnsi="Arial"/>
          <w:sz w:val="18"/>
        </w:rPr>
        <w:t>Pavel Golkovský</w:t>
      </w:r>
      <w:r w:rsidR="00200D7A">
        <w:rPr>
          <w:rFonts w:ascii="Arial" w:hAnsi="Arial"/>
          <w:sz w:val="18"/>
        </w:rPr>
        <w:t xml:space="preserve">     </w:t>
      </w:r>
      <w:r w:rsidR="007F007A">
        <w:rPr>
          <w:rFonts w:ascii="Arial" w:hAnsi="Arial"/>
          <w:sz w:val="18"/>
        </w:rPr>
        <w:t xml:space="preserve"> </w:t>
      </w:r>
      <w:r w:rsidR="00B63F76">
        <w:rPr>
          <w:rFonts w:ascii="Arial" w:hAnsi="Arial"/>
          <w:sz w:val="18"/>
        </w:rPr>
        <w:t xml:space="preserve"> </w:t>
      </w:r>
      <w:r w:rsidR="00B20EF3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 xml:space="preserve">             </w:t>
      </w:r>
      <w:r>
        <w:rPr>
          <w:rFonts w:ascii="Arial" w:hAnsi="Arial"/>
          <w:sz w:val="18"/>
        </w:rPr>
        <w:tab/>
        <w:t xml:space="preserve">               Milena Golkovská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</w:p>
    <w:sectPr w:rsidR="00D35ED5" w:rsidSect="00066211">
      <w:headerReference w:type="default" r:id="rId8"/>
      <w:footerReference w:type="even" r:id="rId9"/>
      <w:footerReference w:type="default" r:id="rId10"/>
      <w:pgSz w:w="11907" w:h="16840" w:code="9"/>
      <w:pgMar w:top="1985" w:right="1275" w:bottom="1560" w:left="1418" w:header="708" w:footer="708" w:gutter="0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D3AB0" w:rsidRDefault="00DD3AB0">
      <w:r>
        <w:separator/>
      </w:r>
    </w:p>
  </w:endnote>
  <w:endnote w:type="continuationSeparator" w:id="0">
    <w:p w:rsidR="00DD3AB0" w:rsidRDefault="00DD3A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902850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D35ED5" w:rsidRDefault="00D35ED5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D3AB0" w:rsidRDefault="00DD3AB0">
      <w:r>
        <w:separator/>
      </w:r>
    </w:p>
  </w:footnote>
  <w:footnote w:type="continuationSeparator" w:id="0">
    <w:p w:rsidR="00DD3AB0" w:rsidRDefault="00DD3AB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902850">
    <w:pPr>
      <w:pStyle w:val="Header"/>
      <w:framePr w:wrap="around" w:vAnchor="text" w:hAnchor="margin" w:xAlign="right" w:y="1"/>
      <w:pBdr>
        <w:bottom w:val="none" w:sz="0" w:space="0" w:color="auto"/>
      </w:pBdr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0A1BCE">
      <w:rPr>
        <w:rStyle w:val="PageNumber"/>
        <w:noProof/>
      </w:rPr>
      <w:t>5</w:t>
    </w:r>
    <w:r>
      <w:rPr>
        <w:rStyle w:val="PageNumber"/>
      </w:rPr>
      <w:fldChar w:fldCharType="end"/>
    </w:r>
  </w:p>
  <w:p w:rsidR="00D35ED5" w:rsidRDefault="00774CFC">
    <w:pPr>
      <w:pStyle w:val="Header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G.J.S. spol.</w:t>
    </w:r>
    <w:r w:rsidR="00A9570A">
      <w:rPr>
        <w:rFonts w:ascii="Arial" w:hAnsi="Arial"/>
        <w:b/>
        <w:i/>
      </w:rPr>
      <w:t xml:space="preserve"> </w:t>
    </w:r>
    <w:r w:rsidR="00D35ED5">
      <w:rPr>
        <w:rFonts w:ascii="Arial" w:hAnsi="Arial"/>
        <w:b/>
        <w:i/>
      </w:rPr>
      <w:t xml:space="preserve"> s.r.o.</w:t>
    </w:r>
  </w:p>
  <w:p w:rsidR="00735BF8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Poznámky k účtovnej závierke zostavenej k 31. decembru 20</w:t>
    </w:r>
    <w:r w:rsidR="00D6009F">
      <w:rPr>
        <w:rFonts w:ascii="Arial" w:hAnsi="Arial"/>
        <w:b/>
        <w:i/>
      </w:rPr>
      <w:t>2</w:t>
    </w:r>
    <w:r w:rsidR="00774CFC">
      <w:rPr>
        <w:rFonts w:ascii="Arial" w:hAnsi="Arial"/>
        <w:b/>
        <w:i/>
      </w:rPr>
      <w:t>2</w:t>
    </w:r>
  </w:p>
  <w:p w:rsidR="00D35ED5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vanish/>
      </w:rPr>
      <w:pgNum/>
    </w:r>
    <w:r>
      <w:rPr>
        <w:rFonts w:ascii="Arial" w:hAnsi="Arial"/>
        <w:vanish/>
      </w:rPr>
      <w:pgNum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C37A9E98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7C15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B24D6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8A86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E24AF2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3B29A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A1403B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146A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346B0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71567630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6C86A86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7D0AC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7A07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384420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64ED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8C5C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C3E5B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7847C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C690F46E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BDF01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DECE2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5989F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BCFD3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694B69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7C2AB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46ED6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728D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661F24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B92134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F04F9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C0A41C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E18B37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AA560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44853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9EC825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2282D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12AC966E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747EAA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B068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9C6E8A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E008B4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9AAAEB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14AE2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36E83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DE42A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942C97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7">
    <w:nsid w:val="1F257545"/>
    <w:multiLevelType w:val="singleLevel"/>
    <w:tmpl w:val="04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2CD5160D"/>
    <w:multiLevelType w:val="hybridMultilevel"/>
    <w:tmpl w:val="67A6B23A"/>
    <w:lvl w:ilvl="0" w:tplc="981022D2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A02EF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EEEEE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C3A31A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2EA1C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076900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A229A7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2EEDD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3ACC5B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8508E"/>
    <w:multiLevelType w:val="hybridMultilevel"/>
    <w:tmpl w:val="43AA5358"/>
    <w:lvl w:ilvl="0" w:tplc="686A22BC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F7AC47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6207A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A165D9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3C5F7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E366DC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86827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A9AB29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BFCA76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1E1407E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34EA3A6B"/>
    <w:multiLevelType w:val="hybridMultilevel"/>
    <w:tmpl w:val="A0E4CBD2"/>
    <w:lvl w:ilvl="0" w:tplc="B77451BE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6C2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6C0F40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740D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9A49A6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97EF9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8361D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FE89F2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240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8BE0BA28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6F65DA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C94ED1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C0E0A8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3E04D2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9F44A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1064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92CBD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B8D5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3F7C47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3C7046F6"/>
    <w:multiLevelType w:val="hybridMultilevel"/>
    <w:tmpl w:val="047207FE"/>
    <w:lvl w:ilvl="0" w:tplc="CCE868D0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D70AC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CA884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77021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90CE8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267E3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584D1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27ABF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D0CB9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90439C"/>
    <w:multiLevelType w:val="hybridMultilevel"/>
    <w:tmpl w:val="DD70CF3E"/>
    <w:lvl w:ilvl="0" w:tplc="B72C8106">
      <w:start w:val="1"/>
      <w:numFmt w:val="upperLetter"/>
      <w:pStyle w:val="Heading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4C8645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BD0B5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7D6F9B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CF6AA7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280378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8DACE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5542E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17E8A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A575B4"/>
    <w:multiLevelType w:val="hybridMultilevel"/>
    <w:tmpl w:val="B9D6FC10"/>
    <w:lvl w:ilvl="0" w:tplc="386E5AC4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D4AF8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26395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80FA3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02A41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5969C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17A68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BECCA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356CB3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6EECBE2C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32F666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794E94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167C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5623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DDA572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13E28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64A21B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12E12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6736909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471C4A55"/>
    <w:multiLevelType w:val="hybridMultilevel"/>
    <w:tmpl w:val="BE820354"/>
    <w:lvl w:ilvl="0" w:tplc="1FEA963A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6DAF8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2629B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9D8DF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2FA6D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AD4CB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F1028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17698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4943DC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19A06942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950D61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A0E086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E780B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BC282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AE8A1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6726FF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4A696C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4C46F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9168AD"/>
    <w:multiLevelType w:val="hybridMultilevel"/>
    <w:tmpl w:val="0F1024FA"/>
    <w:lvl w:ilvl="0" w:tplc="89562F1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E0A7E3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DC04F8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7AC4C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E94DCC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12FE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3DEB8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78E8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D0E7D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BE756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4804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0AF4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180DF9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D86E9E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9050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C9666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18A43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918CD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5C50C94A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0C8DF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43890D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F0E2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DEE08D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45890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0E6AA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C52DD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E666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A9D62C78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E8A62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0AB8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0189F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C21E8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860AD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4098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AECA0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FC20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C428BD72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78A616C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09EB50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59618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034E1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E16C8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ED636E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22E4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39E4D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563B57"/>
    <w:multiLevelType w:val="hybridMultilevel"/>
    <w:tmpl w:val="CB9213D6"/>
    <w:lvl w:ilvl="0" w:tplc="815E5F94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0B0FDF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18689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B2A00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F30431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30DD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F2AFB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0B618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F74A6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75D621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DF07E7B"/>
    <w:multiLevelType w:val="singleLevel"/>
    <w:tmpl w:val="A110552A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1A8E27E0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1C411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59A87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B664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2B4762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92D40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9424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EE8AE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1E0672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3D2C3E64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B7093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CACD03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48E3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281CA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A9E5AA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A5476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408DA6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DEAC0D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8AAED186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BDCA7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18276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300FC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7C6BD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608C88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D7ABA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19655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34D2A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3962E29E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2D2A1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C5C11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80B90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3709B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D68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FF6B4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B646A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AB23D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5FE8C9C4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E6A3EA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03066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1605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2466F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C50592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26C03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4F04DA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45F7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964201"/>
    <w:multiLevelType w:val="hybridMultilevel"/>
    <w:tmpl w:val="AF1E96D2"/>
    <w:lvl w:ilvl="0" w:tplc="10E43ABC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FB65F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7347B5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9EA98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A2EED0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FC17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38E121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36ED9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7963D1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C6A7264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39">
    <w:nsid w:val="6D396361"/>
    <w:multiLevelType w:val="hybridMultilevel"/>
    <w:tmpl w:val="8EEC96BE"/>
    <w:lvl w:ilvl="0" w:tplc="599889FA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9FE6D7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C6376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DDAD3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7FC9C4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62A404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7CEAB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1A439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B2640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20F6DF90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E66260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526DD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A84F48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1F8787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55AF9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AC45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F9460F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2E4CC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6B04FD1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E6247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F484D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9589E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A0414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856BC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18221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D6AEA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D2253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1"/>
  </w:num>
  <w:num w:numId="3">
    <w:abstractNumId w:val="26"/>
  </w:num>
  <w:num w:numId="4">
    <w:abstractNumId w:val="31"/>
  </w:num>
  <w:num w:numId="5">
    <w:abstractNumId w:val="37"/>
  </w:num>
  <w:num w:numId="6">
    <w:abstractNumId w:val="40"/>
  </w:num>
  <w:num w:numId="7">
    <w:abstractNumId w:val="34"/>
  </w:num>
  <w:num w:numId="8">
    <w:abstractNumId w:val="22"/>
  </w:num>
  <w:num w:numId="9">
    <w:abstractNumId w:val="19"/>
  </w:num>
  <w:num w:numId="10">
    <w:abstractNumId w:val="3"/>
  </w:num>
  <w:num w:numId="11">
    <w:abstractNumId w:val="11"/>
  </w:num>
  <w:num w:numId="12">
    <w:abstractNumId w:val="25"/>
  </w:num>
  <w:num w:numId="13">
    <w:abstractNumId w:val="30"/>
  </w:num>
  <w:num w:numId="14">
    <w:abstractNumId w:val="2"/>
  </w:num>
  <w:num w:numId="15">
    <w:abstractNumId w:val="39"/>
  </w:num>
  <w:num w:numId="16">
    <w:abstractNumId w:val="0"/>
  </w:num>
  <w:num w:numId="17">
    <w:abstractNumId w:val="16"/>
  </w:num>
  <w:num w:numId="18">
    <w:abstractNumId w:val="35"/>
  </w:num>
  <w:num w:numId="19">
    <w:abstractNumId w:val="8"/>
  </w:num>
  <w:num w:numId="20">
    <w:abstractNumId w:val="9"/>
  </w:num>
  <w:num w:numId="21">
    <w:abstractNumId w:val="36"/>
  </w:num>
  <w:num w:numId="22">
    <w:abstractNumId w:val="14"/>
  </w:num>
  <w:num w:numId="23">
    <w:abstractNumId w:val="23"/>
  </w:num>
  <w:num w:numId="24">
    <w:abstractNumId w:val="20"/>
  </w:num>
  <w:num w:numId="25">
    <w:abstractNumId w:val="12"/>
  </w:num>
  <w:num w:numId="26">
    <w:abstractNumId w:val="1"/>
  </w:num>
  <w:num w:numId="27">
    <w:abstractNumId w:val="24"/>
  </w:num>
  <w:num w:numId="28">
    <w:abstractNumId w:val="29"/>
  </w:num>
  <w:num w:numId="29">
    <w:abstractNumId w:val="15"/>
  </w:num>
  <w:num w:numId="30">
    <w:abstractNumId w:val="33"/>
  </w:num>
  <w:num w:numId="31">
    <w:abstractNumId w:val="32"/>
  </w:num>
  <w:num w:numId="32">
    <w:abstractNumId w:val="17"/>
  </w:num>
  <w:num w:numId="33">
    <w:abstractNumId w:val="28"/>
  </w:num>
  <w:num w:numId="34">
    <w:abstractNumId w:val="4"/>
  </w:num>
  <w:num w:numId="35">
    <w:abstractNumId w:val="18"/>
  </w:num>
  <w:num w:numId="36">
    <w:abstractNumId w:val="5"/>
    <w:lvlOverride w:ilvl="0">
      <w:startOverride w:val="1"/>
    </w:lvlOverride>
  </w:num>
  <w:num w:numId="37">
    <w:abstractNumId w:val="5"/>
    <w:lvlOverride w:ilvl="0">
      <w:startOverride w:val="1"/>
    </w:lvlOverride>
  </w:num>
  <w:num w:numId="38">
    <w:abstractNumId w:val="7"/>
  </w:num>
  <w:num w:numId="39">
    <w:abstractNumId w:val="6"/>
  </w:num>
  <w:num w:numId="40">
    <w:abstractNumId w:val="10"/>
  </w:num>
  <w:num w:numId="41">
    <w:abstractNumId w:val="38"/>
  </w:num>
  <w:num w:numId="42">
    <w:abstractNumId w:val="10"/>
    <w:lvlOverride w:ilvl="0">
      <w:startOverride w:val="1"/>
    </w:lvlOverride>
  </w:num>
  <w:num w:numId="43">
    <w:abstractNumId w:val="27"/>
  </w:num>
  <w:num w:numId="44">
    <w:abstractNumId w:val="13"/>
  </w:num>
  <w:num w:numId="45">
    <w:abstractNumId w:val="4"/>
  </w:num>
  <w:numIdMacAtCleanup w:val="4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35ED5"/>
    <w:rsid w:val="00066211"/>
    <w:rsid w:val="00085DFB"/>
    <w:rsid w:val="000A1BCE"/>
    <w:rsid w:val="000B08F2"/>
    <w:rsid w:val="000B1B18"/>
    <w:rsid w:val="00123A9D"/>
    <w:rsid w:val="00200D7A"/>
    <w:rsid w:val="00205139"/>
    <w:rsid w:val="00205AEA"/>
    <w:rsid w:val="00212CD5"/>
    <w:rsid w:val="003C40C5"/>
    <w:rsid w:val="00412087"/>
    <w:rsid w:val="004706B4"/>
    <w:rsid w:val="004A3DFE"/>
    <w:rsid w:val="004A6F55"/>
    <w:rsid w:val="004D3805"/>
    <w:rsid w:val="004E46F4"/>
    <w:rsid w:val="004E590E"/>
    <w:rsid w:val="00502C41"/>
    <w:rsid w:val="005A734A"/>
    <w:rsid w:val="00671DEF"/>
    <w:rsid w:val="006F4D82"/>
    <w:rsid w:val="00710F57"/>
    <w:rsid w:val="007334E5"/>
    <w:rsid w:val="00735BF8"/>
    <w:rsid w:val="00774CFC"/>
    <w:rsid w:val="00791B2D"/>
    <w:rsid w:val="007C7AC2"/>
    <w:rsid w:val="007F007A"/>
    <w:rsid w:val="00840A21"/>
    <w:rsid w:val="0089589C"/>
    <w:rsid w:val="00902850"/>
    <w:rsid w:val="00914348"/>
    <w:rsid w:val="009D5A78"/>
    <w:rsid w:val="00A225BA"/>
    <w:rsid w:val="00A563B7"/>
    <w:rsid w:val="00A75747"/>
    <w:rsid w:val="00A9570A"/>
    <w:rsid w:val="00B20EF3"/>
    <w:rsid w:val="00B518BC"/>
    <w:rsid w:val="00B60A8D"/>
    <w:rsid w:val="00B63F76"/>
    <w:rsid w:val="00BC40BF"/>
    <w:rsid w:val="00C72DD6"/>
    <w:rsid w:val="00C972B2"/>
    <w:rsid w:val="00CB73E3"/>
    <w:rsid w:val="00CC0704"/>
    <w:rsid w:val="00CD640A"/>
    <w:rsid w:val="00D344E8"/>
    <w:rsid w:val="00D35ED5"/>
    <w:rsid w:val="00D447D7"/>
    <w:rsid w:val="00D6009F"/>
    <w:rsid w:val="00D858A9"/>
    <w:rsid w:val="00DD3AB0"/>
    <w:rsid w:val="00E5162D"/>
    <w:rsid w:val="00E71EA3"/>
    <w:rsid w:val="00EC6184"/>
    <w:rsid w:val="00EE0763"/>
    <w:rsid w:val="00F04627"/>
    <w:rsid w:val="00F32A21"/>
    <w:rsid w:val="00F67BA6"/>
    <w:rsid w:val="00F97981"/>
    <w:rsid w:val="00FA22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74CFC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Heading1">
    <w:name w:val="heading 1"/>
    <w:basedOn w:val="Normal"/>
    <w:next w:val="Normal"/>
    <w:autoRedefine/>
    <w:qFormat/>
    <w:rsid w:val="00066211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Heading2">
    <w:name w:val="heading 2"/>
    <w:basedOn w:val="Normal"/>
    <w:next w:val="Normal"/>
    <w:autoRedefine/>
    <w:qFormat/>
    <w:rsid w:val="00066211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Heading3">
    <w:name w:val="heading 3"/>
    <w:basedOn w:val="Normal"/>
    <w:next w:val="Normal"/>
    <w:qFormat/>
    <w:rsid w:val="00066211"/>
    <w:pPr>
      <w:keepNext/>
      <w:tabs>
        <w:tab w:val="left" w:pos="426"/>
      </w:tabs>
      <w:spacing w:before="240" w:after="60"/>
      <w:ind w:left="425" w:hanging="425"/>
      <w:jc w:val="both"/>
      <w:outlineLvl w:val="2"/>
    </w:pPr>
    <w:rPr>
      <w:rFonts w:ascii="Arial" w:hAnsi="Arial"/>
      <w:b/>
      <w:color w:val="000080"/>
      <w:sz w:val="18"/>
    </w:rPr>
  </w:style>
  <w:style w:type="paragraph" w:styleId="Heading4">
    <w:name w:val="heading 4"/>
    <w:basedOn w:val="Normal"/>
    <w:next w:val="Normal"/>
    <w:qFormat/>
    <w:rsid w:val="00066211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Heading5">
    <w:name w:val="heading 5"/>
    <w:basedOn w:val="Normal"/>
    <w:next w:val="Normal"/>
    <w:qFormat/>
    <w:rsid w:val="00066211"/>
    <w:pPr>
      <w:spacing w:before="240" w:after="60"/>
      <w:outlineLvl w:val="4"/>
    </w:pPr>
  </w:style>
  <w:style w:type="paragraph" w:styleId="Heading6">
    <w:name w:val="heading 6"/>
    <w:basedOn w:val="Normal"/>
    <w:next w:val="Normal"/>
    <w:qFormat/>
    <w:rsid w:val="00066211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066211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066211"/>
    <w:pPr>
      <w:keepNext/>
      <w:spacing w:after="80"/>
      <w:jc w:val="both"/>
      <w:outlineLvl w:val="7"/>
    </w:pPr>
    <w:rPr>
      <w:rFonts w:ascii="Arial" w:hAnsi="Arial"/>
      <w:b/>
      <w:sz w:val="18"/>
    </w:rPr>
  </w:style>
  <w:style w:type="paragraph" w:styleId="Heading9">
    <w:name w:val="heading 9"/>
    <w:basedOn w:val="Normal"/>
    <w:next w:val="Normal"/>
    <w:qFormat/>
    <w:rsid w:val="00066211"/>
    <w:pPr>
      <w:keepNext/>
      <w:jc w:val="center"/>
      <w:outlineLvl w:val="8"/>
    </w:pPr>
    <w:rPr>
      <w:b/>
      <w:i/>
    </w:rPr>
  </w:style>
  <w:style w:type="character" w:default="1" w:styleId="DefaultParagraphFont">
    <w:name w:val="Default Paragraph Font"/>
    <w:uiPriority w:val="1"/>
    <w:semiHidden/>
    <w:unhideWhenUsed/>
    <w:rsid w:val="00774CFC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774CFC"/>
  </w:style>
  <w:style w:type="paragraph" w:styleId="List2">
    <w:name w:val="List 2"/>
    <w:basedOn w:val="Normal"/>
    <w:rsid w:val="00066211"/>
    <w:pPr>
      <w:ind w:left="566" w:hanging="283"/>
    </w:pPr>
  </w:style>
  <w:style w:type="paragraph" w:customStyle="1" w:styleId="Clanok">
    <w:name w:val="Clanok"/>
    <w:basedOn w:val="Normal"/>
    <w:rsid w:val="00066211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al"/>
    <w:rsid w:val="00066211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List3">
    <w:name w:val="List 3"/>
    <w:basedOn w:val="Normal"/>
    <w:rsid w:val="00066211"/>
    <w:pPr>
      <w:ind w:left="849" w:hanging="283"/>
    </w:pPr>
  </w:style>
  <w:style w:type="paragraph" w:styleId="List4">
    <w:name w:val="List 4"/>
    <w:basedOn w:val="Normal"/>
    <w:rsid w:val="00066211"/>
    <w:pPr>
      <w:ind w:left="1132" w:hanging="283"/>
    </w:pPr>
  </w:style>
  <w:style w:type="paragraph" w:styleId="List5">
    <w:name w:val="List 5"/>
    <w:basedOn w:val="Normal"/>
    <w:rsid w:val="00066211"/>
    <w:pPr>
      <w:ind w:left="1415" w:hanging="283"/>
    </w:pPr>
  </w:style>
  <w:style w:type="paragraph" w:styleId="ListBullet2">
    <w:name w:val="List Bullet 2"/>
    <w:basedOn w:val="Normal"/>
    <w:rsid w:val="00066211"/>
    <w:pPr>
      <w:spacing w:line="240" w:lineRule="auto"/>
      <w:ind w:left="454" w:hanging="170"/>
    </w:pPr>
  </w:style>
  <w:style w:type="paragraph" w:styleId="ListBullet3">
    <w:name w:val="List Bullet 3"/>
    <w:basedOn w:val="Normal"/>
    <w:rsid w:val="00066211"/>
    <w:pPr>
      <w:ind w:left="849" w:hanging="283"/>
    </w:pPr>
  </w:style>
  <w:style w:type="paragraph" w:styleId="ListBullet4">
    <w:name w:val="List Bullet 4"/>
    <w:basedOn w:val="Normal"/>
    <w:rsid w:val="00066211"/>
    <w:pPr>
      <w:ind w:left="1132" w:hanging="283"/>
    </w:pPr>
  </w:style>
  <w:style w:type="character" w:customStyle="1" w:styleId="Zvraznntun">
    <w:name w:val="Zvýraznění tučné"/>
    <w:rsid w:val="00066211"/>
    <w:rPr>
      <w:b/>
      <w:i/>
    </w:rPr>
  </w:style>
  <w:style w:type="paragraph" w:customStyle="1" w:styleId="dotabulky">
    <w:name w:val="do tabulky"/>
    <w:basedOn w:val="BodyText"/>
    <w:rsid w:val="00066211"/>
    <w:pPr>
      <w:spacing w:before="40" w:after="0"/>
    </w:pPr>
  </w:style>
  <w:style w:type="paragraph" w:customStyle="1" w:styleId="Tunstred">
    <w:name w:val="Tučný stred"/>
    <w:basedOn w:val="Normal"/>
    <w:rsid w:val="00066211"/>
    <w:pPr>
      <w:spacing w:before="60" w:line="240" w:lineRule="auto"/>
      <w:jc w:val="center"/>
    </w:pPr>
    <w:rPr>
      <w:b/>
      <w:sz w:val="20"/>
    </w:rPr>
  </w:style>
  <w:style w:type="paragraph" w:styleId="BodyText">
    <w:name w:val="Body Text"/>
    <w:basedOn w:val="Normal"/>
    <w:rsid w:val="00066211"/>
    <w:pPr>
      <w:spacing w:after="120"/>
    </w:pPr>
  </w:style>
  <w:style w:type="paragraph" w:styleId="BodyTextIndent">
    <w:name w:val="Body Text Indent"/>
    <w:basedOn w:val="Normal"/>
    <w:rsid w:val="00066211"/>
    <w:pPr>
      <w:spacing w:after="120"/>
      <w:ind w:left="283"/>
    </w:pPr>
  </w:style>
  <w:style w:type="character" w:styleId="CommentReference">
    <w:name w:val="annotation reference"/>
    <w:basedOn w:val="DefaultParagraphFont"/>
    <w:semiHidden/>
    <w:rsid w:val="00066211"/>
    <w:rPr>
      <w:sz w:val="16"/>
    </w:rPr>
  </w:style>
  <w:style w:type="paragraph" w:styleId="CommentText">
    <w:name w:val="annotation text"/>
    <w:basedOn w:val="Normal"/>
    <w:link w:val="CommentTextChar"/>
    <w:semiHidden/>
    <w:rsid w:val="00066211"/>
    <w:rPr>
      <w:sz w:val="20"/>
    </w:rPr>
  </w:style>
  <w:style w:type="paragraph" w:styleId="FootnoteText">
    <w:name w:val="footnote text"/>
    <w:basedOn w:val="Normal"/>
    <w:semiHidden/>
    <w:rsid w:val="00066211"/>
    <w:rPr>
      <w:sz w:val="20"/>
    </w:rPr>
  </w:style>
  <w:style w:type="paragraph" w:customStyle="1" w:styleId="dotabulky2">
    <w:name w:val="do tabulky 2"/>
    <w:basedOn w:val="dotabulky"/>
    <w:rsid w:val="00066211"/>
    <w:rPr>
      <w:b/>
    </w:rPr>
  </w:style>
  <w:style w:type="character" w:styleId="FootnoteReference">
    <w:name w:val="footnote reference"/>
    <w:basedOn w:val="DefaultParagraphFont"/>
    <w:semiHidden/>
    <w:rsid w:val="00066211"/>
    <w:rPr>
      <w:vertAlign w:val="superscript"/>
    </w:rPr>
  </w:style>
  <w:style w:type="paragraph" w:styleId="Footer">
    <w:name w:val="footer"/>
    <w:basedOn w:val="Normal"/>
    <w:rsid w:val="00066211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066211"/>
  </w:style>
  <w:style w:type="paragraph" w:styleId="Header">
    <w:name w:val="header"/>
    <w:basedOn w:val="Normal"/>
    <w:rsid w:val="0006621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BodyTextIndent2">
    <w:name w:val="Body Text Indent 2"/>
    <w:basedOn w:val="Normal"/>
    <w:rsid w:val="00066211"/>
    <w:pPr>
      <w:spacing w:before="60"/>
      <w:ind w:firstLine="720"/>
    </w:pPr>
  </w:style>
  <w:style w:type="paragraph" w:styleId="DocumentMap">
    <w:name w:val="Document Map"/>
    <w:basedOn w:val="Normal"/>
    <w:semiHidden/>
    <w:rsid w:val="00066211"/>
    <w:pPr>
      <w:shd w:val="clear" w:color="auto" w:fill="000080"/>
    </w:pPr>
    <w:rPr>
      <w:rFonts w:ascii="Tahoma" w:hAnsi="Tahoma"/>
    </w:rPr>
  </w:style>
  <w:style w:type="paragraph" w:styleId="BodyText2">
    <w:name w:val="Body Text 2"/>
    <w:basedOn w:val="Normal"/>
    <w:rsid w:val="00066211"/>
    <w:rPr>
      <w:rFonts w:ascii="Times New Roman" w:hAnsi="Times New Roman"/>
      <w:b/>
      <w:sz w:val="28"/>
    </w:rPr>
  </w:style>
  <w:style w:type="paragraph" w:styleId="BodyTextIndent3">
    <w:name w:val="Body Text Indent 3"/>
    <w:basedOn w:val="Normal"/>
    <w:rsid w:val="00066211"/>
    <w:pPr>
      <w:ind w:firstLine="720"/>
      <w:jc w:val="both"/>
    </w:pPr>
  </w:style>
  <w:style w:type="paragraph" w:styleId="BodyText3">
    <w:name w:val="Body Text 3"/>
    <w:basedOn w:val="Normal"/>
    <w:rsid w:val="00066211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al"/>
    <w:autoRedefine/>
    <w:rsid w:val="00066211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al"/>
    <w:autoRedefine/>
    <w:rsid w:val="0006621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al"/>
    <w:autoRedefine/>
    <w:rsid w:val="00066211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066211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066211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066211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066211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066211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066211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066211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066211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066211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066211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066211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066211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066211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066211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066211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066211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066211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066211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066211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066211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066211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066211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066211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066211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066211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066211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PlainText"/>
    <w:autoRedefine/>
    <w:rsid w:val="00066211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066211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066211"/>
    <w:pPr>
      <w:numPr>
        <w:numId w:val="31"/>
      </w:numPr>
    </w:pPr>
  </w:style>
  <w:style w:type="paragraph" w:customStyle="1" w:styleId="Heading3E">
    <w:name w:val="Heading3E"/>
    <w:basedOn w:val="Heading3"/>
    <w:autoRedefine/>
    <w:rsid w:val="00066211"/>
    <w:pPr>
      <w:numPr>
        <w:numId w:val="32"/>
      </w:numPr>
    </w:pPr>
  </w:style>
  <w:style w:type="paragraph" w:customStyle="1" w:styleId="aparagraf">
    <w:name w:val="aparagraf"/>
    <w:basedOn w:val="Normal"/>
    <w:autoRedefine/>
    <w:rsid w:val="00066211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066211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6621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66211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066211"/>
    <w:pPr>
      <w:numPr>
        <w:numId w:val="45"/>
      </w:numPr>
      <w:spacing w:before="120" w:after="120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06621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066211"/>
    <w:pPr>
      <w:numPr>
        <w:numId w:val="36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066211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06621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066211"/>
  </w:style>
  <w:style w:type="paragraph" w:styleId="List">
    <w:name w:val="List"/>
    <w:basedOn w:val="Normal"/>
    <w:rsid w:val="00066211"/>
    <w:pPr>
      <w:ind w:left="283" w:hanging="283"/>
    </w:pPr>
  </w:style>
  <w:style w:type="paragraph" w:styleId="Title">
    <w:name w:val="Title"/>
    <w:basedOn w:val="Normal"/>
    <w:autoRedefine/>
    <w:qFormat/>
    <w:rsid w:val="00066211"/>
    <w:pPr>
      <w:spacing w:before="600" w:after="60"/>
      <w:jc w:val="center"/>
      <w:outlineLvl w:val="0"/>
    </w:pPr>
    <w:rPr>
      <w:rFonts w:ascii="Arial" w:hAnsi="Arial"/>
      <w:b/>
      <w:color w:val="000080"/>
      <w:kern w:val="28"/>
      <w:sz w:val="28"/>
    </w:rPr>
  </w:style>
  <w:style w:type="paragraph" w:customStyle="1" w:styleId="BalloonText1">
    <w:name w:val="Balloon Text1"/>
    <w:basedOn w:val="Normal"/>
    <w:semiHidden/>
    <w:rsid w:val="00066211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66211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66211"/>
  </w:style>
  <w:style w:type="character" w:styleId="Hyperlink">
    <w:name w:val="Hyperlink"/>
    <w:basedOn w:val="DefaultParagraphFont"/>
    <w:rsid w:val="00066211"/>
    <w:rPr>
      <w:color w:val="0000FF"/>
      <w:u w:val="single"/>
    </w:rPr>
  </w:style>
  <w:style w:type="paragraph" w:styleId="CommentSubject">
    <w:name w:val="annotation subject"/>
    <w:basedOn w:val="CommentText"/>
    <w:next w:val="CommentText"/>
    <w:link w:val="CommentSubjectChar"/>
    <w:rsid w:val="006F4D82"/>
    <w:pPr>
      <w:spacing w:line="240" w:lineRule="auto"/>
    </w:pPr>
    <w:rPr>
      <w:b/>
      <w:bCs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6F4D82"/>
    <w:rPr>
      <w:rFonts w:asciiTheme="minorHAnsi" w:eastAsiaTheme="minorHAnsi" w:hAnsiTheme="minorHAnsi" w:cstheme="minorBidi"/>
      <w:szCs w:val="22"/>
      <w:lang w:eastAsia="en-US"/>
    </w:rPr>
  </w:style>
  <w:style w:type="character" w:customStyle="1" w:styleId="CommentSubjectChar">
    <w:name w:val="Comment Subject Char"/>
    <w:basedOn w:val="CommentTextChar"/>
    <w:link w:val="CommentSubject"/>
    <w:rsid w:val="006F4D82"/>
  </w:style>
  <w:style w:type="paragraph" w:styleId="BalloonText">
    <w:name w:val="Balloon Text"/>
    <w:basedOn w:val="Normal"/>
    <w:link w:val="BalloonTextChar"/>
    <w:rsid w:val="006F4D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6F4D82"/>
    <w:rPr>
      <w:rFonts w:ascii="Tahoma" w:eastAsiaTheme="minorHAnsi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C4A3091-E115-4F83-A6FE-7487464B6B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1281</Words>
  <Characters>7302</Characters>
  <Application>Microsoft Office Word</Application>
  <DocSecurity>0</DocSecurity>
  <Lines>60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8566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Milena Golkovská</cp:lastModifiedBy>
  <cp:revision>2</cp:revision>
  <cp:lastPrinted>2017-03-27T06:25:00Z</cp:lastPrinted>
  <dcterms:created xsi:type="dcterms:W3CDTF">2023-06-25T18:01:00Z</dcterms:created>
  <dcterms:modified xsi:type="dcterms:W3CDTF">2023-06-25T18:01:00Z</dcterms:modified>
</cp:coreProperties>
</file>