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ListParagraph"/>
        <w:keepNext w:val="true"/>
        <w:numPr>
          <w:ilvl w:val="0"/>
          <w:numId w:val="0"/>
        </w:numPr>
        <w:spacing w:lineRule="auto" w:line="240" w:before="0" w:after="0"/>
        <w:ind w:left="357" w:hanging="0"/>
        <w:contextualSpacing/>
        <w:jc w:val="both"/>
        <w:outlineLvl w:val="1"/>
        <w:rPr>
          <w:szCs w:val="22"/>
        </w:rPr>
      </w:pPr>
      <w:r>
        <w:rPr>
          <w:szCs w:val="22"/>
        </w:rPr>
      </w:r>
    </w:p>
    <w:p>
      <w:pPr>
        <w:pStyle w:val="ListParagraph"/>
        <w:keepNext w:val="true"/>
        <w:numPr>
          <w:ilvl w:val="0"/>
          <w:numId w:val="0"/>
        </w:numPr>
        <w:spacing w:lineRule="auto" w:line="240" w:before="0" w:after="0"/>
        <w:ind w:left="357" w:hanging="0"/>
        <w:contextualSpacing/>
        <w:jc w:val="both"/>
        <w:outlineLvl w:val="1"/>
        <w:rPr>
          <w:szCs w:val="22"/>
        </w:rPr>
      </w:pPr>
      <w:r>
        <w:rPr>
          <w:szCs w:val="22"/>
        </w:rPr>
      </w:r>
    </w:p>
    <w:p>
      <w:pPr>
        <w:pStyle w:val="Normal"/>
        <w:keepNext w:val="true"/>
        <w:numPr>
          <w:ilvl w:val="0"/>
          <w:numId w:val="0"/>
        </w:numPr>
        <w:tabs>
          <w:tab w:val="clear" w:pos="708"/>
          <w:tab w:val="left" w:pos="2635" w:leader="none"/>
          <w:tab w:val="center" w:pos="4734" w:leader="none"/>
        </w:tabs>
        <w:spacing w:lineRule="auto" w:line="240" w:before="0" w:after="0"/>
        <w:ind w:left="0" w:hanging="0"/>
        <w:outlineLvl w:val="1"/>
        <w:rPr>
          <w:rFonts w:cs="Arial"/>
          <w:b/>
          <w:b/>
          <w:bCs/>
          <w:sz w:val="24"/>
          <w:szCs w:val="24"/>
          <w:u w:val="single"/>
          <w:lang w:eastAsia="sk-SK"/>
        </w:rPr>
      </w:pPr>
      <w:r>
        <w:rPr>
          <w:rFonts w:cs="Arial"/>
          <w:b/>
          <w:bCs/>
          <w:sz w:val="24"/>
          <w:szCs w:val="24"/>
          <w:u w:val="single"/>
          <w:lang w:eastAsia="sk-SK"/>
        </w:rPr>
        <w:t>Všeobecné informácie o účtovnej jednotke</w:t>
      </w:r>
    </w:p>
    <w:p>
      <w:pPr>
        <w:pStyle w:val="Normal"/>
        <w:keepNext w:val="true"/>
        <w:numPr>
          <w:ilvl w:val="0"/>
          <w:numId w:val="0"/>
        </w:numPr>
        <w:tabs>
          <w:tab w:val="clear" w:pos="708"/>
          <w:tab w:val="left" w:pos="2635" w:leader="none"/>
          <w:tab w:val="center" w:pos="4734" w:leader="none"/>
        </w:tabs>
        <w:spacing w:lineRule="auto" w:line="240" w:before="0" w:after="0"/>
        <w:ind w:left="0" w:hanging="0"/>
        <w:outlineLvl w:val="1"/>
        <w:rPr>
          <w:rFonts w:cs="Arial"/>
          <w:b/>
          <w:b/>
          <w:bCs/>
          <w:sz w:val="20"/>
          <w:szCs w:val="24"/>
          <w:u w:val="single"/>
          <w:lang w:eastAsia="sk-SK"/>
        </w:rPr>
      </w:pPr>
      <w:r>
        <w:rPr>
          <w:rFonts w:cs="Arial"/>
          <w:b/>
          <w:bCs/>
          <w:sz w:val="20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6"/>
        </w:numPr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  <w:t>Uviesť názov právnickej osoby a jej sídlo alebo meno a priezvisko fyzickej osoby</w:t>
      </w:r>
    </w:p>
    <w:p>
      <w:pPr>
        <w:pStyle w:val="Normal"/>
        <w:spacing w:lineRule="auto" w:line="240" w:before="0" w:after="0"/>
        <w:ind w:left="774" w:hanging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1988"/>
        <w:gridCol w:w="7083"/>
      </w:tblGrid>
      <w:tr>
        <w:trPr>
          <w:trHeight w:val="1100" w:hRule="atLeast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Obchodné meno</w:t>
            </w:r>
          </w:p>
        </w:tc>
        <w:tc>
          <w:tcPr>
            <w:tcW w:w="7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PER – FEKT land services, s. r. o.</w:t>
            </w:r>
          </w:p>
        </w:tc>
      </w:tr>
      <w:tr>
        <w:trPr>
          <w:trHeight w:val="390" w:hRule="atLeast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Sídlo</w:t>
            </w:r>
          </w:p>
        </w:tc>
        <w:tc>
          <w:tcPr>
            <w:tcW w:w="7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Komárňanská 10523/61/A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6"/>
        </w:numPr>
        <w:spacing w:lineRule="auto" w:line="240" w:before="0" w:after="0"/>
        <w:jc w:val="both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 xml:space="preserve">Dátum schválenia účtovnej závierky za bezprostredne predchádzajúce účtovné obdobie dňa </w:t>
      </w:r>
      <w:r>
        <w:rPr>
          <w:rFonts w:cs="Arial"/>
          <w:color w:val="C00000"/>
          <w:sz w:val="20"/>
          <w:szCs w:val="24"/>
          <w:lang w:eastAsia="sk-SK"/>
        </w:rPr>
        <w:t>28.06.2022</w:t>
      </w:r>
    </w:p>
    <w:p>
      <w:pPr>
        <w:pStyle w:val="Normal"/>
        <w:spacing w:lineRule="auto" w:line="240" w:before="0" w:after="0"/>
        <w:ind w:left="77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6"/>
        </w:numPr>
        <w:spacing w:lineRule="auto" w:line="240" w:before="0" w:after="0"/>
        <w:jc w:val="both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>Právny dôvod zostavenia účtovnej závierky, účtovná závierka  k 31. 12. Je zostavená ako riadna účtovná závierka podľa § 47 ods. 6 zákona NR SR č. 431/2002 Z. z. o účtovníctve za účtovné obdobie od januára do decembra 2020 k poslednému dňu kalendárneho roka 2022</w:t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993"/>
        <w:gridCol w:w="3402"/>
        <w:gridCol w:w="2809"/>
        <w:gridCol w:w="1549"/>
        <w:gridCol w:w="318"/>
      </w:tblGrid>
      <w:tr>
        <w:trPr>
          <w:trHeight w:val="340" w:hRule="exact"/>
        </w:trPr>
        <w:tc>
          <w:tcPr>
            <w:tcW w:w="9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2"/>
              </w:numPr>
              <w:spacing w:lineRule="auto" w:line="240" w:before="0" w:after="0"/>
              <w:ind w:left="357" w:hanging="357"/>
              <w:contextualSpacing/>
              <w:jc w:val="both"/>
              <w:outlineLvl w:val="1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211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Právny dôvod na zostavenie účtovnej závierky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exact"/>
        </w:trPr>
        <w:tc>
          <w:tcPr>
            <w:tcW w:w="99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211" w:type="dxa"/>
            <w:gridSpan w:val="2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Mimoriadna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exact"/>
        </w:trPr>
        <w:tc>
          <w:tcPr>
            <w:tcW w:w="99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Dôvod mimoriadnej účtovnej závierky</w:t>
            </w:r>
          </w:p>
        </w:tc>
        <w:tc>
          <w:tcPr>
            <w:tcW w:w="46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ListParagraph"/>
        <w:rPr>
          <w:rFonts w:cs="Arial"/>
          <w:color w:val="C00000"/>
          <w:sz w:val="20"/>
          <w:szCs w:val="24"/>
          <w:u w:val="single"/>
          <w:lang w:eastAsia="sk-SK"/>
        </w:rPr>
      </w:pPr>
      <w:r>
        <w:rPr>
          <w:rFonts w:cs="Arial"/>
          <w:color w:val="C00000"/>
          <w:sz w:val="20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6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  <w:t>Uviesť informácie o konsolidovanom celku,</w:t>
      </w:r>
      <w:r>
        <w:rPr>
          <w:rFonts w:cs="Arial"/>
          <w:sz w:val="20"/>
          <w:szCs w:val="24"/>
          <w:lang w:eastAsia="sk-SK"/>
        </w:rPr>
        <w:t xml:space="preserve"> napríklad</w:t>
      </w:r>
    </w:p>
    <w:p>
      <w:pPr>
        <w:pStyle w:val="Normal"/>
        <w:spacing w:lineRule="auto" w:line="240" w:before="0" w:after="0"/>
        <w:ind w:left="77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Účtovná jednotka je súčasťou konsolidovaného celku, pričom ABC s.r.o. ako materská účtovná jednotka zostavuje KÚZ za túto skupinu účtovných jednotiek (uviesť účtovné jednotky v skupine). Účtovná jednotka je materskou účtovnou jednotkou a podľa § 22 ods. 3 zákona o účtovníctve z dôvodu oslobodenia od povinnosti zostaviť KÚZ ju nezostavila </w:t>
      </w:r>
    </w:p>
    <w:p>
      <w:pPr>
        <w:pStyle w:val="Normal"/>
        <w:spacing w:lineRule="auto" w:line="240" w:before="0" w:after="0"/>
        <w:ind w:left="149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149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alebo</w:t>
      </w:r>
    </w:p>
    <w:p>
      <w:pPr>
        <w:pStyle w:val="Normal"/>
        <w:spacing w:lineRule="auto" w:line="240" w:before="0" w:after="0"/>
        <w:ind w:left="149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Účtovná jednotka nie je súčasťou konsolidovaného celku a účtovná jednotka nie je materskou účtovnou jednotkou (uvedené sa uvádza, ak obchodnú spoločnosť vlastnia len fyzické osoby a sama účtovná jednotka nevlastní akcie alebo obchodné podiely (účet 061,062,063)).</w:t>
      </w:r>
    </w:p>
    <w:p>
      <w:pPr>
        <w:pStyle w:val="Normal"/>
        <w:spacing w:lineRule="auto" w:line="240" w:before="0" w:after="0"/>
        <w:ind w:left="149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6"/>
        </w:numPr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  <w:t>Uviesť priemerný prepočítaný počet zamestnancov</w:t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</w:r>
    </w:p>
    <w:tbl>
      <w:tblPr>
        <w:tblW w:w="47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775"/>
        <w:gridCol w:w="6476"/>
        <w:gridCol w:w="1276"/>
      </w:tblGrid>
      <w:tr>
        <w:trPr>
          <w:trHeight w:val="340" w:hRule="atLeast"/>
        </w:trPr>
        <w:tc>
          <w:tcPr>
            <w:tcW w:w="77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357" w:hanging="0"/>
              <w:contextualSpacing/>
              <w:jc w:val="both"/>
              <w:outlineLvl w:val="1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0" w:hanging="0"/>
              <w:contextualSpacing/>
              <w:outlineLvl w:val="1"/>
              <w:rPr>
                <w:szCs w:val="22"/>
              </w:rPr>
            </w:pPr>
            <w:r>
              <w:rPr>
                <w:szCs w:val="22"/>
              </w:rPr>
              <w:t>Priemerný prepočítaný počet zamestnancov  bežné účtovné obdobie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contextualSpacing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>
        <w:trPr>
          <w:trHeight w:val="340" w:hRule="atLeast"/>
        </w:trPr>
        <w:tc>
          <w:tcPr>
            <w:tcW w:w="77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357" w:hanging="0"/>
              <w:contextualSpacing/>
              <w:jc w:val="both"/>
              <w:outlineLvl w:val="1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0" w:hanging="0"/>
              <w:contextualSpacing/>
              <w:outlineLvl w:val="1"/>
              <w:rPr>
                <w:szCs w:val="22"/>
              </w:rPr>
            </w:pPr>
            <w:r>
              <w:rPr>
                <w:szCs w:val="22"/>
              </w:rPr>
              <w:t>Priemerný prepočítaný počet zamestnancov  bezprostredne predchádzajúce ÚO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contextualSpacing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</w:r>
    </w:p>
    <w:p>
      <w:pPr>
        <w:pStyle w:val="Normal"/>
        <w:spacing w:lineRule="auto" w:line="240" w:before="0" w:after="0"/>
        <w:ind w:left="1481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  <w:t>Informácie o prijatých postupoch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8"/>
        </w:numPr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Účtovná závierka bola zostavená za predpokladu, že účtovná jednotka bude nepretržite pokračovať vo svojej činnosti (uvedené sa nikdy nemôže uviesť, ak ide o mimoriadnu účtovnú závierku z dôvodu konkurzu alebo likvidácie).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8"/>
        </w:numPr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Uviesť popis oceňovania  jednotlivých položiek majetku a záväzkov, o ktorých konkrétna účtovná jednotka účtuje. Popisujú sa ocenenie konkrétneho majetku a záväzkov účtovnej jednotky.</w:t>
      </w:r>
    </w:p>
    <w:p>
      <w:pPr>
        <w:pStyle w:val="Normal"/>
        <w:spacing w:lineRule="auto" w:line="240" w:before="0" w:after="0"/>
        <w:ind w:left="708" w:hanging="0"/>
        <w:rPr>
          <w:rFonts w:cs="Arial"/>
          <w:sz w:val="20"/>
          <w:szCs w:val="24"/>
          <w:lang w:val="x-none" w:eastAsia="x-none"/>
        </w:rPr>
      </w:pPr>
      <w:r>
        <w:rPr>
          <w:rFonts w:cs="Arial"/>
          <w:sz w:val="20"/>
          <w:szCs w:val="24"/>
          <w:lang w:val="x-none" w:eastAsia="x-none"/>
        </w:rPr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Napríklad: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Obstarávacou cenou – </w:t>
            </w:r>
            <w:r>
              <w:rPr>
                <w:rFonts w:cs="Arial"/>
                <w:b/>
                <w:bCs/>
                <w:sz w:val="20"/>
                <w:szCs w:val="24"/>
                <w:lang w:eastAsia="sk-SK"/>
              </w:rPr>
              <w:t>uviesť  zložky nákladov súvisiacich s obstaraním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1. hmotný majetok s výnimkou hmotného majetku vytvoreného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2. zásoby s výnimkou zásob vytvorených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3. podiely na ZI obchodných spoločností,  cenné papiere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4. pohľadávky pri odplatnom nadobudnutí alebo pohľadávky nadobudnuté vkladom do ZI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5. nehmotný majetok s výnimkou nehmotného majetku vytvoreného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6. záväzky pri ich prevzatí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Vlastnými nákladmi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1. hmotný majetok vytvorený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2. zásoby vytvorené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3. nehmotný majetok vytvorený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4. príchovky a prírastky zvierat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Menovitou hodnotou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1. peňažné prostriedky a ceniny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2. pohľadávky pri ich vzniku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3. záväzky pri ich vzniku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  <w:t>Spôsob ocenenia:</w:t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Úbytok zásob rovnakého druhu sa účtuje v ocenení: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Cenou zistenou váženým aritmetickým priemerom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Metódou FIFO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a náklady súvisiace s obstaraním(VON).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Pri vyskladnení sa VON rozpúšťajú nasledovne :VON/(PS zásob + príjem zásob) x výdaj  zásob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Výdavky budúcich období a príjmy budúcich období  sa vykazujú vo výške, ktorá je potrebná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na dodržanie zásady vecnej a časovej súvislosti s účtovným obdobím.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Rezervy sú záväzky s neurčitým časovým vymedzením alebo výškou; tvoria sa na krytie známych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rizík alebo strát z podnikania. Oceňujú sa v očakávanej výške záväzku.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Prenajatý  majetok a majetok obstaraný na základe  zmluvy o kúpe prenajatej veci - v ocenení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2"/>
                <w:lang w:eastAsia="sk-SK"/>
              </w:rPr>
              <w:t>rovnajúcom istine a náklady súvisiace s obstaraním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Daň z príjmov splatná – daň sa  určuje z účtovného zisku pred zdanením, po úpravách na daňové účely podľa zákona o daniach z príjmov pri sadzbe 15 %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Náklady a výnosy časovo rozlišujú. Časovo sa ne nerozlišujú náklady a výnosy, ak ide o nevýznamný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a stále sa opakujúci účtovný prípad týkajúci sa časového rozlíšenia nákladov alebo výnosov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2"/>
                <w:lang w:eastAsia="sk-SK"/>
              </w:rPr>
              <w:t>posledného a prvého mesiaca účtovného obdobia.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Autospacing="1" w:after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Spôsob zostavenia odpisového plánu pre jednotlivé druhy dlhodobého hmotného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  <w:r>
        <w:rPr>
          <w:rFonts w:cs="Arial"/>
          <w:sz w:val="20"/>
          <w:szCs w:val="24"/>
          <w:lang w:eastAsia="sk-SK"/>
        </w:rPr>
        <w:t xml:space="preserve">majetku  a dlhodobého nehmotného majetku,doba odpisovania, použité sadzby 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odpisov a odpisové metódy pri určení odpisov </w:t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067"/>
        <w:gridCol w:w="1668"/>
        <w:gridCol w:w="337"/>
      </w:tblGrid>
      <w:tr>
        <w:trPr/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963" w:hRule="atLeast"/>
        </w:trPr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"/>
                <w:b/>
                <w:sz w:val="20"/>
                <w:szCs w:val="22"/>
                <w:lang w:eastAsia="sk-SK"/>
              </w:rPr>
              <w:t>rovnajú.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>
        <w:trPr>
          <w:trHeight w:val="1018" w:hRule="atLeast"/>
        </w:trPr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"/>
                <w:b/>
                <w:sz w:val="20"/>
                <w:szCs w:val="22"/>
                <w:lang w:eastAsia="sk-SK"/>
              </w:rPr>
              <w:t>nerovnajú.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>
        <w:trPr>
          <w:trHeight w:val="64" w:hRule="atLeast"/>
        </w:trPr>
        <w:tc>
          <w:tcPr>
            <w:tcW w:w="7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Dlhodobý nehmotný majetok =doba použiteľnosti viac ako rok a vstupná cena je  viac ako :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2400,-eur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>
        <w:trPr>
          <w:trHeight w:val="64" w:hRule="atLeast"/>
        </w:trPr>
        <w:tc>
          <w:tcPr>
            <w:tcW w:w="7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1700,-eur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18"/>
          <w:szCs w:val="24"/>
          <w:lang w:eastAsia="sk-SK"/>
        </w:rPr>
      </w:pPr>
      <w:r>
        <w:rPr>
          <w:rFonts w:cs="Arial"/>
          <w:sz w:val="18"/>
          <w:szCs w:val="24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18"/>
          <w:szCs w:val="24"/>
          <w:lang w:eastAsia="sk-SK"/>
        </w:rPr>
      </w:pPr>
      <w:r>
        <w:rPr>
          <w:rFonts w:cs="Arial"/>
          <w:sz w:val="18"/>
          <w:szCs w:val="24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81"/>
        <w:gridCol w:w="1057"/>
        <w:gridCol w:w="1300"/>
        <w:gridCol w:w="1205"/>
        <w:gridCol w:w="1122"/>
        <w:gridCol w:w="1506"/>
      </w:tblGrid>
      <w:tr>
        <w:trPr/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Majetok</w:t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Odpisová skupina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Doba odpisovania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Lineárne odpisy</w:t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Zrýchlené odpisy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Merací prístroj</w:t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1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4 roky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rovnomerné</w:t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Mercedens Benz</w:t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1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4 roky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rovnomerné</w:t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Nakladač</w:t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2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6</w:t>
            </w:r>
            <w:r>
              <w:rPr>
                <w:rFonts w:cs="Arial"/>
                <w:sz w:val="18"/>
                <w:szCs w:val="24"/>
                <w:lang w:eastAsia="sk-SK"/>
              </w:rPr>
              <w:t xml:space="preserve"> rok</w:t>
            </w:r>
            <w:r>
              <w:rPr>
                <w:rFonts w:cs="Arial"/>
                <w:sz w:val="18"/>
                <w:szCs w:val="24"/>
                <w:lang w:eastAsia="sk-SK"/>
              </w:rPr>
              <w:t>ov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rovnomerné</w:t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89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2974"/>
        <w:gridCol w:w="5815"/>
        <w:gridCol w:w="300"/>
      </w:tblGrid>
      <w:tr>
        <w:trPr>
          <w:trHeight w:val="340" w:hRule="atLeast"/>
        </w:trPr>
        <w:tc>
          <w:tcPr>
            <w:tcW w:w="90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widowControl w:val="false"/>
              <w:spacing w:lineRule="auto" w:line="240" w:before="0" w:after="0"/>
              <w:ind w:left="641" w:hanging="0"/>
              <w:contextualSpacing/>
              <w:rPr>
                <w:szCs w:val="22"/>
              </w:rPr>
            </w:pPr>
            <w:r>
              <w:rPr>
                <w:szCs w:val="22"/>
              </w:rPr>
              <w:t>Určenie odhadu zníženia hodnoty majetku a tvorba opravnej položky k  majetku</w:t>
            </w:r>
          </w:p>
        </w:tc>
      </w:tr>
      <w:tr>
        <w:trPr>
          <w:trHeight w:val="350" w:hRule="atLeast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widowControl w:val="false"/>
              <w:spacing w:lineRule="auto" w:line="240" w:before="0" w:after="0"/>
              <w:ind w:left="641" w:hanging="0"/>
              <w:contextualSpacing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Opravná položka k pohľadávkam</w:t>
            </w:r>
          </w:p>
        </w:tc>
        <w:tc>
          <w:tcPr>
            <w:tcW w:w="5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Odborným odhadom podľa opodstatneného predpokladu zníženia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Opravná položka k materiálu</w:t>
            </w:r>
          </w:p>
        </w:tc>
        <w:tc>
          <w:tcPr>
            <w:tcW w:w="5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Opravná položka k tovaru</w:t>
            </w:r>
          </w:p>
        </w:tc>
        <w:tc>
          <w:tcPr>
            <w:tcW w:w="5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89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3279"/>
        <w:gridCol w:w="5510"/>
        <w:gridCol w:w="300"/>
      </w:tblGrid>
      <w:tr>
        <w:trPr>
          <w:trHeight w:val="340" w:hRule="atLeast"/>
        </w:trPr>
        <w:tc>
          <w:tcPr>
            <w:tcW w:w="90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ind w:left="641" w:hanging="0"/>
              <w:contextualSpacing/>
              <w:jc w:val="both"/>
              <w:rPr>
                <w:szCs w:val="22"/>
              </w:rPr>
            </w:pPr>
            <w:r>
              <w:rPr>
                <w:szCs w:val="22"/>
              </w:rPr>
              <w:t>Určenie ocenenia záväzkov, stanovenie odhadu ocenenia rezerv</w:t>
            </w:r>
          </w:p>
        </w:tc>
      </w:tr>
      <w:tr>
        <w:trPr>
          <w:trHeight w:val="340" w:hRule="atLeast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ind w:left="641" w:hanging="0"/>
              <w:contextualSpacing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widowControl w:val="false"/>
              <w:spacing w:lineRule="auto" w:line="240" w:before="0" w:after="0"/>
              <w:ind w:left="0" w:hanging="0"/>
              <w:contextualSpacing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Zmeny účtovných zásad a zmeny účtovných metód s uvedením dôvodu týchto zmien 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a vyčíslením ich vplyvu na finančnú hodnotu majetku, záväzkov, základného imania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  <w:r>
        <w:rPr>
          <w:rFonts w:cs="Arial"/>
          <w:sz w:val="20"/>
          <w:szCs w:val="24"/>
          <w:lang w:eastAsia="sk-SK"/>
        </w:rPr>
        <w:t>a výsledku hospodárenia ÚJ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087"/>
        <w:gridCol w:w="822"/>
        <w:gridCol w:w="292"/>
        <w:gridCol w:w="577"/>
        <w:gridCol w:w="294"/>
      </w:tblGrid>
      <w:tr>
        <w:trPr>
          <w:trHeight w:val="340" w:hRule="exact"/>
        </w:trPr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Zmeny účtovných zásad a metód + konkrétny popis zmien</w:t>
            </w:r>
          </w:p>
        </w:tc>
        <w:tc>
          <w:tcPr>
            <w:tcW w:w="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ÁNO</w:t>
            </w:r>
          </w:p>
        </w:tc>
        <w:tc>
          <w:tcPr>
            <w:tcW w:w="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NIE</w:t>
            </w:r>
          </w:p>
        </w:tc>
        <w:tc>
          <w:tcPr>
            <w:tcW w:w="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ind w:left="708" w:hanging="0"/>
        <w:rPr>
          <w:rFonts w:cs="Arial"/>
          <w:sz w:val="20"/>
          <w:szCs w:val="24"/>
          <w:lang w:eastAsia="x-none"/>
        </w:rPr>
      </w:pPr>
      <w:r>
        <w:rPr>
          <w:rFonts w:cs="Arial"/>
          <w:sz w:val="20"/>
          <w:szCs w:val="24"/>
          <w:lang w:eastAsia="x-none"/>
        </w:rPr>
      </w:r>
    </w:p>
    <w:p>
      <w:pPr>
        <w:pStyle w:val="Normal"/>
        <w:spacing w:lineRule="auto" w:line="240" w:before="0" w:after="0"/>
        <w:ind w:left="708" w:hanging="0"/>
        <w:rPr>
          <w:rFonts w:cs="Arial"/>
          <w:sz w:val="20"/>
          <w:szCs w:val="24"/>
          <w:lang w:eastAsia="x-none"/>
        </w:rPr>
      </w:pPr>
      <w:r>
        <w:rPr>
          <w:rFonts w:cs="Arial"/>
          <w:sz w:val="20"/>
          <w:szCs w:val="24"/>
          <w:lang w:eastAsia="x-none"/>
        </w:rPr>
      </w:r>
    </w:p>
    <w:p>
      <w:pPr>
        <w:pStyle w:val="Normal"/>
        <w:numPr>
          <w:ilvl w:val="0"/>
          <w:numId w:val="8"/>
        </w:numPr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Informácie o dotáciách a ich oceňovanie v účtovníctve 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081"/>
        <w:gridCol w:w="2857"/>
        <w:gridCol w:w="1134"/>
      </w:tblGrid>
      <w:tr>
        <w:trPr>
          <w:trHeight w:val="340" w:hRule="atLeast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Dotácia</w:t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numPr>
          <w:ilvl w:val="0"/>
          <w:numId w:val="8"/>
        </w:numPr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20"/>
          <w:szCs w:val="24"/>
          <w:lang w:eastAsia="sk-SK"/>
        </w:rPr>
        <w:t>Informácie o účtovaní významných opráv chýb minulých účtovných období v bežnom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  <w:r>
        <w:rPr>
          <w:rFonts w:cs="Arial"/>
          <w:sz w:val="20"/>
          <w:szCs w:val="24"/>
          <w:lang w:eastAsia="sk-SK"/>
        </w:rPr>
        <w:t xml:space="preserve">účtovnom období </w:t>
      </w:r>
    </w:p>
    <w:tbl>
      <w:tblPr>
        <w:tblW w:w="9498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974"/>
        <w:gridCol w:w="995"/>
        <w:gridCol w:w="851"/>
        <w:gridCol w:w="2123"/>
        <w:gridCol w:w="2555"/>
      </w:tblGrid>
      <w:tr>
        <w:trPr/>
        <w:tc>
          <w:tcPr>
            <w:tcW w:w="2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Opravy minulého obdobia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Patrí do obdobia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Účet</w:t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Účtované na účet HV min. období (EUR)</w:t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Účtované do HV bežného  obdobia(EUR)</w:t>
            </w:r>
          </w:p>
        </w:tc>
      </w:tr>
      <w:tr>
        <w:trPr>
          <w:trHeight w:val="340" w:hRule="atLeast"/>
        </w:trPr>
        <w:tc>
          <w:tcPr>
            <w:tcW w:w="2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color w:val="C00000"/>
          <w:szCs w:val="22"/>
          <w:u w:val="single"/>
        </w:rPr>
      </w:pPr>
      <w:r>
        <w:rPr>
          <w:color w:val="C00000"/>
          <w:szCs w:val="22"/>
        </w:rPr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jc w:val="both"/>
        <w:rPr>
          <w:szCs w:val="22"/>
          <w:u w:val="single"/>
        </w:rPr>
      </w:pPr>
      <w:r>
        <w:rPr>
          <w:szCs w:val="22"/>
          <w:u w:val="single"/>
        </w:rPr>
      </w:r>
    </w:p>
    <w:p>
      <w:pPr>
        <w:pStyle w:val="Normal"/>
        <w:spacing w:lineRule="auto" w:line="240" w:before="0" w:after="0"/>
        <w:jc w:val="center"/>
        <w:rPr>
          <w:rFonts w:cs="Arial"/>
          <w:b/>
          <w:b/>
          <w:sz w:val="20"/>
          <w:szCs w:val="24"/>
          <w:lang w:eastAsia="sk-SK"/>
        </w:rPr>
      </w:pPr>
      <w:r>
        <w:rPr>
          <w:rFonts w:cs="Arial"/>
          <w:b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  <w:t>Informácie, ktoré vysvetľujú a dopĺňajú súvahu a výkaz ziskov a strát</w:t>
      </w:r>
    </w:p>
    <w:p>
      <w:pPr>
        <w:pStyle w:val="Normal"/>
        <w:spacing w:lineRule="auto" w:line="240" w:before="0" w:after="0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9"/>
        </w:numPr>
        <w:spacing w:lineRule="auto" w:line="240" w:before="0" w:after="0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>Dôvod vzniku goodwillu alebo záporného goodwillu, spôsob výpočtu, prehodnotenie opodstatnenosti jeho výšky a odpisu jeho hodnoty</w:t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9"/>
        </w:numPr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Informácia o sume a dôvodoch vzniku jednotlivých položiek </w:t>
      </w:r>
      <w:r>
        <w:rPr>
          <w:rFonts w:cs="Arial"/>
          <w:b/>
          <w:sz w:val="20"/>
          <w:szCs w:val="24"/>
          <w:lang w:eastAsia="sk-SK"/>
        </w:rPr>
        <w:t>nákladov alebo výnosov, ktoré majú výnimočný rozsah alebo výskyt</w:t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sz w:val="24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</w:p>
    <w:tbl>
      <w:tblPr>
        <w:tblW w:w="9498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97"/>
        <w:gridCol w:w="4181"/>
        <w:gridCol w:w="1420"/>
      </w:tblGrid>
      <w:tr>
        <w:trPr>
          <w:trHeight w:val="340" w:hRule="atLeast"/>
        </w:trPr>
        <w:tc>
          <w:tcPr>
            <w:tcW w:w="3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Popis nákladov ,výnosov</w:t>
            </w:r>
          </w:p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Výnimočného  rozsahu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Dôvod vzniku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3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3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ind w:left="1481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113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9"/>
        </w:numPr>
        <w:spacing w:lineRule="auto" w:line="240" w:before="0" w:after="0"/>
        <w:rPr>
          <w:rFonts w:cs="Arial"/>
          <w:bCs/>
          <w:sz w:val="20"/>
          <w:szCs w:val="20"/>
          <w:u w:val="single"/>
          <w:lang w:eastAsia="sk-SK"/>
        </w:rPr>
      </w:pPr>
      <w:r>
        <w:rPr>
          <w:rFonts w:cs="Arial"/>
          <w:bCs/>
          <w:sz w:val="20"/>
          <w:szCs w:val="20"/>
          <w:u w:val="single"/>
          <w:lang w:eastAsia="sk-SK"/>
        </w:rPr>
        <w:t>Informácie o týchto záväzkoch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673"/>
        <w:gridCol w:w="1398"/>
      </w:tblGrid>
      <w:tr>
        <w:trPr>
          <w:trHeight w:val="397" w:hRule="atLeast"/>
        </w:trPr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ind w:left="357" w:hanging="0"/>
              <w:rPr>
                <w:rFonts w:cs="Arial"/>
                <w:b/>
                <w:b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/>
                <w:b/>
                <w:sz w:val="20"/>
                <w:szCs w:val="20"/>
                <w:lang w:eastAsia="sk-SK"/>
              </w:rPr>
            </w:pPr>
            <w:r>
              <w:rPr>
                <w:rFonts w:cs="Arial"/>
                <w:b/>
                <w:sz w:val="20"/>
                <w:szCs w:val="20"/>
                <w:lang w:eastAsia="sk-SK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/>
                <w:b/>
                <w:sz w:val="20"/>
                <w:szCs w:val="20"/>
                <w:lang w:eastAsia="sk-SK"/>
              </w:rPr>
            </w:pPr>
            <w:r>
              <w:rPr>
                <w:rFonts w:cs="Arial"/>
                <w:b/>
                <w:sz w:val="20"/>
                <w:szCs w:val="20"/>
                <w:lang w:eastAsia="sk-SK"/>
              </w:rPr>
            </w:r>
          </w:p>
        </w:tc>
      </w:tr>
      <w:tr>
        <w:trPr>
          <w:trHeight w:val="397" w:hRule="atLeast"/>
        </w:trPr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357" w:hanging="0"/>
              <w:jc w:val="both"/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sz w:val="20"/>
                <w:szCs w:val="20"/>
                <w:lang w:eastAsia="sk-SK"/>
              </w:rPr>
              <w:t>Celková suma zabezpečených záväzkov, opis a spôsoby zabezpečenia záväzkov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Spôsob zabezpečenia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sz w:val="20"/>
                <w:szCs w:val="20"/>
                <w:lang w:eastAsia="sk-SK"/>
              </w:rPr>
              <w:t>Záložné právo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sz w:val="20"/>
                <w:szCs w:val="20"/>
                <w:lang w:eastAsia="sk-SK"/>
              </w:rPr>
            </w:r>
          </w:p>
        </w:tc>
      </w:tr>
      <w:tr>
        <w:trPr>
          <w:trHeight w:val="397" w:hRule="atLeast"/>
        </w:trPr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</w:tr>
      <w:tr>
        <w:trPr>
          <w:trHeight w:val="397" w:hRule="atLeast"/>
        </w:trPr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</w:tr>
      <w:tr>
        <w:trPr>
          <w:trHeight w:val="397" w:hRule="atLeast"/>
        </w:trPr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sz w:val="20"/>
                <w:szCs w:val="20"/>
                <w:lang w:eastAsia="sk-SK"/>
              </w:rPr>
              <w:t>Spolu zabezpečené :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ind w:left="113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9"/>
        </w:numPr>
        <w:spacing w:lineRule="auto" w:line="240" w:before="0" w:after="0"/>
        <w:rPr>
          <w:rFonts w:cs="Arial"/>
          <w:bCs/>
          <w:sz w:val="20"/>
          <w:szCs w:val="20"/>
          <w:u w:val="single"/>
          <w:lang w:eastAsia="sk-SK"/>
        </w:rPr>
      </w:pPr>
      <w:r>
        <w:rPr>
          <w:rFonts w:cs="Arial"/>
          <w:bCs/>
          <w:sz w:val="20"/>
          <w:szCs w:val="20"/>
          <w:u w:val="single"/>
          <w:lang w:eastAsia="sk-SK"/>
        </w:rPr>
        <w:t>Informácie o vlastných akciách, a to</w:t>
      </w:r>
    </w:p>
    <w:p>
      <w:pPr>
        <w:pStyle w:val="Normal"/>
        <w:numPr>
          <w:ilvl w:val="0"/>
          <w:numId w:val="10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dôvod nadobudnutia vlastných akcií počas účtovného obdobia,</w:t>
      </w:r>
    </w:p>
    <w:p>
      <w:pPr>
        <w:pStyle w:val="Normal"/>
        <w:numPr>
          <w:ilvl w:val="0"/>
          <w:numId w:val="10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informácie</w:t>
      </w:r>
    </w:p>
    <w:p>
      <w:pPr>
        <w:pStyle w:val="Normal"/>
        <w:numPr>
          <w:ilvl w:val="0"/>
          <w:numId w:val="5"/>
        </w:numPr>
        <w:tabs>
          <w:tab w:val="clear" w:pos="708"/>
          <w:tab w:val="left" w:pos="851" w:leader="none"/>
        </w:tabs>
        <w:spacing w:lineRule="auto" w:line="240" w:before="0" w:after="0"/>
        <w:ind w:left="1701" w:hanging="425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>
      <w:pPr>
        <w:pStyle w:val="Normal"/>
        <w:numPr>
          <w:ilvl w:val="0"/>
          <w:numId w:val="4"/>
        </w:numPr>
        <w:tabs>
          <w:tab w:val="clear" w:pos="708"/>
          <w:tab w:val="left" w:pos="851" w:leader="none"/>
        </w:tabs>
        <w:spacing w:lineRule="auto" w:line="240" w:before="0" w:after="0"/>
        <w:ind w:left="1701" w:hanging="425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počet a hodnota, za ktorú sa vlastné akcie počas účtovného obdobia nadobudli a počet a hodnota, za ktorú sa vlastné akcie počas účtovného obdobia previedli na inú osobu,</w:t>
      </w:r>
    </w:p>
    <w:p>
      <w:pPr>
        <w:pStyle w:val="Normal"/>
        <w:numPr>
          <w:ilvl w:val="0"/>
          <w:numId w:val="10"/>
        </w:numPr>
        <w:spacing w:lineRule="auto" w:line="240" w:before="0" w:after="0"/>
        <w:jc w:val="both"/>
        <w:rPr>
          <w:rFonts w:cs="Arial"/>
          <w:bCs/>
          <w:kern w:val="2"/>
          <w:sz w:val="20"/>
          <w:szCs w:val="24"/>
        </w:rPr>
      </w:pPr>
      <w:r>
        <w:rPr>
          <w:rFonts w:cs="Arial"/>
          <w:sz w:val="20"/>
          <w:szCs w:val="24"/>
          <w:lang w:eastAsia="sk-SK"/>
        </w:rPr>
        <w:t xml:space="preserve">počet, menovitá hodnota a hodnota, za ktorú sa vlastné akcie nadobudli a ktoré účtovná jednotka má v držbe k poslednému dňu účtovného obdobia; </w:t>
      </w:r>
      <w:r>
        <w:rPr>
          <w:rFonts w:cs="Arial"/>
          <w:bCs/>
          <w:kern w:val="2"/>
          <w:sz w:val="20"/>
          <w:szCs w:val="24"/>
        </w:rPr>
        <w:t>uvádza  sa aj ich percentuálny podiel na upísanom základnom imaní.</w:t>
      </w:r>
    </w:p>
    <w:p>
      <w:pPr>
        <w:pStyle w:val="Normal"/>
        <w:spacing w:lineRule="auto" w:line="240" w:before="0" w:after="0"/>
        <w:ind w:left="1276" w:hanging="0"/>
        <w:jc w:val="both"/>
        <w:rPr>
          <w:rFonts w:cs="Arial"/>
          <w:bCs/>
          <w:kern w:val="2"/>
          <w:sz w:val="20"/>
          <w:szCs w:val="24"/>
        </w:rPr>
      </w:pPr>
      <w:r>
        <w:rPr>
          <w:rFonts w:cs="Arial"/>
          <w:bCs/>
          <w:kern w:val="2"/>
          <w:sz w:val="20"/>
          <w:szCs w:val="24"/>
        </w:rPr>
      </w:r>
    </w:p>
    <w:p>
      <w:pPr>
        <w:pStyle w:val="Normal"/>
        <w:spacing w:lineRule="auto" w:line="240" w:before="0" w:after="0"/>
        <w:ind w:left="1276" w:hanging="0"/>
        <w:jc w:val="both"/>
        <w:rPr>
          <w:rFonts w:cs="Arial"/>
          <w:bCs/>
          <w:kern w:val="2"/>
          <w:sz w:val="20"/>
          <w:szCs w:val="24"/>
        </w:rPr>
      </w:pPr>
      <w:r>
        <w:rPr>
          <w:rFonts w:cs="Arial"/>
          <w:bCs/>
          <w:kern w:val="2"/>
          <w:sz w:val="20"/>
          <w:szCs w:val="24"/>
        </w:rPr>
      </w:r>
    </w:p>
    <w:p>
      <w:pPr>
        <w:pStyle w:val="Normal"/>
        <w:spacing w:lineRule="auto" w:line="240" w:before="0" w:after="0"/>
        <w:ind w:left="1276" w:hanging="0"/>
        <w:jc w:val="both"/>
        <w:rPr>
          <w:rFonts w:cs="Arial"/>
          <w:bCs/>
          <w:kern w:val="2"/>
          <w:sz w:val="20"/>
          <w:szCs w:val="24"/>
        </w:rPr>
      </w:pPr>
      <w:r>
        <w:rPr>
          <w:rFonts w:cs="Arial"/>
          <w:bCs/>
          <w:kern w:val="2"/>
          <w:sz w:val="20"/>
          <w:szCs w:val="24"/>
        </w:rPr>
      </w:r>
    </w:p>
    <w:p>
      <w:pPr>
        <w:pStyle w:val="Normal"/>
        <w:numPr>
          <w:ilvl w:val="0"/>
          <w:numId w:val="9"/>
        </w:numPr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bCs/>
          <w:sz w:val="20"/>
          <w:szCs w:val="20"/>
          <w:u w:val="single"/>
          <w:lang w:eastAsia="sk-SK"/>
        </w:rPr>
        <w:t>Informácie</w:t>
      </w:r>
      <w:r>
        <w:rPr>
          <w:rFonts w:cs="Arial"/>
          <w:sz w:val="20"/>
          <w:szCs w:val="24"/>
          <w:lang w:eastAsia="sk-SK"/>
        </w:rPr>
        <w:t xml:space="preserve"> o </w:t>
      </w:r>
    </w:p>
    <w:p>
      <w:pPr>
        <w:pStyle w:val="Normal"/>
        <w:spacing w:lineRule="auto" w:line="240" w:before="0" w:after="0"/>
        <w:ind w:left="720" w:hanging="0"/>
        <w:rPr>
          <w:rFonts w:cs="Arial"/>
          <w:bCs/>
          <w:sz w:val="20"/>
          <w:szCs w:val="20"/>
          <w:u w:val="single"/>
          <w:lang w:eastAsia="sk-SK"/>
        </w:rPr>
      </w:pPr>
      <w:r>
        <w:rPr>
          <w:rFonts w:cs="Arial"/>
          <w:bCs/>
          <w:sz w:val="20"/>
          <w:szCs w:val="20"/>
          <w:u w:val="single"/>
          <w:lang w:eastAsia="sk-SK"/>
        </w:rPr>
      </w:r>
    </w:p>
    <w:tbl>
      <w:tblPr>
        <w:tblW w:w="9498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40"/>
        <w:gridCol w:w="9"/>
        <w:gridCol w:w="1705"/>
        <w:gridCol w:w="275"/>
        <w:gridCol w:w="714"/>
        <w:gridCol w:w="986"/>
        <w:gridCol w:w="149"/>
        <w:gridCol w:w="144"/>
        <w:gridCol w:w="1276"/>
      </w:tblGrid>
      <w:tr>
        <w:trPr>
          <w:trHeight w:val="57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b/>
                <w:szCs w:val="22"/>
              </w:rPr>
              <w:t>Výška jednotlivých druhov záruk alebo iných zabezpečení pre členov štatutárneho orgánu, dozorného orgánu a iného orgánu ÚJ</w:t>
            </w:r>
          </w:p>
        </w:tc>
      </w:tr>
      <w:tr>
        <w:trPr>
          <w:trHeight w:val="57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Druh záruky</w:t>
            </w:r>
          </w:p>
        </w:tc>
        <w:tc>
          <w:tcPr>
            <w:tcW w:w="19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184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4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b/>
                <w:szCs w:val="22"/>
              </w:rPr>
              <w:t>Pôžičky poskytnuté členom štatutárneho orgánu, dozorného orgánu a iného orgánu ÚJ</w:t>
            </w:r>
          </w:p>
        </w:tc>
      </w:tr>
      <w:tr>
        <w:trPr>
          <w:trHeight w:val="340" w:hRule="atLeast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  <w:t>1.Celková suma poskytnutých pôžičiek k poslednému dňu účtovného obdobia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  <w:t>Úver – Slovenská sporiteľňa</w:t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bookmarkStart w:id="0" w:name="_GoBack"/>
            <w:bookmarkEnd w:id="0"/>
            <w:r>
              <w:rPr>
                <w:szCs w:val="22"/>
              </w:rPr>
              <w:t>5000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  <w:t>ČSOB Leasing</w:t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32036,44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2.Celková suma splatených pôžičiek k poslednému dňu účtovného obdobia</w:t>
            </w:r>
          </w:p>
        </w:tc>
      </w:tr>
      <w:tr>
        <w:trPr>
          <w:trHeight w:val="368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3.Celková suma odpustených pôžičiek a odpísaných pôžičiek k poslednému dňu účtovného obdobia</w:t>
            </w:r>
          </w:p>
        </w:tc>
      </w:tr>
      <w:tr>
        <w:trPr>
          <w:trHeight w:val="422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Plnenie na súkromné účely k vyúčtovaniu</w:t>
            </w:r>
          </w:p>
        </w:tc>
        <w:tc>
          <w:tcPr>
            <w:tcW w:w="19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56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9"/>
        </w:numPr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Informácie o povinnostiach účtovnej jednotky, a to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1276" w:hanging="567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celková suma finančných povinností, ktoré sa nevykazujú v súvahe, ale sú významné na posúdenie finančnej situácie účtovnej jednotky</w:t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0"/>
          <w:lang w:eastAsia="sk-SK"/>
        </w:rPr>
      </w:pPr>
      <w:r>
        <w:rPr>
          <w:rFonts w:cs="Arial"/>
          <w:sz w:val="20"/>
          <w:szCs w:val="20"/>
          <w:lang w:eastAsia="sk-SK"/>
        </w:rPr>
      </w:r>
    </w:p>
    <w:p>
      <w:pPr>
        <w:pStyle w:val="Normal"/>
        <w:numPr>
          <w:ilvl w:val="0"/>
          <w:numId w:val="9"/>
        </w:numPr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Celková suma podmieneného majetku</w:t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9"/>
        </w:numPr>
        <w:spacing w:lineRule="auto" w:line="240" w:before="0" w:after="0"/>
        <w:rPr>
          <w:rFonts w:cs="Arial"/>
          <w:b/>
          <w:b/>
          <w:sz w:val="20"/>
          <w:szCs w:val="24"/>
          <w:lang w:eastAsia="sk-SK"/>
        </w:rPr>
      </w:pPr>
      <w:bookmarkStart w:id="1" w:name="OLE_LINK1"/>
      <w:r>
        <w:rPr>
          <w:rFonts w:cs="Arial"/>
          <w:sz w:val="20"/>
          <w:szCs w:val="24"/>
          <w:lang w:eastAsia="sk-SK"/>
        </w:rPr>
        <w:t>Informácie o udelení výlučného práva alebo osobitného práva, ktorým sa udelilo právo poskytovať služby vo verejnom záujme</w:t>
      </w:r>
      <w:bookmarkEnd w:id="1"/>
    </w:p>
    <w:p>
      <w:pPr>
        <w:pStyle w:val="Normal"/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rFonts w:cs="Arial"/>
          <w:b/>
          <w:color w:val="C00000"/>
          <w:sz w:val="20"/>
          <w:szCs w:val="24"/>
          <w:u w:val="single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rFonts w:cs="Arial"/>
          <w:b/>
          <w:color w:val="C00000"/>
          <w:sz w:val="20"/>
          <w:szCs w:val="24"/>
          <w:u w:val="single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sz w:val="20"/>
          <w:szCs w:val="24"/>
          <w:u w:val="single"/>
          <w:lang w:eastAsia="sk-SK"/>
        </w:rPr>
      </w:pPr>
      <w:r>
        <w:rPr>
          <w:rFonts w:cs="Arial"/>
          <w:b/>
          <w:sz w:val="20"/>
          <w:szCs w:val="24"/>
          <w:u w:val="single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szCs w:val="22"/>
          <w:lang w:eastAsia="sk-SK"/>
        </w:rPr>
      </w:pPr>
      <w:r>
        <w:rPr>
          <w:rFonts w:cs="Arial"/>
          <w:szCs w:val="22"/>
          <w:u w:val="single"/>
          <w:lang w:eastAsia="sk-SK"/>
        </w:rPr>
        <w:t>Všeobecné pokyny na uvedenie informácií v poznámkach</w:t>
      </w:r>
      <w:r>
        <w:rPr>
          <w:rFonts w:cs="Arial"/>
          <w:szCs w:val="22"/>
          <w:lang w:eastAsia="sk-SK"/>
        </w:rPr>
        <w:t>:</w:t>
      </w:r>
    </w:p>
    <w:p>
      <w:pPr>
        <w:pStyle w:val="Normal"/>
        <w:spacing w:lineRule="auto" w:line="240" w:before="0" w:after="0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</w:r>
    </w:p>
    <w:p>
      <w:pPr>
        <w:pStyle w:val="Normal"/>
        <w:numPr>
          <w:ilvl w:val="0"/>
          <w:numId w:val="11"/>
        </w:numPr>
        <w:spacing w:lineRule="auto" w:line="240" w:before="0" w:after="0"/>
        <w:rPr>
          <w:rFonts w:cs="Arial"/>
          <w:szCs w:val="22"/>
          <w:lang w:eastAsia="sk-SK"/>
        </w:rPr>
      </w:pPr>
      <w:r>
        <w:rPr>
          <w:rFonts w:cs="Arial"/>
          <w:bCs/>
          <w:szCs w:val="22"/>
          <w:lang w:eastAsia="sk-SK"/>
        </w:rPr>
        <w:t>Pri predkladaní poznámok konkrétnej účtovnej jednotky sa neuvádza označenie článkov z opatrenia na poznámky.</w:t>
      </w:r>
    </w:p>
    <w:p>
      <w:pPr>
        <w:pStyle w:val="Normal"/>
        <w:keepNext w:val="true"/>
        <w:numPr>
          <w:ilvl w:val="0"/>
          <w:numId w:val="11"/>
        </w:numPr>
        <w:spacing w:lineRule="auto" w:line="240" w:before="0" w:after="0"/>
        <w:outlineLvl w:val="1"/>
        <w:rPr>
          <w:rFonts w:cs="Arial"/>
          <w:bCs/>
          <w:szCs w:val="22"/>
          <w:lang w:eastAsia="sk-SK"/>
        </w:rPr>
      </w:pPr>
      <w:r>
        <w:rPr>
          <w:rFonts w:cs="Arial"/>
          <w:bCs/>
          <w:szCs w:val="22"/>
          <w:lang w:eastAsia="sk-SK"/>
        </w:rPr>
        <w:t xml:space="preserve">Pri predkladaní poznámok konkrétnej účtovnej jednotky sa uvádzajú len tie informácie, pre ktoré má účtovná jednotka obsahovú náplň. Neuvádza sa informácia, že  pre danú položku nemá účtovná jednotka obsahovú náplň. </w:t>
      </w:r>
    </w:p>
    <w:p>
      <w:pPr>
        <w:pStyle w:val="Normal"/>
        <w:keepNext w:val="true"/>
        <w:numPr>
          <w:ilvl w:val="0"/>
          <w:numId w:val="11"/>
        </w:numPr>
        <w:spacing w:lineRule="auto" w:line="240" w:before="0" w:after="0"/>
        <w:outlineLvl w:val="1"/>
        <w:rPr>
          <w:rFonts w:cs="Arial"/>
          <w:bCs/>
          <w:szCs w:val="22"/>
          <w:lang w:eastAsia="sk-SK"/>
        </w:rPr>
      </w:pPr>
      <w:r>
        <w:rPr>
          <w:rFonts w:cs="Arial"/>
          <w:bCs/>
          <w:szCs w:val="22"/>
          <w:lang w:eastAsia="sk-SK"/>
        </w:rPr>
        <w:t>Vzorové poznámky uvádzajú len ilustratívny text, čo by sa podľa obsahovej náplne najčastejšie malo uviesť. Je potrebné si vždy prečítať opatrením požadovanú obsahovú náplň.</w:t>
      </w:r>
    </w:p>
    <w:p>
      <w:pPr>
        <w:pStyle w:val="Normal"/>
        <w:keepNext w:val="true"/>
        <w:numPr>
          <w:ilvl w:val="0"/>
          <w:numId w:val="11"/>
        </w:numPr>
        <w:spacing w:lineRule="auto" w:line="240" w:before="0" w:after="0"/>
        <w:outlineLvl w:val="1"/>
        <w:rPr>
          <w:rFonts w:cs="Arial"/>
          <w:bCs/>
          <w:szCs w:val="22"/>
          <w:lang w:eastAsia="sk-SK"/>
        </w:rPr>
      </w:pPr>
      <w:r>
        <w:rPr>
          <w:rFonts w:cs="Arial"/>
          <w:bCs/>
          <w:szCs w:val="22"/>
          <w:lang w:eastAsia="sk-SK"/>
        </w:rPr>
        <w:t>V poznámkach sa číselné údaje uvádzajú v celých eurách.</w:t>
      </w:r>
    </w:p>
    <w:p>
      <w:pPr>
        <w:pStyle w:val="ListParagraph"/>
        <w:keepNext w:val="true"/>
        <w:numPr>
          <w:ilvl w:val="0"/>
          <w:numId w:val="0"/>
        </w:numPr>
        <w:spacing w:lineRule="auto" w:line="240" w:before="0" w:after="0"/>
        <w:ind w:left="357" w:hanging="0"/>
        <w:contextualSpacing/>
        <w:jc w:val="both"/>
        <w:outlineLvl w:val="1"/>
        <w:rPr>
          <w:szCs w:val="22"/>
        </w:rPr>
      </w:pPr>
      <w:r>
        <w:rPr>
          <w:szCs w:val="22"/>
        </w:rPr>
      </w:r>
    </w:p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Použité  skratky: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ÚJ-účtovná jednotka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BO-bežné účtovné obdobie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PO-bezprostredne predchádzajúce účtovné obdobie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X-položka sa vzťahuje na účtovnú jednotku</w:t>
      </w:r>
    </w:p>
    <w:sectPr>
      <w:headerReference w:type="default" r:id="rId2"/>
      <w:footerReference w:type="default" r:id="rId3"/>
      <w:type w:val="nextPage"/>
      <w:pgSz w:w="11906" w:h="16838"/>
      <w:pgMar w:left="1417" w:right="1417" w:gutter="0" w:header="709" w:top="1417" w:footer="709" w:bottom="141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EUAlbertina">
    <w:charset w:val="ee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jc w:val="center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Zhlavie"/>
      <w:rPr/>
    </w:pPr>
    <w:r>
      <w:rPr/>
    </w:r>
  </w:p>
  <w:tbl>
    <w:tblPr>
      <w:tblW w:w="8957" w:type="dxa"/>
      <w:jc w:val="left"/>
      <w:tblInd w:w="93" w:type="dxa"/>
      <w:tblLayout w:type="fixed"/>
      <w:tblCellMar>
        <w:top w:w="0" w:type="dxa"/>
        <w:left w:w="70" w:type="dxa"/>
        <w:bottom w:w="0" w:type="dxa"/>
        <w:right w:w="70" w:type="dxa"/>
      </w:tblCellMar>
      <w:tblLook w:firstRow="0" w:noVBand="0" w:lastRow="0" w:firstColumn="0" w:lastColumn="0" w:noHBand="0" w:val="0000"/>
    </w:tblPr>
    <w:tblGrid>
      <w:gridCol w:w="2242"/>
      <w:gridCol w:w="1701"/>
      <w:gridCol w:w="2411"/>
      <w:gridCol w:w="446"/>
      <w:gridCol w:w="2157"/>
    </w:tblGrid>
    <w:tr>
      <w:trPr>
        <w:trHeight w:val="326" w:hRule="atLeast"/>
      </w:trPr>
      <w:tc>
        <w:tcPr>
          <w:tcW w:w="224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>
          <w:pPr>
            <w:pStyle w:val="Zhlavie"/>
            <w:widowControl w:val="false"/>
            <w:rPr/>
          </w:pPr>
          <w:r>
            <w:rPr/>
            <w:t>Poznámky Úč POD 3-01</w:t>
          </w:r>
        </w:p>
      </w:tc>
      <w:tc>
        <w:tcPr>
          <w:tcW w:w="1701" w:type="dxa"/>
          <w:tcBorders>
            <w:left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widowControl w:val="false"/>
            <w:spacing w:lineRule="auto" w:line="240" w:before="0" w:after="0"/>
            <w:rPr/>
          </w:pPr>
          <w:r>
            <w:rPr/>
          </w:r>
        </w:p>
      </w:tc>
      <w:tc>
        <w:tcPr>
          <w:tcW w:w="241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widowControl w:val="false"/>
            <w:spacing w:lineRule="auto" w:line="240" w:before="0" w:after="0"/>
            <w:rPr/>
          </w:pPr>
          <w:r>
            <w:rPr/>
            <w:t>IČO:</w:t>
          </w:r>
          <w:r>
            <w:rPr/>
            <w:t>47704993</w:t>
          </w:r>
        </w:p>
      </w:tc>
      <w:tc>
        <w:tcPr>
          <w:tcW w:w="446" w:type="dxa"/>
          <w:tcBorders>
            <w:left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widowControl w:val="false"/>
            <w:spacing w:lineRule="auto" w:line="240" w:before="0" w:after="0"/>
            <w:rPr/>
          </w:pPr>
          <w:r>
            <w:rPr/>
          </w:r>
        </w:p>
      </w:tc>
      <w:tc>
        <w:tcPr>
          <w:tcW w:w="215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widowControl w:val="false"/>
            <w:spacing w:lineRule="auto" w:line="240" w:before="0" w:after="0"/>
            <w:rPr/>
          </w:pPr>
          <w:r>
            <w:rPr/>
            <w:t>DIČ:</w:t>
          </w:r>
          <w:r>
            <w:rPr/>
            <w:t>2024072391</w:t>
          </w:r>
        </w:p>
      </w:tc>
    </w:tr>
  </w:tbl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2">
    <w:lvl w:ilvl="0">
      <w:start w:val="1"/>
      <w:numFmt w:val="decimal"/>
      <w:lvlText w:val="(%1)"/>
      <w:lvlJc w:val="left"/>
      <w:pPr>
        <w:tabs>
          <w:tab w:val="num" w:pos="0"/>
        </w:tabs>
        <w:ind w:left="360" w:hanging="360"/>
      </w:pPr>
      <w:rPr>
        <w:sz w:val="20"/>
        <w:b w:val="false"/>
        <w:szCs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/>
    </w:lvl>
  </w:abstractNum>
  <w:abstractNum w:abstractNumId="3">
    <w:lvl w:ilvl="0">
      <w:start w:val="1"/>
      <w:numFmt w:val="bullet"/>
      <w:lvlText w:val=""/>
      <w:lvlJc w:val="left"/>
      <w:pPr>
        <w:tabs>
          <w:tab w:val="num" w:pos="0"/>
        </w:tabs>
        <w:ind w:left="1841" w:hanging="360"/>
      </w:pPr>
      <w:rPr>
        <w:rFonts w:ascii="Symbol" w:hAnsi="Symbol" w:cs="Symbol" w:hint="default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4">
    <w:lvl w:ilvl="0">
      <w:start w:val="2"/>
      <w:numFmt w:val="decimal"/>
      <w:lvlText w:val="%1."/>
      <w:lvlJc w:val="left"/>
      <w:pPr>
        <w:tabs>
          <w:tab w:val="num" w:pos="0"/>
        </w:tabs>
        <w:ind w:left="251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5">
    <w:lvl w:ilvl="0">
      <w:start w:val="1"/>
      <w:numFmt w:val="decimal"/>
      <w:lvlText w:val="%1."/>
      <w:lvlJc w:val="left"/>
      <w:pPr>
        <w:tabs>
          <w:tab w:val="num" w:pos="0"/>
        </w:tabs>
        <w:ind w:left="2913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2433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3153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873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4593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5313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6033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753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7473" w:hanging="180"/>
      </w:pPr>
      <w:rPr/>
    </w:lvl>
  </w:abstractNum>
  <w:abstractNum w:abstractNumId="6">
    <w:lvl w:ilvl="0">
      <w:start w:val="1"/>
      <w:numFmt w:val="lowerLetter"/>
      <w:lvlText w:val="%1)"/>
      <w:lvlJc w:val="left"/>
      <w:pPr>
        <w:tabs>
          <w:tab w:val="num" w:pos="0"/>
        </w:tabs>
        <w:ind w:left="774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94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214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934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54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74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94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814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534" w:hanging="180"/>
      </w:pPr>
      <w:rPr/>
    </w:lvl>
  </w:abstractNum>
  <w:abstractNum w:abstractNumId="7">
    <w:lvl w:ilvl="0">
      <w:start w:val="1"/>
      <w:numFmt w:val="upperLetter"/>
      <w:lvlText w:val="%1)"/>
      <w:lvlJc w:val="left"/>
      <w:pPr>
        <w:tabs>
          <w:tab w:val="num" w:pos="0"/>
        </w:tabs>
        <w:ind w:left="1494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2214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934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654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4374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5094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814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534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7254" w:hanging="180"/>
      </w:pPr>
      <w:rPr/>
    </w:lvl>
  </w:abstractNum>
  <w:abstractNum w:abstractNumId="8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9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0">
    <w:lvl w:ilvl="0">
      <w:start w:val="1"/>
      <w:numFmt w:val="bullet"/>
      <w:lvlText w:val=""/>
      <w:lvlJc w:val="left"/>
      <w:pPr>
        <w:tabs>
          <w:tab w:val="num" w:pos="0"/>
        </w:tabs>
        <w:ind w:left="1996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71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3436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4156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87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596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6316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703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756" w:hanging="360"/>
      </w:pPr>
      <w:rPr>
        <w:rFonts w:ascii="Wingdings" w:hAnsi="Wingdings" w:cs="Wingdings" w:hint="default"/>
      </w:rPr>
    </w:lvl>
  </w:abstractNum>
  <w:abstractNum w:abstractNumId="1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</w:numbering>
</file>

<file path=word/settings.xml><?xml version="1.0" encoding="utf-8"?>
<w:settings xmlns:w="http://schemas.openxmlformats.org/wordprocessingml/2006/main">
  <w:zoom w:percent="120"/>
  <w:defaultTabStop w:val="708"/>
  <w:autoHyphenation w:val="tru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76" w:before="0" w:after="200"/>
      <w:jc w:val="left"/>
    </w:pPr>
    <w:rPr>
      <w:rFonts w:ascii="Arial Narrow" w:hAnsi="Arial Narrow" w:eastAsia="Times New Roman" w:cs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HlavikaChar" w:customStyle="1">
    <w:name w:val="Hlavička Char"/>
    <w:uiPriority w:val="99"/>
    <w:qFormat/>
    <w:locked/>
    <w:rsid w:val="00107589"/>
    <w:rPr>
      <w:rFonts w:cs="Times New Roman"/>
    </w:rPr>
  </w:style>
  <w:style w:type="character" w:styleId="PtaChar" w:customStyle="1">
    <w:name w:val="Päta Char"/>
    <w:uiPriority w:val="99"/>
    <w:qFormat/>
    <w:locked/>
    <w:rsid w:val="00107589"/>
    <w:rPr>
      <w:rFonts w:cs="Times New Roman"/>
    </w:rPr>
  </w:style>
  <w:style w:type="character" w:styleId="TextpoznmkypodiarouChar128" w:customStyle="1">
    <w:name w:val="Text poznámky pod čiarou Char128"/>
    <w:uiPriority w:val="99"/>
    <w:semiHidden/>
    <w:qFormat/>
    <w:rPr>
      <w:rFonts w:cs="Times New Roman"/>
      <w:sz w:val="20"/>
      <w:szCs w:val="20"/>
    </w:rPr>
  </w:style>
  <w:style w:type="character" w:styleId="TextpoznmkypodiarouChar" w:customStyle="1">
    <w:name w:val="Text poznámky pod čiarou Char"/>
    <w:uiPriority w:val="99"/>
    <w:semiHidden/>
    <w:qFormat/>
    <w:locked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uiPriority w:val="99"/>
    <w:semiHidden/>
    <w:qFormat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uiPriority w:val="99"/>
    <w:semiHidden/>
    <w:qFormat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uiPriority w:val="99"/>
    <w:semiHidden/>
    <w:qFormat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uiPriority w:val="99"/>
    <w:semiHidden/>
    <w:qFormat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uiPriority w:val="99"/>
    <w:semiHidden/>
    <w:qFormat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uiPriority w:val="99"/>
    <w:semiHidden/>
    <w:qFormat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uiPriority w:val="99"/>
    <w:semiHidden/>
    <w:qFormat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uiPriority w:val="99"/>
    <w:semiHidden/>
    <w:qFormat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uiPriority w:val="99"/>
    <w:semiHidden/>
    <w:qFormat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uiPriority w:val="99"/>
    <w:semiHidden/>
    <w:qFormat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uiPriority w:val="99"/>
    <w:semiHidden/>
    <w:qFormat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uiPriority w:val="99"/>
    <w:semiHidden/>
    <w:qFormat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uiPriority w:val="99"/>
    <w:semiHidden/>
    <w:qFormat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uiPriority w:val="99"/>
    <w:semiHidden/>
    <w:qFormat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uiPriority w:val="99"/>
    <w:semiHidden/>
    <w:qFormat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uiPriority w:val="99"/>
    <w:semiHidden/>
    <w:qFormat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uiPriority w:val="99"/>
    <w:semiHidden/>
    <w:qFormat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uiPriority w:val="99"/>
    <w:semiHidden/>
    <w:qFormat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uiPriority w:val="99"/>
    <w:semiHidden/>
    <w:qFormat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uiPriority w:val="99"/>
    <w:semiHidden/>
    <w:qFormat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uiPriority w:val="99"/>
    <w:semiHidden/>
    <w:qFormat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uiPriority w:val="99"/>
    <w:semiHidden/>
    <w:qFormat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uiPriority w:val="99"/>
    <w:semiHidden/>
    <w:qFormat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uiPriority w:val="99"/>
    <w:semiHidden/>
    <w:qFormat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uiPriority w:val="99"/>
    <w:semiHidden/>
    <w:qFormat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uiPriority w:val="99"/>
    <w:semiHidden/>
    <w:qFormat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uiPriority w:val="99"/>
    <w:semiHidden/>
    <w:qFormat/>
    <w:rPr>
      <w:rFonts w:cs="Times New Roman"/>
      <w:sz w:val="20"/>
      <w:szCs w:val="20"/>
    </w:rPr>
  </w:style>
  <w:style w:type="character" w:styleId="NzovChar128" w:customStyle="1">
    <w:name w:val="Názov Char128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" w:customStyle="1">
    <w:name w:val="Názov Char"/>
    <w:uiPriority w:val="99"/>
    <w:qFormat/>
    <w:locked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7" w:customStyle="1">
    <w:name w:val="Názov Char127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6" w:customStyle="1">
    <w:name w:val="Názov Char126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5" w:customStyle="1">
    <w:name w:val="Názov Char125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4" w:customStyle="1">
    <w:name w:val="Názov Char124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3" w:customStyle="1">
    <w:name w:val="Názov Char123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2" w:customStyle="1">
    <w:name w:val="Názov Char122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1" w:customStyle="1">
    <w:name w:val="Názov Char121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0" w:customStyle="1">
    <w:name w:val="Názov Char120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9" w:customStyle="1">
    <w:name w:val="Názov Char119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8" w:customStyle="1">
    <w:name w:val="Názov Char118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7" w:customStyle="1">
    <w:name w:val="Názov Char117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6" w:customStyle="1">
    <w:name w:val="Názov Char116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5" w:customStyle="1">
    <w:name w:val="Názov Char115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4" w:customStyle="1">
    <w:name w:val="Názov Char114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3" w:customStyle="1">
    <w:name w:val="Názov Char113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2" w:customStyle="1">
    <w:name w:val="Názov Char112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1" w:customStyle="1">
    <w:name w:val="Názov Char111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0" w:customStyle="1">
    <w:name w:val="Názov Char110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9" w:customStyle="1">
    <w:name w:val="Názov Char19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8" w:customStyle="1">
    <w:name w:val="Názov Char18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7" w:customStyle="1">
    <w:name w:val="Názov Char17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6" w:customStyle="1">
    <w:name w:val="Názov Char16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5" w:customStyle="1">
    <w:name w:val="Názov Char15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4" w:customStyle="1">
    <w:name w:val="Názov Char14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3" w:customStyle="1">
    <w:name w:val="Názov Char13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" w:customStyle="1">
    <w:name w:val="Názov Char12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" w:customStyle="1">
    <w:name w:val="Názov Char11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ZkladntextChar128" w:customStyle="1">
    <w:name w:val="Základný text Char128"/>
    <w:uiPriority w:val="99"/>
    <w:semiHidden/>
    <w:qFormat/>
    <w:rPr>
      <w:rFonts w:cs="Times New Roman"/>
      <w:sz w:val="36"/>
      <w:szCs w:val="36"/>
    </w:rPr>
  </w:style>
  <w:style w:type="character" w:styleId="ZkladntextChar" w:customStyle="1">
    <w:name w:val="Základný text Char"/>
    <w:uiPriority w:val="99"/>
    <w:semiHidden/>
    <w:qFormat/>
    <w:locked/>
    <w:rPr>
      <w:rFonts w:cs="Times New Roman"/>
      <w:sz w:val="36"/>
      <w:szCs w:val="36"/>
    </w:rPr>
  </w:style>
  <w:style w:type="character" w:styleId="ZkladntextChar127" w:customStyle="1">
    <w:name w:val="Základný text Char127"/>
    <w:uiPriority w:val="99"/>
    <w:semiHidden/>
    <w:qFormat/>
    <w:rPr>
      <w:rFonts w:cs="Times New Roman"/>
      <w:sz w:val="36"/>
      <w:szCs w:val="36"/>
    </w:rPr>
  </w:style>
  <w:style w:type="character" w:styleId="ZkladntextChar126" w:customStyle="1">
    <w:name w:val="Základný text Char126"/>
    <w:uiPriority w:val="99"/>
    <w:semiHidden/>
    <w:qFormat/>
    <w:rPr>
      <w:rFonts w:cs="Times New Roman"/>
      <w:sz w:val="36"/>
      <w:szCs w:val="36"/>
    </w:rPr>
  </w:style>
  <w:style w:type="character" w:styleId="ZkladntextChar125" w:customStyle="1">
    <w:name w:val="Základný text Char125"/>
    <w:uiPriority w:val="99"/>
    <w:semiHidden/>
    <w:qFormat/>
    <w:rPr>
      <w:rFonts w:cs="Times New Roman"/>
      <w:sz w:val="36"/>
      <w:szCs w:val="36"/>
    </w:rPr>
  </w:style>
  <w:style w:type="character" w:styleId="ZkladntextChar124" w:customStyle="1">
    <w:name w:val="Základný text Char124"/>
    <w:uiPriority w:val="99"/>
    <w:semiHidden/>
    <w:qFormat/>
    <w:rPr>
      <w:rFonts w:cs="Times New Roman"/>
      <w:sz w:val="36"/>
      <w:szCs w:val="36"/>
    </w:rPr>
  </w:style>
  <w:style w:type="character" w:styleId="ZkladntextChar123" w:customStyle="1">
    <w:name w:val="Základný text Char123"/>
    <w:uiPriority w:val="99"/>
    <w:semiHidden/>
    <w:qFormat/>
    <w:rPr>
      <w:rFonts w:cs="Times New Roman"/>
      <w:sz w:val="36"/>
      <w:szCs w:val="36"/>
    </w:rPr>
  </w:style>
  <w:style w:type="character" w:styleId="ZkladntextChar122" w:customStyle="1">
    <w:name w:val="Základný text Char122"/>
    <w:uiPriority w:val="99"/>
    <w:semiHidden/>
    <w:qFormat/>
    <w:rPr>
      <w:rFonts w:cs="Times New Roman"/>
      <w:sz w:val="36"/>
      <w:szCs w:val="36"/>
    </w:rPr>
  </w:style>
  <w:style w:type="character" w:styleId="ZkladntextChar121" w:customStyle="1">
    <w:name w:val="Základný text Char121"/>
    <w:uiPriority w:val="99"/>
    <w:semiHidden/>
    <w:qFormat/>
    <w:rPr>
      <w:rFonts w:cs="Times New Roman"/>
      <w:sz w:val="36"/>
      <w:szCs w:val="36"/>
    </w:rPr>
  </w:style>
  <w:style w:type="character" w:styleId="ZkladntextChar120" w:customStyle="1">
    <w:name w:val="Základný text Char120"/>
    <w:uiPriority w:val="99"/>
    <w:semiHidden/>
    <w:qFormat/>
    <w:rPr>
      <w:rFonts w:cs="Times New Roman"/>
      <w:sz w:val="36"/>
      <w:szCs w:val="36"/>
    </w:rPr>
  </w:style>
  <w:style w:type="character" w:styleId="ZkladntextChar119" w:customStyle="1">
    <w:name w:val="Základný text Char119"/>
    <w:uiPriority w:val="99"/>
    <w:semiHidden/>
    <w:qFormat/>
    <w:rPr>
      <w:rFonts w:cs="Times New Roman"/>
      <w:sz w:val="36"/>
      <w:szCs w:val="36"/>
    </w:rPr>
  </w:style>
  <w:style w:type="character" w:styleId="ZkladntextChar118" w:customStyle="1">
    <w:name w:val="Základný text Char118"/>
    <w:uiPriority w:val="99"/>
    <w:semiHidden/>
    <w:qFormat/>
    <w:rPr>
      <w:rFonts w:cs="Times New Roman"/>
      <w:sz w:val="36"/>
      <w:szCs w:val="36"/>
    </w:rPr>
  </w:style>
  <w:style w:type="character" w:styleId="ZkladntextChar117" w:customStyle="1">
    <w:name w:val="Základný text Char117"/>
    <w:uiPriority w:val="99"/>
    <w:semiHidden/>
    <w:qFormat/>
    <w:rPr>
      <w:rFonts w:cs="Times New Roman"/>
      <w:sz w:val="36"/>
      <w:szCs w:val="36"/>
    </w:rPr>
  </w:style>
  <w:style w:type="character" w:styleId="ZkladntextChar116" w:customStyle="1">
    <w:name w:val="Základný text Char116"/>
    <w:uiPriority w:val="99"/>
    <w:semiHidden/>
    <w:qFormat/>
    <w:rPr>
      <w:rFonts w:cs="Times New Roman"/>
      <w:sz w:val="36"/>
      <w:szCs w:val="36"/>
    </w:rPr>
  </w:style>
  <w:style w:type="character" w:styleId="ZkladntextChar115" w:customStyle="1">
    <w:name w:val="Základný text Char115"/>
    <w:uiPriority w:val="99"/>
    <w:semiHidden/>
    <w:qFormat/>
    <w:rPr>
      <w:rFonts w:cs="Times New Roman"/>
      <w:sz w:val="36"/>
      <w:szCs w:val="36"/>
    </w:rPr>
  </w:style>
  <w:style w:type="character" w:styleId="ZkladntextChar114" w:customStyle="1">
    <w:name w:val="Základný text Char114"/>
    <w:uiPriority w:val="99"/>
    <w:semiHidden/>
    <w:qFormat/>
    <w:rPr>
      <w:rFonts w:cs="Times New Roman"/>
      <w:sz w:val="36"/>
      <w:szCs w:val="36"/>
    </w:rPr>
  </w:style>
  <w:style w:type="character" w:styleId="ZkladntextChar113" w:customStyle="1">
    <w:name w:val="Základný text Char113"/>
    <w:uiPriority w:val="99"/>
    <w:semiHidden/>
    <w:qFormat/>
    <w:rPr>
      <w:rFonts w:cs="Times New Roman"/>
      <w:sz w:val="36"/>
      <w:szCs w:val="36"/>
    </w:rPr>
  </w:style>
  <w:style w:type="character" w:styleId="ZkladntextChar112" w:customStyle="1">
    <w:name w:val="Základný text Char112"/>
    <w:uiPriority w:val="99"/>
    <w:semiHidden/>
    <w:qFormat/>
    <w:rPr>
      <w:rFonts w:cs="Times New Roman"/>
      <w:sz w:val="36"/>
      <w:szCs w:val="36"/>
    </w:rPr>
  </w:style>
  <w:style w:type="character" w:styleId="ZkladntextChar111" w:customStyle="1">
    <w:name w:val="Základný text Char111"/>
    <w:uiPriority w:val="99"/>
    <w:semiHidden/>
    <w:qFormat/>
    <w:rPr>
      <w:rFonts w:cs="Times New Roman"/>
      <w:sz w:val="36"/>
      <w:szCs w:val="36"/>
    </w:rPr>
  </w:style>
  <w:style w:type="character" w:styleId="ZkladntextChar110" w:customStyle="1">
    <w:name w:val="Základný text Char110"/>
    <w:uiPriority w:val="99"/>
    <w:semiHidden/>
    <w:qFormat/>
    <w:rPr>
      <w:rFonts w:cs="Times New Roman"/>
      <w:sz w:val="36"/>
      <w:szCs w:val="36"/>
    </w:rPr>
  </w:style>
  <w:style w:type="character" w:styleId="ZkladntextChar19" w:customStyle="1">
    <w:name w:val="Základný text Char19"/>
    <w:uiPriority w:val="99"/>
    <w:semiHidden/>
    <w:qFormat/>
    <w:rPr>
      <w:rFonts w:cs="Times New Roman"/>
      <w:sz w:val="36"/>
      <w:szCs w:val="36"/>
    </w:rPr>
  </w:style>
  <w:style w:type="character" w:styleId="ZkladntextChar18" w:customStyle="1">
    <w:name w:val="Základný text Char18"/>
    <w:uiPriority w:val="99"/>
    <w:semiHidden/>
    <w:qFormat/>
    <w:rPr>
      <w:rFonts w:cs="Times New Roman"/>
      <w:sz w:val="36"/>
      <w:szCs w:val="36"/>
    </w:rPr>
  </w:style>
  <w:style w:type="character" w:styleId="ZkladntextChar17" w:customStyle="1">
    <w:name w:val="Základný text Char17"/>
    <w:uiPriority w:val="99"/>
    <w:semiHidden/>
    <w:qFormat/>
    <w:rPr>
      <w:rFonts w:cs="Times New Roman"/>
      <w:sz w:val="36"/>
      <w:szCs w:val="36"/>
    </w:rPr>
  </w:style>
  <w:style w:type="character" w:styleId="ZkladntextChar16" w:customStyle="1">
    <w:name w:val="Základný text Char16"/>
    <w:uiPriority w:val="99"/>
    <w:semiHidden/>
    <w:qFormat/>
    <w:rPr>
      <w:rFonts w:cs="Times New Roman"/>
      <w:sz w:val="36"/>
      <w:szCs w:val="36"/>
    </w:rPr>
  </w:style>
  <w:style w:type="character" w:styleId="ZkladntextChar15" w:customStyle="1">
    <w:name w:val="Základný text Char15"/>
    <w:uiPriority w:val="99"/>
    <w:semiHidden/>
    <w:qFormat/>
    <w:rPr>
      <w:rFonts w:cs="Times New Roman"/>
      <w:sz w:val="36"/>
      <w:szCs w:val="36"/>
    </w:rPr>
  </w:style>
  <w:style w:type="character" w:styleId="ZkladntextChar14" w:customStyle="1">
    <w:name w:val="Základný text Char14"/>
    <w:uiPriority w:val="99"/>
    <w:semiHidden/>
    <w:qFormat/>
    <w:rPr>
      <w:rFonts w:cs="Times New Roman"/>
      <w:sz w:val="36"/>
      <w:szCs w:val="36"/>
    </w:rPr>
  </w:style>
  <w:style w:type="character" w:styleId="ZkladntextChar13" w:customStyle="1">
    <w:name w:val="Základný text Char13"/>
    <w:uiPriority w:val="99"/>
    <w:semiHidden/>
    <w:qFormat/>
    <w:rPr>
      <w:rFonts w:cs="Times New Roman"/>
      <w:sz w:val="36"/>
      <w:szCs w:val="36"/>
    </w:rPr>
  </w:style>
  <w:style w:type="character" w:styleId="ZkladntextChar12" w:customStyle="1">
    <w:name w:val="Základný text Char12"/>
    <w:uiPriority w:val="99"/>
    <w:semiHidden/>
    <w:qFormat/>
    <w:rPr>
      <w:rFonts w:cs="Times New Roman"/>
      <w:sz w:val="36"/>
      <w:szCs w:val="36"/>
    </w:rPr>
  </w:style>
  <w:style w:type="character" w:styleId="ZkladntextChar11" w:customStyle="1">
    <w:name w:val="Základný text Char11"/>
    <w:uiPriority w:val="99"/>
    <w:semiHidden/>
    <w:qFormat/>
    <w:rPr>
      <w:rFonts w:cs="Times New Roman"/>
      <w:sz w:val="36"/>
      <w:szCs w:val="36"/>
    </w:rPr>
  </w:style>
  <w:style w:type="character" w:styleId="PodtitulChar128" w:customStyle="1">
    <w:name w:val="Podtitul Char128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" w:customStyle="1">
    <w:name w:val="Podtitul Char"/>
    <w:uiPriority w:val="11"/>
    <w:qFormat/>
    <w:locked/>
    <w:rPr>
      <w:rFonts w:ascii="Cambria" w:hAnsi="Cambria" w:eastAsia="Times New Roman" w:cs="Times New Roman"/>
      <w:sz w:val="24"/>
      <w:szCs w:val="24"/>
    </w:rPr>
  </w:style>
  <w:style w:type="character" w:styleId="PodtitulChar127" w:customStyle="1">
    <w:name w:val="Podtitul Char127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6" w:customStyle="1">
    <w:name w:val="Podtitul Char126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5" w:customStyle="1">
    <w:name w:val="Podtitul Char125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4" w:customStyle="1">
    <w:name w:val="Podtitul Char124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3" w:customStyle="1">
    <w:name w:val="Podtitul Char123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2" w:customStyle="1">
    <w:name w:val="Podtitul Char122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1" w:customStyle="1">
    <w:name w:val="Podtitul Char121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0" w:customStyle="1">
    <w:name w:val="Podtitul Char120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9" w:customStyle="1">
    <w:name w:val="Podtitul Char119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8" w:customStyle="1">
    <w:name w:val="Podtitul Char118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7" w:customStyle="1">
    <w:name w:val="Podtitul Char117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6" w:customStyle="1">
    <w:name w:val="Podtitul Char116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5" w:customStyle="1">
    <w:name w:val="Podtitul Char115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4" w:customStyle="1">
    <w:name w:val="Podtitul Char114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3" w:customStyle="1">
    <w:name w:val="Podtitul Char113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2" w:customStyle="1">
    <w:name w:val="Podtitul Char112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1" w:customStyle="1">
    <w:name w:val="Podtitul Char111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0" w:customStyle="1">
    <w:name w:val="Podtitul Char110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9" w:customStyle="1">
    <w:name w:val="Podtitul Char19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8" w:customStyle="1">
    <w:name w:val="Podtitul Char18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7" w:customStyle="1">
    <w:name w:val="Podtitul Char17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6" w:customStyle="1">
    <w:name w:val="Podtitul Char16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5" w:customStyle="1">
    <w:name w:val="Podtitul Char15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4" w:customStyle="1">
    <w:name w:val="Podtitul Char14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3" w:customStyle="1">
    <w:name w:val="Podtitul Char13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" w:customStyle="1">
    <w:name w:val="Podtitul Char12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" w:customStyle="1">
    <w:name w:val="Podtitul Char11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Zkladntext2Char128" w:customStyle="1">
    <w:name w:val="Základný text 2 Char128"/>
    <w:uiPriority w:val="99"/>
    <w:semiHidden/>
    <w:qFormat/>
    <w:rPr>
      <w:rFonts w:cs="Times New Roman"/>
      <w:sz w:val="36"/>
      <w:szCs w:val="36"/>
    </w:rPr>
  </w:style>
  <w:style w:type="character" w:styleId="Zkladntext2Char" w:customStyle="1">
    <w:name w:val="Základný text 2 Char"/>
    <w:link w:val="BodyText2"/>
    <w:uiPriority w:val="99"/>
    <w:semiHidden/>
    <w:qFormat/>
    <w:locked/>
    <w:rPr>
      <w:rFonts w:cs="Times New Roman"/>
      <w:sz w:val="36"/>
      <w:szCs w:val="36"/>
    </w:rPr>
  </w:style>
  <w:style w:type="character" w:styleId="Zkladntext2Char127" w:customStyle="1">
    <w:name w:val="Základný text 2 Char127"/>
    <w:uiPriority w:val="99"/>
    <w:semiHidden/>
    <w:qFormat/>
    <w:rPr>
      <w:rFonts w:cs="Times New Roman"/>
      <w:sz w:val="36"/>
      <w:szCs w:val="36"/>
    </w:rPr>
  </w:style>
  <w:style w:type="character" w:styleId="Zkladntext2Char126" w:customStyle="1">
    <w:name w:val="Základný text 2 Char126"/>
    <w:uiPriority w:val="99"/>
    <w:semiHidden/>
    <w:qFormat/>
    <w:rPr>
      <w:rFonts w:cs="Times New Roman"/>
      <w:sz w:val="36"/>
      <w:szCs w:val="36"/>
    </w:rPr>
  </w:style>
  <w:style w:type="character" w:styleId="Zkladntext2Char125" w:customStyle="1">
    <w:name w:val="Základný text 2 Char125"/>
    <w:uiPriority w:val="99"/>
    <w:semiHidden/>
    <w:qFormat/>
    <w:rPr>
      <w:rFonts w:cs="Times New Roman"/>
      <w:sz w:val="36"/>
      <w:szCs w:val="36"/>
    </w:rPr>
  </w:style>
  <w:style w:type="character" w:styleId="Zkladntext2Char124" w:customStyle="1">
    <w:name w:val="Základný text 2 Char124"/>
    <w:uiPriority w:val="99"/>
    <w:semiHidden/>
    <w:qFormat/>
    <w:rPr>
      <w:rFonts w:cs="Times New Roman"/>
      <w:sz w:val="36"/>
      <w:szCs w:val="36"/>
    </w:rPr>
  </w:style>
  <w:style w:type="character" w:styleId="Zkladntext2Char123" w:customStyle="1">
    <w:name w:val="Základný text 2 Char123"/>
    <w:uiPriority w:val="99"/>
    <w:semiHidden/>
    <w:qFormat/>
    <w:rPr>
      <w:rFonts w:cs="Times New Roman"/>
      <w:sz w:val="36"/>
      <w:szCs w:val="36"/>
    </w:rPr>
  </w:style>
  <w:style w:type="character" w:styleId="Zkladntext2Char122" w:customStyle="1">
    <w:name w:val="Základný text 2 Char122"/>
    <w:uiPriority w:val="99"/>
    <w:semiHidden/>
    <w:qFormat/>
    <w:rPr>
      <w:rFonts w:cs="Times New Roman"/>
      <w:sz w:val="36"/>
      <w:szCs w:val="36"/>
    </w:rPr>
  </w:style>
  <w:style w:type="character" w:styleId="Zkladntext2Char121" w:customStyle="1">
    <w:name w:val="Základný text 2 Char121"/>
    <w:uiPriority w:val="99"/>
    <w:semiHidden/>
    <w:qFormat/>
    <w:rPr>
      <w:rFonts w:cs="Times New Roman"/>
      <w:sz w:val="36"/>
      <w:szCs w:val="36"/>
    </w:rPr>
  </w:style>
  <w:style w:type="character" w:styleId="Zkladntext2Char120" w:customStyle="1">
    <w:name w:val="Základný text 2 Char120"/>
    <w:uiPriority w:val="99"/>
    <w:semiHidden/>
    <w:qFormat/>
    <w:rPr>
      <w:rFonts w:cs="Times New Roman"/>
      <w:sz w:val="36"/>
      <w:szCs w:val="36"/>
    </w:rPr>
  </w:style>
  <w:style w:type="character" w:styleId="Zkladntext2Char119" w:customStyle="1">
    <w:name w:val="Základný text 2 Char119"/>
    <w:uiPriority w:val="99"/>
    <w:semiHidden/>
    <w:qFormat/>
    <w:rPr>
      <w:rFonts w:cs="Times New Roman"/>
      <w:sz w:val="36"/>
      <w:szCs w:val="36"/>
    </w:rPr>
  </w:style>
  <w:style w:type="character" w:styleId="Zkladntext2Char118" w:customStyle="1">
    <w:name w:val="Základný text 2 Char118"/>
    <w:uiPriority w:val="99"/>
    <w:semiHidden/>
    <w:qFormat/>
    <w:rPr>
      <w:rFonts w:cs="Times New Roman"/>
      <w:sz w:val="36"/>
      <w:szCs w:val="36"/>
    </w:rPr>
  </w:style>
  <w:style w:type="character" w:styleId="Zkladntext2Char117" w:customStyle="1">
    <w:name w:val="Základný text 2 Char117"/>
    <w:uiPriority w:val="99"/>
    <w:semiHidden/>
    <w:qFormat/>
    <w:rPr>
      <w:rFonts w:cs="Times New Roman"/>
      <w:sz w:val="36"/>
      <w:szCs w:val="36"/>
    </w:rPr>
  </w:style>
  <w:style w:type="character" w:styleId="Zkladntext2Char116" w:customStyle="1">
    <w:name w:val="Základný text 2 Char116"/>
    <w:uiPriority w:val="99"/>
    <w:semiHidden/>
    <w:qFormat/>
    <w:rPr>
      <w:rFonts w:cs="Times New Roman"/>
      <w:sz w:val="36"/>
      <w:szCs w:val="36"/>
    </w:rPr>
  </w:style>
  <w:style w:type="character" w:styleId="Zkladntext2Char115" w:customStyle="1">
    <w:name w:val="Základný text 2 Char115"/>
    <w:uiPriority w:val="99"/>
    <w:semiHidden/>
    <w:qFormat/>
    <w:rPr>
      <w:rFonts w:cs="Times New Roman"/>
      <w:sz w:val="36"/>
      <w:szCs w:val="36"/>
    </w:rPr>
  </w:style>
  <w:style w:type="character" w:styleId="Zkladntext2Char114" w:customStyle="1">
    <w:name w:val="Základný text 2 Char114"/>
    <w:uiPriority w:val="99"/>
    <w:semiHidden/>
    <w:qFormat/>
    <w:rPr>
      <w:rFonts w:cs="Times New Roman"/>
      <w:sz w:val="36"/>
      <w:szCs w:val="36"/>
    </w:rPr>
  </w:style>
  <w:style w:type="character" w:styleId="Zkladntext2Char113" w:customStyle="1">
    <w:name w:val="Základný text 2 Char113"/>
    <w:uiPriority w:val="99"/>
    <w:semiHidden/>
    <w:qFormat/>
    <w:rPr>
      <w:rFonts w:cs="Times New Roman"/>
      <w:sz w:val="36"/>
      <w:szCs w:val="36"/>
    </w:rPr>
  </w:style>
  <w:style w:type="character" w:styleId="Zkladntext2Char112" w:customStyle="1">
    <w:name w:val="Základný text 2 Char112"/>
    <w:uiPriority w:val="99"/>
    <w:semiHidden/>
    <w:qFormat/>
    <w:rPr>
      <w:rFonts w:cs="Times New Roman"/>
      <w:sz w:val="36"/>
      <w:szCs w:val="36"/>
    </w:rPr>
  </w:style>
  <w:style w:type="character" w:styleId="Zkladntext2Char111" w:customStyle="1">
    <w:name w:val="Základný text 2 Char111"/>
    <w:uiPriority w:val="99"/>
    <w:semiHidden/>
    <w:qFormat/>
    <w:rPr>
      <w:rFonts w:cs="Times New Roman"/>
      <w:sz w:val="36"/>
      <w:szCs w:val="36"/>
    </w:rPr>
  </w:style>
  <w:style w:type="character" w:styleId="Zkladntext2Char110" w:customStyle="1">
    <w:name w:val="Základný text 2 Char110"/>
    <w:uiPriority w:val="99"/>
    <w:semiHidden/>
    <w:qFormat/>
    <w:rPr>
      <w:rFonts w:cs="Times New Roman"/>
      <w:sz w:val="36"/>
      <w:szCs w:val="36"/>
    </w:rPr>
  </w:style>
  <w:style w:type="character" w:styleId="Zkladntext2Char19" w:customStyle="1">
    <w:name w:val="Základný text 2 Char19"/>
    <w:uiPriority w:val="99"/>
    <w:semiHidden/>
    <w:qFormat/>
    <w:rPr>
      <w:rFonts w:cs="Times New Roman"/>
      <w:sz w:val="36"/>
      <w:szCs w:val="36"/>
    </w:rPr>
  </w:style>
  <w:style w:type="character" w:styleId="Zkladntext2Char18" w:customStyle="1">
    <w:name w:val="Základný text 2 Char18"/>
    <w:uiPriority w:val="99"/>
    <w:semiHidden/>
    <w:qFormat/>
    <w:rPr>
      <w:rFonts w:cs="Times New Roman"/>
      <w:sz w:val="36"/>
      <w:szCs w:val="36"/>
    </w:rPr>
  </w:style>
  <w:style w:type="character" w:styleId="Zkladntext2Char17" w:customStyle="1">
    <w:name w:val="Základný text 2 Char17"/>
    <w:uiPriority w:val="99"/>
    <w:semiHidden/>
    <w:qFormat/>
    <w:rPr>
      <w:rFonts w:cs="Times New Roman"/>
      <w:sz w:val="36"/>
      <w:szCs w:val="36"/>
    </w:rPr>
  </w:style>
  <w:style w:type="character" w:styleId="Zkladntext2Char16" w:customStyle="1">
    <w:name w:val="Základný text 2 Char16"/>
    <w:uiPriority w:val="99"/>
    <w:semiHidden/>
    <w:qFormat/>
    <w:rPr>
      <w:rFonts w:cs="Times New Roman"/>
      <w:sz w:val="36"/>
      <w:szCs w:val="36"/>
    </w:rPr>
  </w:style>
  <w:style w:type="character" w:styleId="Zkladntext2Char15" w:customStyle="1">
    <w:name w:val="Základný text 2 Char15"/>
    <w:uiPriority w:val="99"/>
    <w:semiHidden/>
    <w:qFormat/>
    <w:rPr>
      <w:rFonts w:cs="Times New Roman"/>
      <w:sz w:val="36"/>
      <w:szCs w:val="36"/>
    </w:rPr>
  </w:style>
  <w:style w:type="character" w:styleId="Zkladntext2Char14" w:customStyle="1">
    <w:name w:val="Základný text 2 Char14"/>
    <w:uiPriority w:val="99"/>
    <w:semiHidden/>
    <w:qFormat/>
    <w:rPr>
      <w:rFonts w:cs="Times New Roman"/>
      <w:sz w:val="36"/>
      <w:szCs w:val="36"/>
    </w:rPr>
  </w:style>
  <w:style w:type="character" w:styleId="Zkladntext2Char13" w:customStyle="1">
    <w:name w:val="Základný text 2 Char13"/>
    <w:uiPriority w:val="99"/>
    <w:semiHidden/>
    <w:qFormat/>
    <w:rPr>
      <w:rFonts w:cs="Times New Roman"/>
      <w:sz w:val="36"/>
      <w:szCs w:val="36"/>
    </w:rPr>
  </w:style>
  <w:style w:type="character" w:styleId="Zkladntext2Char12" w:customStyle="1">
    <w:name w:val="Základný text 2 Char12"/>
    <w:uiPriority w:val="99"/>
    <w:semiHidden/>
    <w:qFormat/>
    <w:rPr>
      <w:rFonts w:cs="Times New Roman"/>
      <w:sz w:val="36"/>
      <w:szCs w:val="36"/>
    </w:rPr>
  </w:style>
  <w:style w:type="character" w:styleId="Zkladntext2Char11" w:customStyle="1">
    <w:name w:val="Základný text 2 Char11"/>
    <w:uiPriority w:val="99"/>
    <w:semiHidden/>
    <w:qFormat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uiPriority w:val="99"/>
    <w:semiHidden/>
    <w:qFormat/>
    <w:rPr>
      <w:rFonts w:cs="Times New Roman"/>
      <w:sz w:val="36"/>
      <w:szCs w:val="36"/>
    </w:rPr>
  </w:style>
  <w:style w:type="character" w:styleId="Zarkazkladnhotextu2Char" w:customStyle="1">
    <w:name w:val="Zarážka základného textu 2 Char"/>
    <w:link w:val="BodyTextIndent2"/>
    <w:uiPriority w:val="99"/>
    <w:semiHidden/>
    <w:qFormat/>
    <w:locked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uiPriority w:val="99"/>
    <w:semiHidden/>
    <w:qFormat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uiPriority w:val="99"/>
    <w:semiHidden/>
    <w:qFormat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uiPriority w:val="99"/>
    <w:semiHidden/>
    <w:qFormat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uiPriority w:val="99"/>
    <w:semiHidden/>
    <w:qFormat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uiPriority w:val="99"/>
    <w:semiHidden/>
    <w:qFormat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uiPriority w:val="99"/>
    <w:semiHidden/>
    <w:qFormat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uiPriority w:val="99"/>
    <w:semiHidden/>
    <w:qFormat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uiPriority w:val="99"/>
    <w:semiHidden/>
    <w:qFormat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uiPriority w:val="99"/>
    <w:semiHidden/>
    <w:qFormat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uiPriority w:val="99"/>
    <w:semiHidden/>
    <w:qFormat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uiPriority w:val="99"/>
    <w:semiHidden/>
    <w:qFormat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uiPriority w:val="99"/>
    <w:semiHidden/>
    <w:qFormat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uiPriority w:val="99"/>
    <w:semiHidden/>
    <w:qFormat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uiPriority w:val="99"/>
    <w:semiHidden/>
    <w:qFormat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uiPriority w:val="99"/>
    <w:semiHidden/>
    <w:qFormat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uiPriority w:val="99"/>
    <w:semiHidden/>
    <w:qFormat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uiPriority w:val="99"/>
    <w:semiHidden/>
    <w:qFormat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uiPriority w:val="99"/>
    <w:semiHidden/>
    <w:qFormat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uiPriority w:val="99"/>
    <w:semiHidden/>
    <w:qFormat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uiPriority w:val="99"/>
    <w:semiHidden/>
    <w:qFormat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uiPriority w:val="99"/>
    <w:semiHidden/>
    <w:qFormat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uiPriority w:val="99"/>
    <w:semiHidden/>
    <w:qFormat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uiPriority w:val="99"/>
    <w:semiHidden/>
    <w:qFormat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uiPriority w:val="99"/>
    <w:semiHidden/>
    <w:qFormat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uiPriority w:val="99"/>
    <w:semiHidden/>
    <w:qFormat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uiPriority w:val="99"/>
    <w:semiHidden/>
    <w:qFormat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uiPriority w:val="99"/>
    <w:semiHidden/>
    <w:qFormat/>
    <w:rPr>
      <w:rFonts w:cs="Times New Roman"/>
      <w:sz w:val="36"/>
      <w:szCs w:val="36"/>
    </w:rPr>
  </w:style>
  <w:style w:type="character" w:styleId="Zarkazkladnhotextu3Char128" w:customStyle="1">
    <w:name w:val="Zarážka základného textu 3 Char128"/>
    <w:uiPriority w:val="99"/>
    <w:semiHidden/>
    <w:qFormat/>
    <w:rPr>
      <w:rFonts w:cs="Times New Roman"/>
      <w:sz w:val="16"/>
      <w:szCs w:val="16"/>
    </w:rPr>
  </w:style>
  <w:style w:type="character" w:styleId="Zarkazkladnhotextu3Char" w:customStyle="1">
    <w:name w:val="Zarážka základného textu 3 Char"/>
    <w:link w:val="BodyTextIndent3"/>
    <w:uiPriority w:val="99"/>
    <w:semiHidden/>
    <w:qFormat/>
    <w:locked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uiPriority w:val="99"/>
    <w:semiHidden/>
    <w:qFormat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uiPriority w:val="99"/>
    <w:semiHidden/>
    <w:qFormat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uiPriority w:val="99"/>
    <w:semiHidden/>
    <w:qFormat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uiPriority w:val="99"/>
    <w:semiHidden/>
    <w:qFormat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uiPriority w:val="99"/>
    <w:semiHidden/>
    <w:qFormat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uiPriority w:val="99"/>
    <w:semiHidden/>
    <w:qFormat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uiPriority w:val="99"/>
    <w:semiHidden/>
    <w:qFormat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uiPriority w:val="99"/>
    <w:semiHidden/>
    <w:qFormat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uiPriority w:val="99"/>
    <w:semiHidden/>
    <w:qFormat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uiPriority w:val="99"/>
    <w:semiHidden/>
    <w:qFormat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uiPriority w:val="99"/>
    <w:semiHidden/>
    <w:qFormat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uiPriority w:val="99"/>
    <w:semiHidden/>
    <w:qFormat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uiPriority w:val="99"/>
    <w:semiHidden/>
    <w:qFormat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uiPriority w:val="99"/>
    <w:semiHidden/>
    <w:qFormat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uiPriority w:val="99"/>
    <w:semiHidden/>
    <w:qFormat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uiPriority w:val="99"/>
    <w:semiHidden/>
    <w:qFormat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uiPriority w:val="99"/>
    <w:semiHidden/>
    <w:qFormat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uiPriority w:val="99"/>
    <w:semiHidden/>
    <w:qFormat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uiPriority w:val="99"/>
    <w:semiHidden/>
    <w:qFormat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uiPriority w:val="99"/>
    <w:semiHidden/>
    <w:qFormat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uiPriority w:val="99"/>
    <w:semiHidden/>
    <w:qFormat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uiPriority w:val="99"/>
    <w:semiHidden/>
    <w:qFormat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uiPriority w:val="99"/>
    <w:semiHidden/>
    <w:qFormat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uiPriority w:val="99"/>
    <w:semiHidden/>
    <w:qFormat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uiPriority w:val="99"/>
    <w:semiHidden/>
    <w:qFormat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uiPriority w:val="99"/>
    <w:semiHidden/>
    <w:qFormat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uiPriority w:val="99"/>
    <w:semiHidden/>
    <w:qFormat/>
    <w:rPr>
      <w:rFonts w:cs="Times New Roman"/>
      <w:sz w:val="16"/>
      <w:szCs w:val="16"/>
    </w:rPr>
  </w:style>
  <w:style w:type="character" w:styleId="TextbublinyChar128" w:customStyle="1">
    <w:name w:val="Text bubliny Char128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link w:val="BalloonText"/>
    <w:uiPriority w:val="99"/>
    <w:semiHidden/>
    <w:qFormat/>
    <w:locked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uiPriority w:val="99"/>
    <w:semiHidden/>
    <w:qFormat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uiPriority w:val="99"/>
    <w:semiHidden/>
    <w:qFormat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uiPriority w:val="99"/>
    <w:semiHidden/>
    <w:qFormat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uiPriority w:val="99"/>
    <w:semiHidden/>
    <w:qFormat/>
    <w:rPr>
      <w:rFonts w:ascii="Tahoma" w:hAnsi="Tahoma" w:cs="Tahoma"/>
      <w:sz w:val="16"/>
      <w:szCs w:val="16"/>
    </w:rPr>
  </w:style>
  <w:style w:type="character" w:styleId="Ukotveniepoznmkypodiarou">
    <w:name w:val="Footnote Reference"/>
    <w:rPr>
      <w:vertAlign w:val="superscript"/>
    </w:rPr>
  </w:style>
  <w:style w:type="character" w:styleId="FootnoteCharacters">
    <w:name w:val="Footnote Characters"/>
    <w:uiPriority w:val="99"/>
    <w:qFormat/>
    <w:rsid w:val="00686076"/>
    <w:rPr>
      <w:vertAlign w:val="superscript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  <w:lang w:val="zxx" w:eastAsia="zxx" w:bidi="zxx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Hlavika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mkypodi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o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arkazkladnhotextu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arkazkladnhotextu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/>
      <w:sz w:val="24"/>
      <w:szCs w:val="24"/>
      <w:lang w:eastAsia="sk-SK"/>
    </w:rPr>
  </w:style>
  <w:style w:type="paragraph" w:styleId="Default" w:customStyle="1">
    <w:name w:val="Default"/>
    <w:qFormat/>
    <w:rsid w:val="00236906"/>
    <w:pPr>
      <w:widowControl/>
      <w:suppressAutoHyphens w:val="true"/>
      <w:bidi w:val="0"/>
      <w:spacing w:before="0" w:after="0"/>
      <w:jc w:val="left"/>
    </w:pPr>
    <w:rPr>
      <w:rFonts w:ascii="EUAlbertina" w:hAnsi="EUAlbertina" w:eastAsia="Times New Roman" w:cs="EUAlbertina"/>
      <w:color w:val="000000"/>
      <w:kern w:val="0"/>
      <w:sz w:val="24"/>
      <w:szCs w:val="24"/>
      <w:lang w:val="sk-SK" w:eastAsia="en-US" w:bidi="ar-SA"/>
    </w:rPr>
  </w:style>
  <w:style w:type="paragraph" w:styleId="Pismenka" w:customStyle="1">
    <w:name w:val="Pismenka"/>
    <w:basedOn w:val="Telotextu"/>
    <w:qFormat/>
    <w:rsid w:val="00710a71"/>
    <w:pPr>
      <w:numPr>
        <w:ilvl w:val="0"/>
        <w:numId w:val="1"/>
      </w:numPr>
    </w:pPr>
    <w:rPr>
      <w:bCs w:val="false"/>
      <w:sz w:val="18"/>
      <w:szCs w:val="20"/>
      <w:lang w:eastAsia="en-US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b86fc2"/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ABC388-3A63-41D9-B504-BF0C08B5F7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Application>LibreOffice/7.4.0.3$Windows_X86_64 LibreOffice_project/f85e47c08ddd19c015c0114a68350214f7066f5a</Application>
  <AppVersion>15.0000</AppVersion>
  <Pages>6</Pages>
  <Words>1479</Words>
  <Characters>8894</Characters>
  <CharactersWithSpaces>10195</CharactersWithSpaces>
  <Paragraphs>198</Paragraphs>
  <Company>Microsoft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2022-04-29T19:31:00Z</dcterms:created>
  <dc:creator>EK</dc:creator>
  <dc:description/>
  <dc:language>sk-SK</dc:language>
  <cp:lastModifiedBy/>
  <cp:lastPrinted>2016-01-30T12:57:00Z</cp:lastPrinted>
  <dcterms:modified xsi:type="dcterms:W3CDTF">2023-06-28T13:41:21Z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