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uppressAutoHyphens w:val="true"/>
        <w:spacing w:before="2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14"/>
          <w:shd w:fill="auto" w:val="clear"/>
        </w:rPr>
      </w:pPr>
    </w:p>
    <w:p>
      <w:pPr>
        <w:suppressAutoHyphens w:val="true"/>
        <w:spacing w:before="0" w:after="12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Poznámky k  mikro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tovnej z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ávierke za rok 202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2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zostavené pod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a Opatrenia Ministerstva financi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SR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.MF/15464/2013-74, ktor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ým sa ustanovujú podrobnosti o usporiadaní, ozna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ovan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a obsahovom vymedzení 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iek individu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a rozsahu údajov ur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z individuálnej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na zverejnenie pre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mikro 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jednotky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v znení neskor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ích predpisov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(ostatná novela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.MF/18008/2014-74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FS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č.10/2014)</w:t>
      </w:r>
    </w:p>
    <w:p>
      <w:pPr>
        <w:suppressAutoHyphens w:val="true"/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5"/>
        </w:numPr>
        <w:suppressAutoHyphens w:val="true"/>
        <w:spacing w:before="69" w:after="0" w:line="240"/>
        <w:ind w:right="836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</w:t>
      </w:r>
    </w:p>
    <w:p>
      <w:pPr>
        <w:suppressAutoHyphens w:val="true"/>
        <w:spacing w:before="0" w:after="0" w:line="240"/>
        <w:ind w:right="841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ec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úda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e</w:t>
      </w:r>
    </w:p>
    <w:p>
      <w:pPr>
        <w:suppressAutoHyphens w:val="true"/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1.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Identifikácia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čtovnej jednotky (n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ázov, 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ČO, s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ídlo):</w:t>
      </w: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3085"/>
        <w:gridCol w:w="6682"/>
      </w:tblGrid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Názov:</w:t>
            </w:r>
          </w:p>
        </w:tc>
        <w:tc>
          <w:tcPr>
            <w:tcW w:w="668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GASTO, s.r.o. Pre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šov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ČO:</w:t>
            </w:r>
          </w:p>
        </w:tc>
        <w:tc>
          <w:tcPr>
            <w:tcW w:w="668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36490407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Sídlo:</w:t>
            </w:r>
          </w:p>
        </w:tc>
        <w:tc>
          <w:tcPr>
            <w:tcW w:w="668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Plzenská 2, 080 01 Pre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šov</w:t>
            </w:r>
          </w:p>
        </w:tc>
      </w:tr>
    </w:tbl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Úd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je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konsolidovanom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lk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-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hodné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síd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konsolidujú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nie je s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časťou konsolidovan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ého celku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6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Pri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ít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:</w:t>
      </w: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219"/>
        <w:gridCol w:w="2126"/>
        <w:gridCol w:w="3422"/>
      </w:tblGrid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obdobie</w:t>
            </w:r>
          </w:p>
        </w:tc>
        <w:tc>
          <w:tcPr>
            <w:tcW w:w="34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ítaný 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čet zamestnancov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34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</w:tbl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30"/>
        </w:numPr>
        <w:suppressAutoHyphens w:val="true"/>
        <w:spacing w:before="0" w:after="0" w:line="240"/>
        <w:ind w:right="839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</w:t>
      </w:r>
    </w:p>
    <w:p>
      <w:pPr>
        <w:suppressAutoHyphens w:val="true"/>
        <w:spacing w:before="0" w:after="0" w:line="240"/>
        <w:ind w:right="836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 o p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ij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tý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postu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</w:p>
    <w:p>
      <w:pPr>
        <w:suppressAutoHyphens w:val="true"/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ná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lnenia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dpokladu,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 bude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žite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pokr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ť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vo svojej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innosti: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bude nepretr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žite pokračovať vo svojej činnosti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Spôsob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 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to: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843"/>
        <w:gridCol w:w="4924"/>
      </w:tblGrid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Spôsob oce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ňovania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 obst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kúpo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u: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soby 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5"/>
                <w:position w:val="0"/>
                <w:sz w:val="22"/>
                <w:shd w:fill="auto" w:val="clear"/>
              </w:rPr>
              <w:t xml:space="preserve">y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tvor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vlastnou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činnosťou: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náklady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Kúpené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tkodobý 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f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ina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Zá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ky 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tane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rv: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Dlhopisy: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ičky 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úv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ry: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riv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</w:t>
            </w:r>
            <w:r>
              <w:rPr>
                <w:rFonts w:ascii="Arial" w:hAnsi="Arial" w:cs="Arial" w:eastAsia="Arial"/>
                <w:color w:val="auto"/>
                <w:spacing w:val="5"/>
                <w:position w:val="0"/>
                <w:sz w:val="22"/>
                <w:shd w:fill="auto" w:val="clear"/>
              </w:rPr>
              <w:t xml:space="preserve">vé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c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ie: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</w:tbl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Spôsob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plánu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motn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hmotn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nia,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 odpisov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metó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pri 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odpisov: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 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9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metód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 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hodnotu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ladn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 hospod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ÚJ nezmenila ú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é zásady a metódy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dotá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ich 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íctv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e: ÚJ nemá dotácie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dobí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isk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rokov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uhr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nú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uviesť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sledok hospod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ia: ÚJ neú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čtovala o oprav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ách chýb minulých období</w:t>
      </w:r>
    </w:p>
    <w:p>
      <w:pPr>
        <w:suppressAutoHyphens w:val="true"/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64"/>
        </w:numPr>
        <w:suppressAutoHyphens w:val="true"/>
        <w:spacing w:before="0" w:after="0" w:line="240"/>
        <w:ind w:right="157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III</w:t>
      </w:r>
    </w:p>
    <w:p>
      <w:pPr>
        <w:suppressAutoHyphens w:val="true"/>
        <w:spacing w:before="0" w:after="0" w:line="240"/>
        <w:ind w:right="157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ie, ktoré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vysv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ľuj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dop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ňa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súv</w:t>
      </w:r>
      <w:r>
        <w:rPr>
          <w:rFonts w:ascii="Arial" w:hAnsi="Arial" w:cs="Arial" w:eastAsia="Arial"/>
          <w:b/>
          <w:color w:val="auto"/>
          <w:spacing w:val="-3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u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výkaz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is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ov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át</w:t>
      </w:r>
    </w:p>
    <w:p>
      <w:pPr>
        <w:suppressAutoHyphens w:val="true"/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sume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vodo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niku jednotli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kladov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nosov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ktoré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majú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nimo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4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rozs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ku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dôvodu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ôvo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ivel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ôm: náklady a výnosy vznikli len v súvislosti s ekonomickou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činnosťou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 so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ostatkovou dobou sp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tnosti dlh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šou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rokov: nem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opis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spôso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äz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kov: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to najmä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dôvod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dobudnutia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ota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imaní.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obudli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iedli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inú osobu.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čet a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hodnota a hodnote,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ktorú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dli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ich 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ntuál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iel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kladnom 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ní: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o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ruk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lenov štatut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ÚJ nemá nápl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b) 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lenom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-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splat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odpust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obdobia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org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y: ÚJ neposkytla pô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žičky členom štatut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árnych orgánov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hlav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nk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h,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oli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ri pô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sa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 úr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sadz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ÚJ nemá nápl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ostried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plnenia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súkromné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nmi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tovať: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povinnosti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0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ujú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súva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posúd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inan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situ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jom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tívn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jmu,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tvor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mlúv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boli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kon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sion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lúv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 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poplatku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lé zostáv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platnosti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y: ÚJ nemá nápl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b)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 sa 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umie mo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 kto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  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toh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stane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</w:t>
      </w:r>
      <w:r>
        <w:rPr>
          <w:rFonts w:ascii="Arial" w:hAnsi="Arial" w:cs="Arial" w:eastAsia="Arial"/>
          <w:color w:val="auto"/>
          <w:spacing w:val="2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jedna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viac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lostí v budú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nosti, 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 nez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 od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istuj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úca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dok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losti,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torá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uje v súva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he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nie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splnenie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tejto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bude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konomi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itkov,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ška t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jto povinnosti sa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hlivo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niť: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fi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 to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4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dstat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 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vom: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nností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7"/>
          <w:position w:val="0"/>
          <w:sz w:val="22"/>
          <w:u w:val="single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dô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hodko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ogr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Informácie o udelení výlu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práva alebo osobitného práva, ktorým sa udelilo právo poskytova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služby vo verejnom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áujme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pri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 sa uv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ádza náhrada za túto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činnosť v akejkoľvek forme, a ak sa 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árove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vykon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ávajú aj iné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činnosti, uv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ádzajú sa aj informácie o 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formách prijatej náhrady,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zásadách pou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pri pride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nákladov a výnosov, 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druhoch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čtovnej jednotky: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nemám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num w:numId="5">
    <w:abstractNumId w:val="12"/>
  </w:num>
  <w:num w:numId="30">
    <w:abstractNumId w:val="6"/>
  </w:num>
  <w:num w:numId="64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