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before="0" w:after="120"/>
        <w:jc w:val="both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 - VŠEOBECNÉ INFORMÁCIE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p>
      <w:pPr>
        <w:pStyle w:val="Normal"/>
        <w:tabs>
          <w:tab w:val="clear" w:pos="709"/>
          <w:tab w:val="left" w:pos="0" w:leader="none"/>
        </w:tabs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1) Názov a sídlo spoločnosti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Obchodné meno: </w:t>
      </w:r>
      <w:bookmarkStart w:id="0" w:name="ONAME"/>
      <w:bookmarkStart w:id="1" w:name="ONAME_END"/>
      <w:bookmarkEnd w:id="0"/>
      <w:bookmarkEnd w:id="1"/>
      <w:r>
        <w:rPr>
          <w:rFonts w:cs="Arial Narrow" w:ascii="Arial Narrow" w:hAnsi="Arial Narrow"/>
          <w:sz w:val="22"/>
          <w:szCs w:val="22"/>
        </w:rPr>
        <w:t xml:space="preserve"> Mornár a syn, spol. s r.o.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cs="Arial Narrow" w:ascii="Arial Narrow" w:hAnsi="Arial Narrow"/>
          <w:sz w:val="22"/>
          <w:szCs w:val="22"/>
        </w:rPr>
        <w:t xml:space="preserve"> </w:t>
      </w:r>
      <w:bookmarkStart w:id="3" w:name="ADRESA_END"/>
      <w:bookmarkEnd w:id="3"/>
      <w:r>
        <w:rPr>
          <w:rFonts w:cs="Arial Narrow" w:ascii="Arial Narrow" w:hAnsi="Arial Narrow"/>
          <w:sz w:val="22"/>
          <w:szCs w:val="22"/>
        </w:rPr>
        <w:t>Sokolovská 4, 058 01 Poprad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Dátum vzniku: 20.09.2003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zapísaná do obchodného registra dňa: 01.12.2003 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Hlavné činnosti spoločnosti: Ostatná zdravotná starostlivosť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TaxEdit2"/>
        <w:rPr/>
      </w:pPr>
      <w:r>
        <w:rPr/>
        <w:t>2) Dátum schválenia účtovnej závierky za predchádzajúce účtovné obdobie</w:t>
      </w:r>
    </w:p>
    <w:p>
      <w:pPr>
        <w:pStyle w:val="TaxEdit2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TaxEdit2"/>
        <w:rPr/>
      </w:pPr>
      <w:r>
        <w:rPr>
          <w:rFonts w:cs="Arial Narrow" w:ascii="Arial Narrow" w:hAnsi="Arial Narrow"/>
          <w:b w:val="false"/>
          <w:bCs w:val="false"/>
        </w:rPr>
        <w:t xml:space="preserve"> </w:t>
      </w:r>
      <w:r>
        <w:rPr>
          <w:rFonts w:cs="Arial Narrow" w:ascii="Arial Narrow" w:hAnsi="Arial Narrow"/>
          <w:b w:val="false"/>
          <w:bCs w:val="false"/>
        </w:rPr>
        <w:t>Účtovná závierka spoločnosti k 31.12.202</w:t>
      </w:r>
      <w:r>
        <w:rPr>
          <w:rFonts w:cs="Arial Narrow" w:ascii="Arial Narrow" w:hAnsi="Arial Narrow"/>
          <w:b w:val="false"/>
          <w:bCs w:val="false"/>
        </w:rPr>
        <w:t>1</w:t>
      </w:r>
      <w:r>
        <w:rPr>
          <w:rFonts w:cs="Arial Narrow" w:ascii="Arial Narrow" w:hAnsi="Arial Narrow"/>
          <w:b w:val="false"/>
          <w:bCs w:val="false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>
        <w:rPr>
          <w:rFonts w:cs="Arial Narrow" w:ascii="Arial Narrow" w:hAnsi="Arial Narrow"/>
          <w:b w:val="false"/>
          <w:bCs w:val="false"/>
        </w:rPr>
        <w:t xml:space="preserve">  10.06.202</w:t>
      </w:r>
      <w:r>
        <w:rPr>
          <w:rFonts w:cs="Arial Narrow" w:ascii="Arial Narrow" w:hAnsi="Arial Narrow"/>
          <w:b w:val="false"/>
          <w:bCs w:val="false"/>
        </w:rPr>
        <w:t>2</w:t>
      </w:r>
    </w:p>
    <w:p>
      <w:pPr>
        <w:pStyle w:val="TaxEdit2"/>
        <w:rPr>
          <w:rFonts w:ascii="Arial Narrow" w:hAnsi="Arial Narrow" w:cs="Arial Narrow"/>
          <w:b w:val="false"/>
          <w:b w:val="false"/>
          <w:bCs w:val="false"/>
        </w:rPr>
      </w:pPr>
      <w:r>
        <w:rPr>
          <w:rFonts w:cs="Arial Narrow" w:ascii="Arial Narrow" w:hAnsi="Arial Narrow"/>
          <w:b w:val="false"/>
          <w:bCs w:val="false"/>
        </w:rPr>
      </w:r>
    </w:p>
    <w:p>
      <w:pPr>
        <w:pStyle w:val="TaxEdit2"/>
        <w:rPr/>
      </w:pPr>
      <w:r>
        <w:rPr/>
        <w:t>3) Právny dôvod na zostavenie účtovnej závierky</w:t>
      </w:r>
    </w:p>
    <w:p>
      <w:pPr>
        <w:pStyle w:val="TaxEdit"/>
        <w:rPr/>
      </w:pPr>
      <w:r>
        <w:rPr/>
      </w:r>
    </w:p>
    <w:p>
      <w:pPr>
        <w:pStyle w:val="TaxEdit"/>
        <w:ind w:left="284" w:hanging="284"/>
        <w:rPr/>
      </w:pPr>
      <w:r>
        <w:rPr>
          <w:rFonts w:cs="Arial Narrow" w:ascii="Arial Narrow" w:hAnsi="Arial Narrow"/>
        </w:rPr>
        <w:t>riadna</w:t>
      </w:r>
      <w:r>
        <w:rPr>
          <w:rFonts w:cs="Arial Narrow" w:ascii="Arial Narrow" w:hAnsi="Arial Narrow"/>
          <w:b w:val="false"/>
          <w:bCs w:val="false"/>
        </w:rPr>
        <w:t xml:space="preserve"> podľa § 17 ods. 6 Zákona 431/2002 Z. z. o účtovníctve  za obdobie od 01.01.202</w:t>
      </w:r>
      <w:r>
        <w:rPr>
          <w:rFonts w:cs="Arial Narrow" w:ascii="Arial Narrow" w:hAnsi="Arial Narrow"/>
          <w:b w:val="false"/>
          <w:bCs w:val="false"/>
        </w:rPr>
        <w:t>2</w:t>
      </w:r>
      <w:r>
        <w:rPr>
          <w:rFonts w:cs="Arial Narrow" w:ascii="Arial Narrow" w:hAnsi="Arial Narrow"/>
          <w:b w:val="false"/>
          <w:bCs w:val="false"/>
        </w:rPr>
        <w:t xml:space="preserve"> do 31.12.202</w:t>
      </w:r>
      <w:r>
        <w:rPr>
          <w:rFonts w:cs="Arial Narrow" w:ascii="Arial Narrow" w:hAnsi="Arial Narrow"/>
          <w:b w:val="false"/>
          <w:bCs w:val="false"/>
        </w:rPr>
        <w:t>2</w:t>
      </w:r>
      <w:r>
        <w:rPr>
          <w:rFonts w:cs="Arial Narrow" w:ascii="Arial Narrow" w:hAnsi="Arial Narrow"/>
          <w:b w:val="false"/>
          <w:bCs w:val="false"/>
        </w:rPr>
        <w:t>.</w:t>
      </w:r>
    </w:p>
    <w:p>
      <w:pPr>
        <w:pStyle w:val="Styl1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TaxEdit2"/>
        <w:rPr/>
      </w:pPr>
      <w:r>
        <w:rPr/>
        <w:t>4) Údaje o skupine účtovných jednotiek v súvislosti s konsolidáciou</w:t>
      </w:r>
    </w:p>
    <w:p>
      <w:pPr>
        <w:pStyle w:val="TaxEdit2"/>
        <w:rPr>
          <w:b w:val="false"/>
          <w:b w:val="false"/>
          <w:bCs w:val="false"/>
        </w:rPr>
      </w:pPr>
      <w:r>
        <w:rPr/>
        <w:t xml:space="preserve">    </w:t>
      </w:r>
      <w:r>
        <w:rPr>
          <w:b w:val="false"/>
          <w:bCs w:val="false"/>
        </w:rPr>
        <w:t xml:space="preserve"> </w:t>
      </w:r>
      <w:r>
        <w:rPr>
          <w:b w:val="false"/>
          <w:bCs w:val="false"/>
        </w:rPr>
        <w:t>nemáme</w:t>
      </w:r>
    </w:p>
    <w:p>
      <w:pPr>
        <w:pStyle w:val="Normal"/>
        <w:tabs>
          <w:tab w:val="clear" w:pos="709"/>
          <w:tab w:val="left" w:pos="0" w:leader="none"/>
        </w:tabs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TaxEdit2"/>
        <w:rPr/>
      </w:pPr>
      <w:r>
        <w:rPr/>
        <w:t>5) Priemerný prepočítaný počet zamestnancov</w:t>
      </w:r>
    </w:p>
    <w:p>
      <w:pPr>
        <w:pStyle w:val="Normal"/>
        <w:ind w:left="1080" w:hanging="0"/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tbl>
      <w:tblPr>
        <w:tblW w:w="9851" w:type="dxa"/>
        <w:jc w:val="left"/>
        <w:tblInd w:w="-6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890"/>
        <w:gridCol w:w="1984"/>
        <w:gridCol w:w="2977"/>
      </w:tblGrid>
      <w:tr>
        <w:trPr/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  <w:vAlign w:val="center"/>
          </w:tcPr>
          <w:p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>
        <w:trPr>
          <w:trHeight w:val="418" w:hRule="atLeast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 Narrow" w:ascii="Arial Narrow" w:hAnsi="Arial Narrow"/>
                <w:sz w:val="22"/>
              </w:rPr>
              <w:t>9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</w:tr>
      <w:tr>
        <w:trPr/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</w:tr>
      <w:tr>
        <w:trPr>
          <w:trHeight w:val="421" w:hRule="atLeast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Styl2"/>
        <w:rPr>
          <w:b w:val="false"/>
          <w:b w:val="false"/>
          <w:bCs w:val="false"/>
          <w:i w:val="false"/>
          <w:i w:val="false"/>
          <w:iCs w:val="false"/>
          <w:sz w:val="18"/>
          <w:szCs w:val="18"/>
        </w:rPr>
      </w:pPr>
      <w:r>
        <w:rPr>
          <w:b w:val="false"/>
          <w:bCs w:val="false"/>
          <w:i w:val="false"/>
          <w:iCs w:val="false"/>
          <w:sz w:val="18"/>
          <w:szCs w:val="18"/>
        </w:rPr>
      </w:r>
    </w:p>
    <w:p>
      <w:pPr>
        <w:pStyle w:val="TaxEdit"/>
        <w:ind w:left="284" w:hanging="284"/>
        <w:rPr/>
      </w:pPr>
      <w:r>
        <w:rPr/>
      </w:r>
    </w:p>
    <w:p>
      <w:pPr>
        <w:pStyle w:val="Styl1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ČL. II - INFORMÁCIE O ORGÁNOCH SPOLOČNOSTI</w:t>
      </w:r>
    </w:p>
    <w:p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Nemáme</w:t>
      </w:r>
    </w:p>
    <w:p>
      <w:pPr>
        <w:pStyle w:val="Styl1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Styl1"/>
        <w:ind w:left="720" w:hanging="11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ČL . III - INFORMÁCIE O PRIJATÝCH POSTUPOCH</w:t>
      </w:r>
    </w:p>
    <w:p>
      <w:pPr>
        <w:pStyle w:val="Normal"/>
        <w:rPr>
          <w:rFonts w:ascii="Arial Narrow" w:hAnsi="Arial Narrow" w:cs="Arial Narrow"/>
          <w:sz w:val="18"/>
          <w:szCs w:val="18"/>
        </w:rPr>
      </w:pPr>
      <w:r>
        <w:rPr>
          <w:rFonts w:cs="Arial Narrow" w:ascii="Arial Narrow" w:hAnsi="Arial Narrow"/>
          <w:sz w:val="18"/>
          <w:szCs w:val="18"/>
        </w:rPr>
      </w:r>
    </w:p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1) Predpoklad nepretržitého pokračovania v činnosti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cs="Arial Narrow" w:ascii="Arial Narrow" w:hAnsi="Arial Narrow"/>
          <w:b/>
          <w:bCs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závierka je zostavená za splnenia predpokladu nepretržitého pokračovania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884"/>
        <w:gridCol w:w="6113"/>
      </w:tblGrid>
      <w:tr>
        <w:trPr>
          <w:trHeight w:val="315" w:hRule="atLeast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>
        <w:trPr>
          <w:trHeight w:val="300" w:hRule="atLeast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6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999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828"/>
        <w:gridCol w:w="3793"/>
        <w:gridCol w:w="2377"/>
      </w:tblGrid>
      <w:tr>
        <w:trPr>
          <w:trHeight w:val="529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446"/>
        <w:gridCol w:w="2556"/>
        <w:gridCol w:w="2187"/>
        <w:gridCol w:w="1808"/>
      </w:tblGrid>
      <w:tr>
        <w:trPr>
          <w:trHeight w:val="33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300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315" w:hRule="atLeast"/>
        </w:trPr>
        <w:tc>
          <w:tcPr>
            <w:tcW w:w="3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</w:rPr>
            </w:r>
          </w:p>
        </w:tc>
      </w:tr>
    </w:tbl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4) Spôsob oceňovania jednotlivých zložiek majetku a záväzkov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066"/>
        <w:gridCol w:w="2696"/>
        <w:gridCol w:w="2236"/>
      </w:tblGrid>
      <w:tr>
        <w:trPr>
          <w:trHeight w:val="361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>
        <w:trPr>
          <w:trHeight w:val="268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Obstarávacia cena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Obstarávacia cena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Zásoby obstarané kúpou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Obstarávacia cena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pri ich vzniku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Menovitá hodnota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pri ich vzniku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Menovitá hodnota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Menovitá hodnota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Obstarávacia cena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338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Splatná daň z príjmov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Menovitá hodnota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Účtovanie obstarania a úbytku zásob účtovná jednotka vykonávala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* spôsobom A evidencie zásob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b) Určenie odhadu zníženia hodnoty majetku a tvorba opravnej položky k majetku</w:t>
      </w:r>
    </w:p>
    <w:tbl>
      <w:tblPr>
        <w:tblW w:w="9997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867"/>
        <w:gridCol w:w="1236"/>
        <w:gridCol w:w="1336"/>
        <w:gridCol w:w="1151"/>
        <w:gridCol w:w="1704"/>
        <w:gridCol w:w="1426"/>
        <w:gridCol w:w="1276"/>
      </w:tblGrid>
      <w:tr>
        <w:trPr>
          <w:trHeight w:val="315" w:hRule="atLeast"/>
        </w:trPr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</w:rPr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</w:rPr>
            </w:r>
          </w:p>
        </w:tc>
        <w:tc>
          <w:tcPr>
            <w:tcW w:w="68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>
        <w:trPr>
          <w:trHeight w:val="1143" w:hRule="atLeast"/>
        </w:trPr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>
        <w:trPr>
          <w:trHeight w:val="300" w:hRule="atLeast"/>
        </w:trPr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300" w:hRule="atLeast"/>
        </w:trPr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300" w:hRule="atLeast"/>
        </w:trPr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right="-141" w:hanging="0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</w:tbl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Určenie ocenenia záväzkov a stanovenie odhadu rezerv.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neaktuálne</w:t>
      </w:r>
    </w:p>
    <w:p>
      <w:pPr>
        <w:pStyle w:val="Nadpis2"/>
        <w:tabs>
          <w:tab w:val="clear" w:pos="709"/>
          <w:tab w:val="left" w:pos="1005" w:leader="none"/>
        </w:tabs>
        <w:jc w:val="both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>d) Spôsob zostavenia odpisového plánu pre dlhodobý majetok:</w:t>
      </w:r>
    </w:p>
    <w:p>
      <w:pPr>
        <w:pStyle w:val="Normal"/>
        <w:rPr/>
      </w:pPr>
      <w:r>
        <w:rPr/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520"/>
        <w:gridCol w:w="927"/>
        <w:gridCol w:w="1882"/>
        <w:gridCol w:w="1936"/>
        <w:gridCol w:w="1733"/>
      </w:tblGrid>
      <w:tr>
        <w:trPr/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>
        <w:trPr/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/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adpis2"/>
        <w:jc w:val="both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e) Informácia </w:t>
      </w:r>
      <w:r>
        <w:rPr>
          <w:sz w:val="22"/>
          <w:szCs w:val="22"/>
        </w:rPr>
        <w:t>o poskytnutých dotáciách</w:t>
      </w:r>
      <w:r>
        <w:rPr>
          <w:b w:val="false"/>
          <w:bCs w:val="false"/>
          <w:sz w:val="22"/>
          <w:szCs w:val="22"/>
        </w:rPr>
        <w:t xml:space="preserve"> a pri dotáciách na obstaranie majetku:</w:t>
      </w:r>
    </w:p>
    <w:tbl>
      <w:tblPr>
        <w:tblW w:w="9998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066"/>
        <w:gridCol w:w="2785"/>
        <w:gridCol w:w="2147"/>
      </w:tblGrid>
      <w:tr>
        <w:trPr>
          <w:trHeight w:val="315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>
        <w:trPr>
          <w:trHeight w:val="300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300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300" w:hRule="atLeast"/>
        </w:trPr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</w:tbl>
    <w:p>
      <w:pPr>
        <w:pStyle w:val="Nadpis2"/>
        <w:jc w:val="both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5) Opravy významných chýb minulých účtovných období</w:t>
      </w:r>
    </w:p>
    <w:p>
      <w:pPr>
        <w:pStyle w:val="Nadpis2"/>
        <w:jc w:val="both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>
      <w:pPr>
        <w:pStyle w:val="Normal"/>
        <w:rPr/>
      </w:pPr>
      <w:r>
        <w:rPr/>
      </w:r>
    </w:p>
    <w:tbl>
      <w:tblPr>
        <w:tblW w:w="9882" w:type="dxa"/>
        <w:jc w:val="left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65"/>
        <w:gridCol w:w="1070"/>
        <w:gridCol w:w="1070"/>
        <w:gridCol w:w="1984"/>
        <w:gridCol w:w="2593"/>
      </w:tblGrid>
      <w:tr>
        <w:trPr/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Suma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MD/DAL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bCs/>
                <w:sz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nemáme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/>
        <w:tc>
          <w:tcPr>
            <w:tcW w:w="3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IV -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1) Informácie o záväzkoch</w:t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nemáme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2) Informácie o položkách nákladov alebo výnosov výnimočného rozsahu alebo výskytu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Informácie o nákladoch, ktoré majú výnimočný charakter alebo rozsah</w:t>
      </w:r>
    </w:p>
    <w:p>
      <w:pPr>
        <w:pStyle w:val="Normal"/>
        <w:spacing w:before="0" w:after="120"/>
        <w:ind w:right="-471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Informácie o výnosoch, ktoré majú výnimočný charakter alebo rozsah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" w:ascii="Arial" w:hAnsi="Arial"/>
          <w:sz w:val="22"/>
          <w:szCs w:val="22"/>
        </w:rPr>
        <w:t>nemáme</w:t>
      </w:r>
    </w:p>
    <w:p>
      <w:pPr>
        <w:pStyle w:val="Normal"/>
        <w:spacing w:before="0" w:after="120"/>
        <w:ind w:right="-471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right="-471" w:hanging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1) Informácie o podmienenom majetku a záväzkoch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Opis a hodnota podmieneného majetku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Opis a hodnota podmienených záväzkov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nemáme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Nemáme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3) Informácie o údajoch na podsúvahových účtoch</w:t>
      </w:r>
    </w:p>
    <w:p>
      <w:pPr>
        <w:pStyle w:val="Normal"/>
        <w:spacing w:before="0" w:after="12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nemáme</w:t>
      </w:r>
    </w:p>
    <w:tbl>
      <w:tblPr>
        <w:tblW w:w="9886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442"/>
        <w:gridCol w:w="2553"/>
        <w:gridCol w:w="2891"/>
      </w:tblGrid>
      <w:tr>
        <w:trPr>
          <w:trHeight w:val="780" w:hRule="atLeast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podsúvahovej 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60 890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44 469</w:t>
            </w:r>
          </w:p>
        </w:tc>
      </w:tr>
      <w:tr>
        <w:trPr>
          <w:trHeight w:val="144" w:hRule="atLeast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161" w:hRule="atLeast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  <w:t>336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  <w:tr>
        <w:trPr>
          <w:trHeight w:val="161" w:hRule="atLeast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rFonts w:ascii="Arial Narrow" w:hAnsi="Arial Narrow" w:cs="Arial Narrow"/>
                <w:sz w:val="22"/>
              </w:rPr>
            </w:pPr>
            <w:r>
              <w:rPr>
                <w:rFonts w:cs="Arial Narrow" w:ascii="Arial Narrow" w:hAnsi="Arial Narrow"/>
                <w:sz w:val="22"/>
              </w:rPr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" w:hAnsi="Arial" w:cs="Arial"/>
          <w:b/>
          <w:b/>
          <w:bCs/>
          <w:spacing w:val="-2"/>
          <w:sz w:val="22"/>
          <w:szCs w:val="22"/>
        </w:rPr>
      </w:pPr>
      <w:r>
        <w:rPr>
          <w:rFonts w:cs="Arial" w:ascii="Arial" w:hAnsi="Arial"/>
          <w:b/>
          <w:bCs/>
          <w:spacing w:val="-2"/>
          <w:sz w:val="22"/>
          <w:szCs w:val="22"/>
        </w:rPr>
      </w:r>
    </w:p>
    <w:p>
      <w:pPr>
        <w:pStyle w:val="Normal"/>
        <w:ind w:right="-468" w:hanging="0"/>
        <w:rPr>
          <w:rFonts w:ascii="Arial" w:hAnsi="Arial" w:cs="Arial"/>
          <w:b/>
          <w:b/>
          <w:bCs/>
          <w:spacing w:val="-4"/>
        </w:rPr>
      </w:pPr>
      <w:r>
        <w:rPr>
          <w:rFonts w:cs="Arial" w:ascii="Arial" w:hAnsi="Arial"/>
          <w:b/>
          <w:bCs/>
          <w:spacing w:val="-4"/>
        </w:rPr>
        <w:t>ČL. VI – UDALOSTI, KTORÉ NASTALI PO DNI, KU KTORÉMU SA ZOSTAVUJE ÚČTOVNÁ ZÁVIERKA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Po závierkovom dni - do dňa zostavenia účtovnej závierky (t.j. do dňa podpísania výkazov podľa § 17/5 ZoU) nenastali žiadne skutočnosti, ktoré by mali vplyv na zostavenú účtovnú závierku.</w:t>
      </w:r>
    </w:p>
    <w:sectPr>
      <w:headerReference w:type="default" r:id="rId2"/>
      <w:footerReference w:type="default" r:id="rId3"/>
      <w:type w:val="nextPage"/>
      <w:pgSz w:w="11906" w:h="16838"/>
      <w:pgMar w:left="1417" w:right="707" w:header="708" w:top="1797" w:footer="708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">
    <w:altName w:val="Courier New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rFonts w:cs="Arial" w:ascii="Arial" w:hAnsi="Arial"/>
        <w:sz w:val="20"/>
        <w:szCs w:val="20"/>
      </w:rPr>
      <w:t xml:space="preserve">Strana </w:t>
    </w:r>
    <w:r>
      <w:rPr>
        <w:rFonts w:cs="Arial" w:ascii="Arial" w:hAnsi="Arial"/>
        <w:sz w:val="20"/>
        <w:szCs w:val="20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4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</w:rPr>
      <w:t xml:space="preserve"> z </w:t>
    </w:r>
    <w:r>
      <w:rPr>
        <w:rFonts w:cs="Arial" w:ascii="Arial" w:hAnsi="Arial"/>
        <w:sz w:val="20"/>
        <w:szCs w:val="20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4</w:t>
    </w:r>
    <w:r>
      <w:rPr>
        <w:sz w:val="20"/>
        <w:szCs w:val="20"/>
        <w:rFonts w:cs="Arial" w:ascii="Arial" w:hAnsi="Arial"/>
      </w:rPr>
      <w:fldChar w:fldCharType="end"/>
    </w:r>
  </w:p>
  <w:p>
    <w:pPr>
      <w:pStyle w:val="Pta"/>
      <w:ind w:right="360" w:hanging="0"/>
      <w:rPr/>
    </w:pPr>
    <w:r>
      <w:rPr/>
    </w:r>
  </w:p>
  <w:p>
    <w:pPr>
      <w:pStyle w:val="Normal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ind w:right="360" w:hanging="0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5" wp14:anchorId="1B90C43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4020" cy="248920"/>
              <wp:effectExtent l="0" t="0" r="0" b="635"/>
              <wp:wrapNone/>
              <wp:docPr id="1" name="Textové pole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83360" cy="248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color w:val="auto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6" fillcolor="white" stroked="t" style="position:absolute;margin-left:2.2pt;margin-top:1.8pt;width:132.5pt;height:19.5pt" wp14:anchorId="1B90C43F">
              <w10:wrap type="square"/>
              <v:fill o:detectmouseclick="t" type="solid" color2="black"/>
              <v:stroke color="black" weight="720" joinstyle="round" endcap="flat"/>
              <v:textbox>
                <w:txbxContent>
                  <w:p>
                    <w:pPr>
                      <w:pStyle w:val="Obsahrmca"/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cs="Arial" w:ascii="Arial" w:hAnsi="Arial"/>
                        <w:color w:val="auto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114300" distR="114300" simplePos="0" locked="0" layoutInCell="1" allowOverlap="1" relativeHeight="9" wp14:anchorId="00C6EC54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7795" cy="240665"/>
              <wp:effectExtent l="0" t="0" r="3810" b="8890"/>
              <wp:wrapNone/>
              <wp:docPr id="3" name="Textové pole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07240" cy="2401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color w:val="auto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7" w:name="DIC"/>
                          <w:bookmarkStart w:id="8" w:name="DIC_END"/>
                          <w:bookmarkEnd w:id="7"/>
                          <w:bookmarkEnd w:id="8"/>
                          <w:r>
                            <w:rPr>
                              <w:rFonts w:cs="Arial" w:ascii="Arial" w:hAnsi="Arial"/>
                              <w:color w:val="auto"/>
                              <w:sz w:val="20"/>
                              <w:szCs w:val="20"/>
                              <w:lang w:val="cs-CZ"/>
                            </w:rPr>
                            <w:t>2021793246</w:t>
                          </w: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5" fillcolor="white" stroked="t" style="position:absolute;margin-left:349.45pt;margin-top:1.8pt;width:110.75pt;height:18.85pt" wp14:anchorId="00C6EC54">
              <w10:wrap type="square"/>
              <v:fill o:detectmouseclick="t" type="solid" color2="black"/>
              <v:stroke color="black" weight="720" joinstyle="round" endcap="flat"/>
              <v:textbox>
                <w:txbxContent>
                  <w:p>
                    <w:pPr>
                      <w:pStyle w:val="Obsahrmca"/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cs="Arial" w:ascii="Arial" w:hAnsi="Arial"/>
                        <w:color w:val="auto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9" w:name="DIC"/>
                    <w:bookmarkStart w:id="10" w:name="DIC_END"/>
                    <w:bookmarkEnd w:id="9"/>
                    <w:bookmarkEnd w:id="10"/>
                    <w:r>
                      <w:rPr>
                        <w:rFonts w:cs="Arial" w:ascii="Arial" w:hAnsi="Arial"/>
                        <w:color w:val="auto"/>
                        <w:sz w:val="20"/>
                        <w:szCs w:val="20"/>
                        <w:lang w:val="cs-CZ"/>
                      </w:rPr>
                      <w:t>2021793246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114300" distR="114300" simplePos="0" locked="0" layoutInCell="1" allowOverlap="1" relativeHeight="13" wp14:anchorId="3DC0F42F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7795" cy="248920"/>
              <wp:effectExtent l="0" t="0" r="3810" b="635"/>
              <wp:wrapNone/>
              <wp:docPr id="5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07240" cy="248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72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color w:val="auto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11" w:name="ICO"/>
                          <w:bookmarkStart w:id="12" w:name="ICO_END"/>
                          <w:bookmarkEnd w:id="11"/>
                          <w:bookmarkEnd w:id="12"/>
                          <w:r>
                            <w:rPr>
                              <w:rFonts w:cs="Arial" w:ascii="Arial" w:hAnsi="Arial"/>
                              <w:color w:val="auto"/>
                              <w:sz w:val="20"/>
                              <w:szCs w:val="20"/>
                              <w:lang w:val="cs-CZ"/>
                            </w:rPr>
                            <w:t>36489204</w:t>
                          </w: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fillcolor="white" stroked="t" style="position:absolute;margin-left:230.95pt;margin-top:1.8pt;width:110.75pt;height:19.5pt" wp14:anchorId="3DC0F42F">
              <w10:wrap type="square"/>
              <v:fill o:detectmouseclick="t" type="solid" color2="black"/>
              <v:stroke color="black" weight="720" joinstyle="round" endcap="flat"/>
              <v:textbox>
                <w:txbxContent>
                  <w:p>
                    <w:pPr>
                      <w:pStyle w:val="Obsahrmca"/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cs="Arial" w:ascii="Arial" w:hAnsi="Arial"/>
                        <w:color w:val="auto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3" w:name="ICO"/>
                    <w:bookmarkStart w:id="14" w:name="ICO_END"/>
                    <w:bookmarkEnd w:id="13"/>
                    <w:bookmarkEnd w:id="14"/>
                    <w:r>
                      <w:rPr>
                        <w:rFonts w:cs="Arial" w:ascii="Arial" w:hAnsi="Arial"/>
                        <w:color w:val="auto"/>
                        <w:sz w:val="20"/>
                        <w:szCs w:val="20"/>
                        <w:lang w:val="cs-CZ"/>
                      </w:rPr>
                      <w:t>36489204</w:t>
                    </w:r>
                  </w:p>
                </w:txbxContent>
              </v:textbox>
            </v:rect>
          </w:pict>
        </mc:Fallback>
      </mc:AlternateContent>
    </w:r>
  </w:p>
  <w:p>
    <w:pPr>
      <w:pStyle w:val="Normal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embedSystemFonts/>
  <w:defaultTabStop w:val="709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semiHidden="1" w:unhideWhenUsed="1" w:qFormat="1"/>
    <w:lsdException w:name="heading 6" w:locked="1" w:uiPriority="9" w:semiHidden="1" w:unhideWhenUsed="1" w:qFormat="1"/>
    <w:lsdException w:name="heading 7" w:locked="1" w:uiPriority="9" w:semiHidden="1" w:unhideWhenUsed="1" w:qFormat="1"/>
    <w:lsdException w:name="heading 8" w:locked="1" w:uiPriority="9" w:semiHidden="1" w:unhideWhenUsed="1" w:qFormat="1"/>
    <w:lsdException w:name="heading 9" w:locked="1" w:uiPriority="9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uiPriority="39" w:semiHidden="1" w:unhideWhenUsed="1"/>
    <w:lsdException w:name="toc 2" w:locked="1" w:uiPriority="39" w:semiHidden="1" w:unhideWhenUsed="1"/>
    <w:lsdException w:name="toc 3" w:locked="1" w:uiPriority="39" w:semiHidden="1" w:unhideWhenUsed="1"/>
    <w:lsdException w:name="toc 4" w:locked="1" w:uiPriority="39" w:semiHidden="1" w:unhideWhenUsed="1"/>
    <w:lsdException w:name="toc 5" w:locked="1" w:uiPriority="39" w:semiHidden="1" w:unhideWhenUsed="1"/>
    <w:lsdException w:name="toc 6" w:locked="1" w:uiPriority="39" w:semiHidden="1" w:unhideWhenUsed="1"/>
    <w:lsdException w:name="toc 7" w:locked="1" w:uiPriority="39" w:semiHidden="1" w:unhideWhenUsed="1"/>
    <w:lsdException w:name="toc 8" w:locked="1" w:uiPriority="39" w:semiHidden="1" w:unhideWhenUsed="1"/>
    <w:lsdException w:name="toc 9" w:locked="1" w:uiPriority="39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uiPriority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 w:semiHidden="1" w:unhideWhenUs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paragraph" w:styleId="Nadpis1">
    <w:name w:val="Heading 1"/>
    <w:basedOn w:val="Normal"/>
    <w:next w:val="Normal"/>
    <w:link w:val="Nadpis1Char"/>
    <w:uiPriority w:val="99"/>
    <w:qFormat/>
    <w:pPr>
      <w:keepNext w:val="true"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al"/>
    <w:next w:val="Normal"/>
    <w:link w:val="Nadpis2Char"/>
    <w:uiPriority w:val="99"/>
    <w:qFormat/>
    <w:pPr>
      <w:keepNext w:val="true"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al"/>
    <w:next w:val="Normal"/>
    <w:link w:val="Nadpis3Char"/>
    <w:uiPriority w:val="99"/>
    <w:qFormat/>
    <w:pPr>
      <w:keepNext w:val="true"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al"/>
    <w:next w:val="Normal"/>
    <w:link w:val="Nadpis4Char"/>
    <w:uiPriority w:val="99"/>
    <w:qFormat/>
    <w:pPr>
      <w:keepNext w:val="true"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uiPriority w:val="9"/>
    <w:qFormat/>
    <w:rsid w:val="00953cd2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uiPriority w:val="9"/>
    <w:semiHidden/>
    <w:qFormat/>
    <w:rsid w:val="00953cd2"/>
    <w:rPr>
      <w:rFonts w:ascii="Cambria" w:hAnsi="Cambria" w:eastAsia="" w:cs="" w:asciiTheme="majorHAnsi" w:cstheme="majorBidi" w:eastAsiaTheme="majorEastAsia" w:hAnsiTheme="majorHAnsi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uiPriority w:val="9"/>
    <w:semiHidden/>
    <w:qFormat/>
    <w:rsid w:val="00953cd2"/>
    <w:rPr>
      <w:rFonts w:ascii="Cambria" w:hAnsi="Cambria" w:eastAsia="" w:cs="" w:asciiTheme="majorHAnsi" w:cstheme="majorBidi" w:eastAsiaTheme="majorEastAsia" w:hAnsiTheme="majorHAnsi"/>
      <w:b/>
      <w:bCs/>
      <w:sz w:val="26"/>
      <w:szCs w:val="26"/>
    </w:rPr>
  </w:style>
  <w:style w:type="character" w:styleId="Heading4Char" w:customStyle="1">
    <w:name w:val="Heading 4 Char"/>
    <w:basedOn w:val="DefaultParagraphFont"/>
    <w:uiPriority w:val="9"/>
    <w:semiHidden/>
    <w:qFormat/>
    <w:rsid w:val="00953cd2"/>
    <w:rPr>
      <w:rFonts w:ascii="Calibri" w:hAnsi="Calibri" w:eastAsia="" w:cs="" w:asciiTheme="minorHAnsi" w:cstheme="minorBidi" w:eastAsiaTheme="minorEastAsia" w:hAnsiTheme="minorHAnsi"/>
      <w:b/>
      <w:bCs/>
      <w:sz w:val="28"/>
      <w:szCs w:val="28"/>
    </w:rPr>
  </w:style>
  <w:style w:type="character" w:styleId="Nadpis1Char" w:customStyle="1">
    <w:name w:val="Nadpis 1 Char"/>
    <w:basedOn w:val="DefaultParagraphFont"/>
    <w:link w:val="Nadpis1"/>
    <w:uiPriority w:val="99"/>
    <w:qFormat/>
    <w:locked/>
    <w:rPr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qFormat/>
    <w:locked/>
    <w:rPr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qFormat/>
    <w:locked/>
    <w:rPr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qFormat/>
    <w:locked/>
    <w:rPr>
      <w:b/>
      <w:bCs/>
      <w:sz w:val="28"/>
      <w:szCs w:val="28"/>
    </w:rPr>
  </w:style>
  <w:style w:type="character" w:styleId="HeaderChar" w:customStyle="1">
    <w:name w:val="Header Char"/>
    <w:basedOn w:val="DefaultParagraphFont"/>
    <w:uiPriority w:val="99"/>
    <w:semiHidden/>
    <w:qFormat/>
    <w:rsid w:val="00953cd2"/>
    <w:rPr>
      <w:rFonts w:ascii="Times New Roman" w:hAnsi="Times New Roman"/>
      <w:sz w:val="24"/>
      <w:szCs w:val="24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Pr>
      <w:rFonts w:ascii="Times New Roman" w:hAnsi="Times New Roman" w:cs="Times New Roman"/>
      <w:sz w:val="24"/>
      <w:szCs w:val="24"/>
    </w:rPr>
  </w:style>
  <w:style w:type="character" w:styleId="FooterChar" w:customStyle="1">
    <w:name w:val="Footer Char"/>
    <w:basedOn w:val="DefaultParagraphFont"/>
    <w:uiPriority w:val="99"/>
    <w:semiHidden/>
    <w:qFormat/>
    <w:rsid w:val="00953cd2"/>
    <w:rPr>
      <w:rFonts w:ascii="Times New Roman" w:hAnsi="Times New Roman"/>
      <w:sz w:val="24"/>
      <w:szCs w:val="24"/>
    </w:rPr>
  </w:style>
  <w:style w:type="character" w:styleId="PtaChar" w:customStyle="1">
    <w:name w:val="Päta Char"/>
    <w:basedOn w:val="DefaultParagraphFont"/>
    <w:link w:val="Pta"/>
    <w:uiPriority w:val="99"/>
    <w:qFormat/>
    <w:locked/>
    <w:rPr>
      <w:rFonts w:ascii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uiPriority w:val="99"/>
    <w:qFormat/>
    <w:rPr/>
  </w:style>
  <w:style w:type="character" w:styleId="BodyTextChar" w:customStyle="1">
    <w:name w:val="Body Text Char"/>
    <w:basedOn w:val="DefaultParagraphFont"/>
    <w:uiPriority w:val="99"/>
    <w:semiHidden/>
    <w:qFormat/>
    <w:rsid w:val="00953cd2"/>
    <w:rPr>
      <w:rFonts w:ascii="Times New Roman" w:hAnsi="Times New Roman"/>
      <w:sz w:val="24"/>
      <w:szCs w:val="24"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locked/>
    <w:rPr>
      <w:rFonts w:ascii="Times New Roman" w:hAnsi="Times New Roman" w:cs="Times New Roman"/>
      <w:sz w:val="24"/>
      <w:szCs w:val="24"/>
    </w:rPr>
  </w:style>
  <w:style w:type="character" w:styleId="BalloonTextChar" w:customStyle="1">
    <w:name w:val="Balloon Text Char"/>
    <w:basedOn w:val="DefaultParagraphFont"/>
    <w:uiPriority w:val="99"/>
    <w:semiHidden/>
    <w:qFormat/>
    <w:rsid w:val="00953cd2"/>
    <w:rPr>
      <w:rFonts w:ascii="Times New Roman" w:hAnsi="Times New Roman"/>
      <w:sz w:val="0"/>
      <w:szCs w:val="0"/>
    </w:rPr>
  </w:style>
  <w:style w:type="character" w:styleId="TextbublinyChar" w:customStyle="1">
    <w:name w:val="Text bubliny Char"/>
    <w:basedOn w:val="DefaultParagraphFont"/>
    <w:link w:val="Textbubliny"/>
    <w:uiPriority w:val="99"/>
    <w:qFormat/>
    <w:locked/>
    <w:rPr>
      <w:rFonts w:ascii="Tahoma" w:hAnsi="Tahoma" w:cs="Tahoma"/>
      <w:sz w:val="16"/>
      <w:szCs w:val="16"/>
    </w:rPr>
  </w:style>
  <w:style w:type="character" w:styleId="TaxEditChar" w:customStyle="1">
    <w:name w:val="TaxEdit Char"/>
    <w:basedOn w:val="DefaultParagraphFont"/>
    <w:uiPriority w:val="99"/>
    <w:qFormat/>
    <w:rPr>
      <w:rFonts w:ascii="Arial" w:hAnsi="Arial" w:cs="Arial"/>
      <w:b/>
      <w:bCs/>
      <w:sz w:val="22"/>
      <w:szCs w:val="22"/>
    </w:rPr>
  </w:style>
  <w:style w:type="character" w:styleId="TaxEditChar1" w:customStyle="1">
    <w:name w:val="TaxEdit Char1"/>
    <w:basedOn w:val="DefaultParagraphFont"/>
    <w:uiPriority w:val="99"/>
    <w:qFormat/>
    <w:rPr>
      <w:rFonts w:ascii="Arial" w:hAnsi="Arial" w:cs="Arial"/>
      <w:b/>
      <w:bCs/>
    </w:rPr>
  </w:style>
  <w:style w:type="character" w:styleId="TaxEdit2Char" w:customStyle="1">
    <w:name w:val="TaxEdit2 Char"/>
    <w:basedOn w:val="TaxEditChar1"/>
    <w:uiPriority w:val="99"/>
    <w:qFormat/>
    <w:rPr>
      <w:rFonts w:ascii="Arial" w:hAnsi="Arial" w:cs="Arial"/>
      <w:b/>
      <w:bCs/>
    </w:rPr>
  </w:style>
  <w:style w:type="character" w:styleId="Styl3Char" w:customStyle="1">
    <w:name w:val="Styl3 Char"/>
    <w:basedOn w:val="Nadpis3Char"/>
    <w:uiPriority w:val="99"/>
    <w:qFormat/>
    <w:rPr>
      <w:rFonts w:ascii="Arial Narrow" w:hAnsi="Arial Narrow" w:cs="Arial Narrow"/>
      <w:b/>
      <w:bCs/>
      <w:caps/>
      <w:sz w:val="18"/>
      <w:szCs w:val="18"/>
    </w:rPr>
  </w:style>
  <w:style w:type="character" w:styleId="Styl4Char" w:customStyle="1">
    <w:name w:val="Styl4 Char"/>
    <w:basedOn w:val="Styl3Char"/>
    <w:uiPriority w:val="99"/>
    <w:qFormat/>
    <w:rPr>
      <w:rFonts w:ascii="Arial Narrow" w:hAnsi="Arial Narrow" w:cs="Arial Narrow"/>
      <w:b/>
      <w:bCs/>
      <w:caps/>
      <w:sz w:val="18"/>
      <w:szCs w:val="18"/>
    </w:rPr>
  </w:style>
  <w:style w:type="character" w:styleId="ListLabel1" w:customStyle="1">
    <w:name w:val="ListLabel 1"/>
    <w:qFormat/>
    <w:rPr>
      <w:rFonts w:cs="Wingdings"/>
    </w:rPr>
  </w:style>
  <w:style w:type="character" w:styleId="ListLabel2" w:customStyle="1">
    <w:name w:val="ListLabel 2"/>
    <w:qFormat/>
    <w:rPr>
      <w:rFonts w:cs="Wingdings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Wingdings"/>
    </w:rPr>
  </w:style>
  <w:style w:type="character" w:styleId="ListLabel5" w:customStyle="1">
    <w:name w:val="ListLabel 5"/>
    <w:qFormat/>
    <w:rPr>
      <w:rFonts w:cs="Symbol"/>
    </w:rPr>
  </w:style>
  <w:style w:type="character" w:styleId="ListLabel6" w:customStyle="1">
    <w:name w:val="ListLabel 6"/>
    <w:qFormat/>
    <w:rPr>
      <w:rFonts w:cs="Courier New"/>
    </w:rPr>
  </w:style>
  <w:style w:type="character" w:styleId="ListLabel7" w:customStyle="1">
    <w:name w:val="ListLabel 7"/>
    <w:qFormat/>
    <w:rPr>
      <w:rFonts w:cs="Wingdings"/>
    </w:rPr>
  </w:style>
  <w:style w:type="character" w:styleId="ListLabel8" w:customStyle="1">
    <w:name w:val="ListLabel 8"/>
    <w:qFormat/>
    <w:rPr>
      <w:rFonts w:cs="Symbol"/>
    </w:rPr>
  </w:style>
  <w:style w:type="character" w:styleId="ListLabel9" w:customStyle="1">
    <w:name w:val="ListLabel 9"/>
    <w:qFormat/>
    <w:rPr>
      <w:rFonts w:cs="Courier New"/>
    </w:rPr>
  </w:style>
  <w:style w:type="character" w:styleId="ListLabel10" w:customStyle="1">
    <w:name w:val="ListLabel 10"/>
    <w:qFormat/>
    <w:rPr>
      <w:rFonts w:cs="Wingdings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Wingdings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Wingdings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Wingdings"/>
    </w:rPr>
  </w:style>
  <w:style w:type="character" w:styleId="ListLabel39" w:customStyle="1">
    <w:name w:val="ListLabel 39"/>
    <w:qFormat/>
    <w:rPr>
      <w:rFonts w:cs="Courier New"/>
    </w:rPr>
  </w:style>
  <w:style w:type="character" w:styleId="ListLabel40" w:customStyle="1">
    <w:name w:val="ListLabel 40"/>
    <w:qFormat/>
    <w:rPr>
      <w:rFonts w:cs="Wingdings"/>
    </w:rPr>
  </w:style>
  <w:style w:type="character" w:styleId="ListLabel41" w:customStyle="1">
    <w:name w:val="ListLabel 41"/>
    <w:qFormat/>
    <w:rPr>
      <w:rFonts w:cs="Symbol"/>
    </w:rPr>
  </w:style>
  <w:style w:type="character" w:styleId="ListLabel42" w:customStyle="1">
    <w:name w:val="ListLabel 42"/>
    <w:qFormat/>
    <w:rPr>
      <w:rFonts w:cs="Courier New"/>
    </w:rPr>
  </w:style>
  <w:style w:type="character" w:styleId="ListLabel43" w:customStyle="1">
    <w:name w:val="ListLabel 43"/>
    <w:qFormat/>
    <w:rPr>
      <w:rFonts w:cs="Wingdings"/>
    </w:rPr>
  </w:style>
  <w:style w:type="character" w:styleId="ListLabel44" w:customStyle="1">
    <w:name w:val="ListLabel 44"/>
    <w:qFormat/>
    <w:rPr>
      <w:rFonts w:cs="Symbol"/>
    </w:rPr>
  </w:style>
  <w:style w:type="character" w:styleId="ListLabel45" w:customStyle="1">
    <w:name w:val="ListLabel 45"/>
    <w:qFormat/>
    <w:rPr>
      <w:rFonts w:cs="Courier New"/>
    </w:rPr>
  </w:style>
  <w:style w:type="character" w:styleId="ListLabel46" w:customStyle="1">
    <w:name w:val="ListLabel 46"/>
    <w:qFormat/>
    <w:rPr>
      <w:rFonts w:cs="Wingdings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Wingdings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Courier New"/>
    </w:rPr>
  </w:style>
  <w:style w:type="character" w:styleId="ListLabel65" w:customStyle="1">
    <w:name w:val="ListLabel 65"/>
    <w:qFormat/>
    <w:rPr>
      <w:rFonts w:cs="Wingdings"/>
    </w:rPr>
  </w:style>
  <w:style w:type="character" w:styleId="ListLabel66" w:customStyle="1">
    <w:name w:val="ListLabel 66"/>
    <w:qFormat/>
    <w:rPr>
      <w:rFonts w:cs="Symbol"/>
    </w:rPr>
  </w:style>
  <w:style w:type="character" w:styleId="ListLabel67" w:customStyle="1">
    <w:name w:val="ListLabel 67"/>
    <w:qFormat/>
    <w:rPr>
      <w:rFonts w:cs="Courier New"/>
    </w:rPr>
  </w:style>
  <w:style w:type="character" w:styleId="ListLabel68" w:customStyle="1">
    <w:name w:val="ListLabel 68"/>
    <w:qFormat/>
    <w:rPr>
      <w:rFonts w:cs="Wingdings"/>
    </w:rPr>
  </w:style>
  <w:style w:type="character" w:styleId="ListLabel69" w:customStyle="1">
    <w:name w:val="ListLabel 69"/>
    <w:qFormat/>
    <w:rPr>
      <w:rFonts w:cs="Symbol"/>
    </w:rPr>
  </w:style>
  <w:style w:type="character" w:styleId="ListLabel70" w:customStyle="1">
    <w:name w:val="ListLabel 70"/>
    <w:qFormat/>
    <w:rPr>
      <w:rFonts w:cs="Courier New"/>
    </w:rPr>
  </w:style>
  <w:style w:type="character" w:styleId="ListLabel71" w:customStyle="1">
    <w:name w:val="ListLabel 71"/>
    <w:qFormat/>
    <w:rPr>
      <w:rFonts w:cs="Wingdings"/>
    </w:rPr>
  </w:style>
  <w:style w:type="character" w:styleId="ListLabel72" w:customStyle="1">
    <w:name w:val="ListLabel 72"/>
    <w:qFormat/>
    <w:rPr>
      <w:rFonts w:cs="Courier New"/>
    </w:rPr>
  </w:style>
  <w:style w:type="character" w:styleId="ListLabel73" w:customStyle="1">
    <w:name w:val="ListLabel 73"/>
    <w:qFormat/>
    <w:rPr>
      <w:rFonts w:cs="Wingdings"/>
    </w:rPr>
  </w:style>
  <w:style w:type="character" w:styleId="ListLabel74" w:customStyle="1">
    <w:name w:val="ListLabel 74"/>
    <w:qFormat/>
    <w:rPr>
      <w:rFonts w:cs="Symbol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Courier New"/>
    </w:rPr>
  </w:style>
  <w:style w:type="character" w:styleId="ListLabel81" w:customStyle="1">
    <w:name w:val="ListLabel 81"/>
    <w:qFormat/>
    <w:rPr>
      <w:rFonts w:cs="Wingdings"/>
    </w:rPr>
  </w:style>
  <w:style w:type="character" w:styleId="ListLabel82" w:customStyle="1">
    <w:name w:val="ListLabel 82"/>
    <w:qFormat/>
    <w:rPr>
      <w:rFonts w:cs="Symbol"/>
    </w:rPr>
  </w:style>
  <w:style w:type="character" w:styleId="ListLabel83" w:customStyle="1">
    <w:name w:val="ListLabel 83"/>
    <w:qFormat/>
    <w:rPr>
      <w:rFonts w:cs="Courier New"/>
    </w:rPr>
  </w:style>
  <w:style w:type="character" w:styleId="ListLabel84" w:customStyle="1">
    <w:name w:val="ListLabel 84"/>
    <w:qFormat/>
    <w:rPr>
      <w:rFonts w:cs="Wingdings"/>
    </w:rPr>
  </w:style>
  <w:style w:type="character" w:styleId="ListLabel85" w:customStyle="1">
    <w:name w:val="ListLabel 85"/>
    <w:qFormat/>
    <w:rPr>
      <w:rFonts w:cs="Symbol"/>
    </w:rPr>
  </w:style>
  <w:style w:type="character" w:styleId="ListLabel86" w:customStyle="1">
    <w:name w:val="ListLabel 86"/>
    <w:qFormat/>
    <w:rPr>
      <w:rFonts w:cs="Courier New"/>
    </w:rPr>
  </w:style>
  <w:style w:type="character" w:styleId="ListLabel87" w:customStyle="1">
    <w:name w:val="ListLabel 87"/>
    <w:qFormat/>
    <w:rPr>
      <w:rFonts w:cs="Wingdings"/>
    </w:rPr>
  </w:style>
  <w:style w:type="character" w:styleId="ListLabel88" w:customStyle="1">
    <w:name w:val="ListLabel 88"/>
    <w:qFormat/>
    <w:rPr>
      <w:rFonts w:cs="Courier New"/>
    </w:rPr>
  </w:style>
  <w:style w:type="character" w:styleId="ListLabel89" w:customStyle="1">
    <w:name w:val="ListLabel 89"/>
    <w:qFormat/>
    <w:rPr>
      <w:rFonts w:cs="Wingdings"/>
    </w:rPr>
  </w:style>
  <w:style w:type="character" w:styleId="ListLabel90" w:customStyle="1">
    <w:name w:val="ListLabel 90"/>
    <w:qFormat/>
    <w:rPr>
      <w:rFonts w:cs="Symbol"/>
    </w:rPr>
  </w:style>
  <w:style w:type="character" w:styleId="ListLabel91" w:customStyle="1">
    <w:name w:val="ListLabel 91"/>
    <w:qFormat/>
    <w:rPr>
      <w:rFonts w:cs="Courier New"/>
    </w:rPr>
  </w:style>
  <w:style w:type="character" w:styleId="ListLabel92" w:customStyle="1">
    <w:name w:val="ListLabel 92"/>
    <w:qFormat/>
    <w:rPr>
      <w:rFonts w:cs="Wingdings"/>
    </w:rPr>
  </w:style>
  <w:style w:type="character" w:styleId="ListLabel93" w:customStyle="1">
    <w:name w:val="ListLabel 93"/>
    <w:qFormat/>
    <w:rPr>
      <w:rFonts w:cs="Symbol"/>
    </w:rPr>
  </w:style>
  <w:style w:type="character" w:styleId="ListLabel94" w:customStyle="1">
    <w:name w:val="ListLabel 94"/>
    <w:qFormat/>
    <w:rPr>
      <w:rFonts w:cs="Courier New"/>
    </w:rPr>
  </w:style>
  <w:style w:type="character" w:styleId="ListLabel95" w:customStyle="1">
    <w:name w:val="ListLabel 95"/>
    <w:qFormat/>
    <w:rPr>
      <w:rFonts w:cs="Wingdings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rFonts w:cs="Symbol"/>
    </w:rPr>
  </w:style>
  <w:style w:type="character" w:styleId="ListLabel102" w:customStyle="1">
    <w:name w:val="ListLabel 102"/>
    <w:qFormat/>
    <w:rPr>
      <w:rFonts w:cs="Courier New"/>
    </w:rPr>
  </w:style>
  <w:style w:type="character" w:styleId="ListLabel103" w:customStyle="1">
    <w:name w:val="ListLabel 103"/>
    <w:qFormat/>
    <w:rPr>
      <w:rFonts w:cs="Wingdings"/>
    </w:rPr>
  </w:style>
  <w:style w:type="character" w:styleId="ListLabel104" w:customStyle="1">
    <w:name w:val="ListLabel 104"/>
    <w:qFormat/>
    <w:rPr>
      <w:b/>
      <w:bCs/>
      <w:sz w:val="22"/>
      <w:szCs w:val="22"/>
    </w:rPr>
  </w:style>
  <w:style w:type="character" w:styleId="ListLabel105" w:customStyle="1">
    <w:name w:val="ListLabel 105"/>
    <w:qFormat/>
    <w:rPr>
      <w:rFonts w:cs="Wingdings"/>
    </w:rPr>
  </w:style>
  <w:style w:type="character" w:styleId="ListLabel106" w:customStyle="1">
    <w:name w:val="ListLabel 106"/>
    <w:qFormat/>
    <w:rPr>
      <w:rFonts w:cs="Wingdings"/>
    </w:rPr>
  </w:style>
  <w:style w:type="character" w:styleId="ListLabel107" w:customStyle="1">
    <w:name w:val="ListLabel 107"/>
    <w:qFormat/>
    <w:rPr>
      <w:rFonts w:cs="Wingdings"/>
    </w:rPr>
  </w:style>
  <w:style w:type="character" w:styleId="ListLabel108" w:customStyle="1">
    <w:name w:val="ListLabel 108"/>
    <w:qFormat/>
    <w:rPr>
      <w:rFonts w:cs="Wingdings"/>
    </w:rPr>
  </w:style>
  <w:style w:type="character" w:styleId="ListLabel109" w:customStyle="1">
    <w:name w:val="ListLabel 109"/>
    <w:qFormat/>
    <w:rPr>
      <w:rFonts w:cs="Wingdings"/>
    </w:rPr>
  </w:style>
  <w:style w:type="character" w:styleId="ListLabel110" w:customStyle="1">
    <w:name w:val="ListLabel 110"/>
    <w:qFormat/>
    <w:rPr>
      <w:rFonts w:cs="Wingdings"/>
    </w:rPr>
  </w:style>
  <w:style w:type="character" w:styleId="ListLabel111" w:customStyle="1">
    <w:name w:val="ListLabel 111"/>
    <w:qFormat/>
    <w:rPr>
      <w:rFonts w:cs="Courier New"/>
    </w:rPr>
  </w:style>
  <w:style w:type="character" w:styleId="ListLabel112" w:customStyle="1">
    <w:name w:val="ListLabel 112"/>
    <w:qFormat/>
    <w:rPr>
      <w:rFonts w:cs="Wingdings"/>
    </w:rPr>
  </w:style>
  <w:style w:type="character" w:styleId="ListLabel113" w:customStyle="1">
    <w:name w:val="ListLabel 113"/>
    <w:qFormat/>
    <w:rPr>
      <w:rFonts w:cs="Symbol"/>
    </w:rPr>
  </w:style>
  <w:style w:type="character" w:styleId="ListLabel114" w:customStyle="1">
    <w:name w:val="ListLabel 114"/>
    <w:qFormat/>
    <w:rPr>
      <w:rFonts w:cs="Courier New"/>
    </w:rPr>
  </w:style>
  <w:style w:type="character" w:styleId="ListLabel115" w:customStyle="1">
    <w:name w:val="ListLabel 115"/>
    <w:qFormat/>
    <w:rPr>
      <w:rFonts w:cs="Wingdings"/>
    </w:rPr>
  </w:style>
  <w:style w:type="character" w:styleId="ListLabel116" w:customStyle="1">
    <w:name w:val="ListLabel 116"/>
    <w:qFormat/>
    <w:rPr>
      <w:rFonts w:cs="Symbol"/>
    </w:rPr>
  </w:style>
  <w:style w:type="character" w:styleId="ListLabel117" w:customStyle="1">
    <w:name w:val="ListLabel 117"/>
    <w:qFormat/>
    <w:rPr>
      <w:rFonts w:cs="Courier New"/>
    </w:rPr>
  </w:style>
  <w:style w:type="character" w:styleId="ListLabel118" w:customStyle="1">
    <w:name w:val="ListLabel 118"/>
    <w:qFormat/>
    <w:rPr>
      <w:rFonts w:cs="Wingdings"/>
    </w:rPr>
  </w:style>
  <w:style w:type="character" w:styleId="ListLabel119" w:customStyle="1">
    <w:name w:val="ListLabel 119"/>
    <w:qFormat/>
    <w:rPr>
      <w:rFonts w:cs="Wingdings"/>
    </w:rPr>
  </w:style>
  <w:style w:type="character" w:styleId="ListLabel120" w:customStyle="1">
    <w:name w:val="ListLabel 120"/>
    <w:qFormat/>
    <w:rPr>
      <w:rFonts w:cs="Courier New"/>
    </w:rPr>
  </w:style>
  <w:style w:type="character" w:styleId="ListLabel121" w:customStyle="1">
    <w:name w:val="ListLabel 121"/>
    <w:qFormat/>
    <w:rPr>
      <w:rFonts w:cs="Wingdings"/>
    </w:rPr>
  </w:style>
  <w:style w:type="character" w:styleId="ListLabel122" w:customStyle="1">
    <w:name w:val="ListLabel 122"/>
    <w:qFormat/>
    <w:rPr>
      <w:rFonts w:cs="Symbol"/>
    </w:rPr>
  </w:style>
  <w:style w:type="character" w:styleId="ListLabel123" w:customStyle="1">
    <w:name w:val="ListLabel 123"/>
    <w:qFormat/>
    <w:rPr>
      <w:rFonts w:cs="Courier New"/>
    </w:rPr>
  </w:style>
  <w:style w:type="character" w:styleId="ListLabel124" w:customStyle="1">
    <w:name w:val="ListLabel 124"/>
    <w:qFormat/>
    <w:rPr>
      <w:rFonts w:cs="Wingdings"/>
    </w:rPr>
  </w:style>
  <w:style w:type="character" w:styleId="ListLabel125" w:customStyle="1">
    <w:name w:val="ListLabel 125"/>
    <w:qFormat/>
    <w:rPr>
      <w:rFonts w:cs="Symbol"/>
    </w:rPr>
  </w:style>
  <w:style w:type="character" w:styleId="ListLabel126" w:customStyle="1">
    <w:name w:val="ListLabel 126"/>
    <w:qFormat/>
    <w:rPr>
      <w:rFonts w:cs="Courier New"/>
    </w:rPr>
  </w:style>
  <w:style w:type="character" w:styleId="ListLabel127" w:customStyle="1">
    <w:name w:val="ListLabel 127"/>
    <w:qFormat/>
    <w:rPr>
      <w:rFonts w:cs="Wingdings"/>
    </w:rPr>
  </w:style>
  <w:style w:type="character" w:styleId="ListLabel128" w:customStyle="1">
    <w:name w:val="ListLabel 128"/>
    <w:qFormat/>
    <w:rPr>
      <w:rFonts w:cs="Wingdings"/>
    </w:rPr>
  </w:style>
  <w:style w:type="character" w:styleId="ListLabel129" w:customStyle="1">
    <w:name w:val="ListLabel 129"/>
    <w:qFormat/>
    <w:rPr>
      <w:rFonts w:cs="Courier New"/>
    </w:rPr>
  </w:style>
  <w:style w:type="character" w:styleId="ListLabel130" w:customStyle="1">
    <w:name w:val="ListLabel 130"/>
    <w:qFormat/>
    <w:rPr>
      <w:rFonts w:cs="Wingdings"/>
    </w:rPr>
  </w:style>
  <w:style w:type="character" w:styleId="ListLabel131" w:customStyle="1">
    <w:name w:val="ListLabel 131"/>
    <w:qFormat/>
    <w:rPr>
      <w:rFonts w:cs="Symbol"/>
    </w:rPr>
  </w:style>
  <w:style w:type="character" w:styleId="ListLabel132" w:customStyle="1">
    <w:name w:val="ListLabel 132"/>
    <w:qFormat/>
    <w:rPr>
      <w:rFonts w:cs="Courier New"/>
    </w:rPr>
  </w:style>
  <w:style w:type="character" w:styleId="ListLabel133" w:customStyle="1">
    <w:name w:val="ListLabel 133"/>
    <w:qFormat/>
    <w:rPr>
      <w:rFonts w:cs="Wingdings"/>
    </w:rPr>
  </w:style>
  <w:style w:type="character" w:styleId="ListLabel134" w:customStyle="1">
    <w:name w:val="ListLabel 134"/>
    <w:qFormat/>
    <w:rPr>
      <w:rFonts w:cs="Symbol"/>
    </w:rPr>
  </w:style>
  <w:style w:type="character" w:styleId="ListLabel135" w:customStyle="1">
    <w:name w:val="ListLabel 135"/>
    <w:qFormat/>
    <w:rPr>
      <w:rFonts w:cs="Courier New"/>
    </w:rPr>
  </w:style>
  <w:style w:type="character" w:styleId="ListLabel136" w:customStyle="1">
    <w:name w:val="ListLabel 136"/>
    <w:qFormat/>
    <w:rPr>
      <w:rFonts w:cs="Wingdings"/>
    </w:rPr>
  </w:style>
  <w:style w:type="character" w:styleId="ListLabel137" w:customStyle="1">
    <w:name w:val="ListLabel 137"/>
    <w:qFormat/>
    <w:rPr>
      <w:rFonts w:cs="Wingdings"/>
    </w:rPr>
  </w:style>
  <w:style w:type="character" w:styleId="ListLabel138" w:customStyle="1">
    <w:name w:val="ListLabel 138"/>
    <w:qFormat/>
    <w:rPr>
      <w:rFonts w:cs="Courier New"/>
    </w:rPr>
  </w:style>
  <w:style w:type="character" w:styleId="ListLabel139" w:customStyle="1">
    <w:name w:val="ListLabel 139"/>
    <w:qFormat/>
    <w:rPr>
      <w:rFonts w:cs="Wingdings"/>
    </w:rPr>
  </w:style>
  <w:style w:type="character" w:styleId="ListLabel140" w:customStyle="1">
    <w:name w:val="ListLabel 140"/>
    <w:qFormat/>
    <w:rPr>
      <w:rFonts w:cs="Symbol"/>
    </w:rPr>
  </w:style>
  <w:style w:type="character" w:styleId="ListLabel141" w:customStyle="1">
    <w:name w:val="ListLabel 141"/>
    <w:qFormat/>
    <w:rPr>
      <w:rFonts w:cs="Courier New"/>
    </w:rPr>
  </w:style>
  <w:style w:type="character" w:styleId="ListLabel142" w:customStyle="1">
    <w:name w:val="ListLabel 142"/>
    <w:qFormat/>
    <w:rPr>
      <w:rFonts w:cs="Wingdings"/>
    </w:rPr>
  </w:style>
  <w:style w:type="character" w:styleId="ListLabel143" w:customStyle="1">
    <w:name w:val="ListLabel 143"/>
    <w:qFormat/>
    <w:rPr>
      <w:rFonts w:cs="Symbol"/>
    </w:rPr>
  </w:style>
  <w:style w:type="character" w:styleId="ListLabel144" w:customStyle="1">
    <w:name w:val="ListLabel 144"/>
    <w:qFormat/>
    <w:rPr>
      <w:rFonts w:cs="Courier New"/>
    </w:rPr>
  </w:style>
  <w:style w:type="character" w:styleId="ListLabel145" w:customStyle="1">
    <w:name w:val="ListLabel 145"/>
    <w:qFormat/>
    <w:rPr>
      <w:rFonts w:cs="Wingdings"/>
    </w:rPr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pPr/>
    <w:rPr>
      <w:rFonts w:ascii="Arial Narrow" w:hAnsi="Arial Narrow" w:cs="Arial Narrow"/>
      <w:sz w:val="18"/>
      <w:szCs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Hlavika">
    <w:name w:val="Header"/>
    <w:basedOn w:val="Normal"/>
    <w:link w:val="HlavikaChar"/>
    <w:uiPriority w:val="99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ListBullet3">
    <w:name w:val="List Bullet 3"/>
    <w:basedOn w:val="Normal"/>
    <w:uiPriority w:val="99"/>
    <w:qFormat/>
    <w:pPr>
      <w:ind w:left="566" w:hanging="283"/>
    </w:pPr>
    <w:rPr/>
  </w:style>
  <w:style w:type="paragraph" w:styleId="Styl1" w:customStyle="1">
    <w:name w:val="Styl1"/>
    <w:basedOn w:val="Nadpis1"/>
    <w:uiPriority w:val="99"/>
    <w:qFormat/>
    <w:pPr>
      <w:tabs>
        <w:tab w:val="clear" w:pos="709"/>
        <w:tab w:val="left" w:pos="720" w:leader="none"/>
        <w:tab w:val="left" w:pos="1429" w:leader="none"/>
      </w:tabs>
      <w:ind w:left="720" w:hanging="0"/>
    </w:pPr>
    <w:rPr>
      <w:sz w:val="22"/>
      <w:szCs w:val="22"/>
    </w:rPr>
  </w:style>
  <w:style w:type="paragraph" w:styleId="Styl2" w:customStyle="1">
    <w:name w:val="Styl2"/>
    <w:basedOn w:val="Nadpis2"/>
    <w:uiPriority w:val="99"/>
    <w:qFormat/>
    <w:pPr>
      <w:tabs>
        <w:tab w:val="clear" w:pos="709"/>
        <w:tab w:val="left" w:pos="1440" w:leader="none"/>
        <w:tab w:val="left" w:pos="2149" w:leader="none"/>
      </w:tabs>
      <w:ind w:left="1440" w:hanging="0"/>
    </w:pPr>
    <w:rPr>
      <w:i/>
      <w:iCs/>
      <w:sz w:val="20"/>
      <w:szCs w:val="20"/>
    </w:rPr>
  </w:style>
  <w:style w:type="paragraph" w:styleId="Styl3" w:customStyle="1">
    <w:name w:val="Styl3"/>
    <w:basedOn w:val="Nadpis3"/>
    <w:uiPriority w:val="99"/>
    <w:qFormat/>
    <w:pPr>
      <w:tabs>
        <w:tab w:val="clear" w:pos="709"/>
        <w:tab w:val="left" w:pos="2340" w:leader="none"/>
        <w:tab w:val="left" w:pos="3049" w:leader="none"/>
      </w:tabs>
      <w:ind w:left="2340" w:hanging="0"/>
    </w:pPr>
    <w:rPr>
      <w:caps/>
    </w:rPr>
  </w:style>
  <w:style w:type="paragraph" w:styleId="BalloonText">
    <w:name w:val="Balloon Text"/>
    <w:basedOn w:val="Normal"/>
    <w:link w:val="TextbublinyChar"/>
    <w:uiPriority w:val="99"/>
    <w:semiHidden/>
    <w:qFormat/>
    <w:pPr/>
    <w:rPr>
      <w:rFonts w:ascii="Tahoma" w:hAnsi="Tahoma" w:cs="Tahoma"/>
      <w:sz w:val="16"/>
      <w:szCs w:val="16"/>
    </w:rPr>
  </w:style>
  <w:style w:type="paragraph" w:styleId="Revision">
    <w:name w:val="Revision"/>
    <w:uiPriority w:val="99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paragraph" w:styleId="TaxEdit" w:customStyle="1">
    <w:name w:val="TaxEdit"/>
    <w:basedOn w:val="Normal"/>
    <w:uiPriority w:val="99"/>
    <w:qFormat/>
    <w:pPr>
      <w:ind w:left="284" w:hanging="0"/>
    </w:pPr>
    <w:rPr>
      <w:rFonts w:ascii="Arial" w:hAnsi="Arial" w:cs="Arial"/>
      <w:b/>
      <w:bCs/>
      <w:sz w:val="22"/>
      <w:szCs w:val="22"/>
    </w:rPr>
  </w:style>
  <w:style w:type="paragraph" w:styleId="Dka" w:customStyle="1">
    <w:name w:val="Řádka"/>
    <w:uiPriority w:val="99"/>
    <w:qFormat/>
    <w:pPr>
      <w:widowControl/>
      <w:bidi w:val="0"/>
      <w:jc w:val="left"/>
    </w:pPr>
    <w:rPr>
      <w:rFonts w:ascii="Courier" w:hAnsi="Courier" w:eastAsia="Times New Roman" w:cs="Courier"/>
      <w:color w:val="auto"/>
      <w:kern w:val="0"/>
      <w:sz w:val="24"/>
      <w:szCs w:val="24"/>
      <w:lang w:val="cs-CZ" w:eastAsia="sk-SK" w:bidi="ar-SA"/>
    </w:rPr>
  </w:style>
  <w:style w:type="paragraph" w:styleId="TaxEdit2" w:customStyle="1">
    <w:name w:val="TaxEdit2"/>
    <w:basedOn w:val="TaxEdit"/>
    <w:uiPriority w:val="99"/>
    <w:qFormat/>
    <w:pPr>
      <w:tabs>
        <w:tab w:val="clear" w:pos="709"/>
        <w:tab w:val="left" w:pos="0" w:leader="none"/>
      </w:tabs>
    </w:pPr>
    <w:rPr/>
  </w:style>
  <w:style w:type="paragraph" w:styleId="Styl4" w:customStyle="1">
    <w:name w:val="Styl4"/>
    <w:basedOn w:val="Styl3"/>
    <w:uiPriority w:val="99"/>
    <w:qFormat/>
    <w:pPr>
      <w:tabs>
        <w:tab w:val="clear" w:pos="2340"/>
        <w:tab w:val="clear" w:pos="3049"/>
        <w:tab w:val="left" w:pos="567" w:leader="none"/>
      </w:tabs>
      <w:ind w:left="284" w:hanging="0"/>
      <w:jc w:val="left"/>
    </w:pPr>
    <w:rPr/>
  </w:style>
  <w:style w:type="paragraph" w:styleId="ListParagraph">
    <w:name w:val="List Paragraph"/>
    <w:basedOn w:val="Normal"/>
    <w:uiPriority w:val="99"/>
    <w:qFormat/>
    <w:pPr>
      <w:spacing w:lineRule="auto" w:line="276" w:before="0" w:after="200"/>
      <w:ind w:left="720" w:hanging="0"/>
    </w:pPr>
    <w:rPr>
      <w:rFonts w:ascii="Arial Narrow" w:hAnsi="Arial Narrow" w:cs="Arial Narrow"/>
      <w:sz w:val="22"/>
      <w:szCs w:val="22"/>
    </w:rPr>
  </w:style>
  <w:style w:type="paragraph" w:styleId="Default" w:customStyle="1">
    <w:name w:val="Default"/>
    <w:uiPriority w:val="99"/>
    <w:qFormat/>
    <w:pPr>
      <w:widowControl/>
      <w:bidi w:val="0"/>
      <w:jc w:val="left"/>
    </w:pPr>
    <w:rPr>
      <w:rFonts w:ascii="Arial" w:hAnsi="Arial" w:eastAsia="Times New Roman" w:cs="Arial"/>
      <w:color w:val="000000"/>
      <w:kern w:val="0"/>
      <w:sz w:val="24"/>
      <w:szCs w:val="24"/>
      <w:lang w:val="sk-SK" w:eastAsia="sk-SK" w:bidi="ar-SA"/>
    </w:rPr>
  </w:style>
  <w:style w:type="paragraph" w:styleId="TopHeader" w:customStyle="1">
    <w:name w:val="Top Header"/>
    <w:basedOn w:val="Normal"/>
    <w:uiPriority w:val="99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Obsahrmca" w:customStyle="1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LibreOffice/6.1.2.1$Windows_X86_64 LibreOffice_project/65905a128db06ba48db947242809d14d3f9a93fe</Application>
  <Pages>4</Pages>
  <Words>783</Words>
  <Characters>4624</Characters>
  <CharactersWithSpaces>5345</CharactersWithSpaces>
  <Paragraphs>205</Paragraphs>
  <Company> 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2020-06-05T15:04:00Z</dcterms:created>
  <dc:creator>Luyten CZ</dc:creator>
  <dc:description>&lt;?template name="Účtovná záverka 2015 malá" version="1.00"?&gt;</dc:description>
  <dc:language>sk-SK</dc:language>
  <cp:lastModifiedBy/>
  <cp:lastPrinted>2021-05-28T19:29:50Z</cp:lastPrinted>
  <dcterms:modified xsi:type="dcterms:W3CDTF">2023-06-27T18:03:42Z</dcterms:modified>
  <cp:revision>7</cp:revision>
  <dc:subject/>
  <dc:title>Poznámky k účtovnej závierke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 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