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2"/>
        <w:jc w:val="center"/>
        <w:rPr>
          <w:rFonts w:ascii="Times New Roman" w:hAnsi="Times New Roman" w:eastAsia="Times New Roman" w:cs="Times New Roman"/>
          <w:bCs/>
          <w:color w:val="auto"/>
          <w:lang w:eastAsia="en-US"/>
        </w:rPr>
      </w:pPr>
      <w:bookmarkStart w:id="0" w:name="_GoBack"/>
      <w:bookmarkEnd w:id="0"/>
    </w:p>
    <w:p>
      <w:pPr>
        <w:pStyle w:val="22"/>
        <w:jc w:val="center"/>
        <w:rPr>
          <w:rFonts w:ascii="Times New Roman" w:hAnsi="Times New Roman" w:cs="Times New Roman"/>
          <w:sz w:val="22"/>
          <w:szCs w:val="22"/>
        </w:rPr>
      </w:pPr>
      <w:r>
        <w:rPr>
          <w:rFonts w:ascii="Times New Roman" w:hAnsi="Times New Roman" w:cs="Times New Roman"/>
          <w:b/>
          <w:bCs/>
          <w:sz w:val="22"/>
          <w:szCs w:val="22"/>
        </w:rPr>
        <w:t>SPRÁVA NEZÁVISLÉHO AUDÍTORA</w:t>
      </w:r>
    </w:p>
    <w:p>
      <w:pPr>
        <w:pStyle w:val="13"/>
        <w:widowControl w:val="0"/>
        <w:tabs>
          <w:tab w:val="clear" w:pos="360"/>
          <w:tab w:val="clear" w:pos="576"/>
        </w:tabs>
        <w:spacing w:after="240" w:line="240" w:lineRule="auto"/>
        <w:ind w:left="0" w:firstLine="0"/>
        <w:jc w:val="center"/>
        <w:rPr>
          <w:b/>
          <w:sz w:val="24"/>
          <w:szCs w:val="24"/>
        </w:rPr>
      </w:pPr>
      <w:r>
        <w:rPr>
          <w:b/>
          <w:sz w:val="24"/>
          <w:lang w:val="sk-SK"/>
        </w:rPr>
        <w:t>pre štatutárny orgán a obecné  zastupiteľstvo</w:t>
      </w:r>
      <w:r>
        <w:rPr>
          <w:b/>
          <w:sz w:val="24"/>
          <w:szCs w:val="24"/>
        </w:rPr>
        <w:t xml:space="preserve"> Obce Torysky</w:t>
      </w:r>
    </w:p>
    <w:p>
      <w:pPr>
        <w:pStyle w:val="13"/>
        <w:widowControl w:val="0"/>
        <w:tabs>
          <w:tab w:val="clear" w:pos="360"/>
          <w:tab w:val="clear" w:pos="576"/>
        </w:tabs>
        <w:spacing w:after="240" w:line="240" w:lineRule="auto"/>
        <w:ind w:left="0" w:firstLine="0"/>
        <w:jc w:val="center"/>
        <w:rPr>
          <w:b/>
          <w:sz w:val="24"/>
          <w:szCs w:val="24"/>
        </w:rPr>
      </w:pPr>
    </w:p>
    <w:p>
      <w:pPr>
        <w:pStyle w:val="13"/>
        <w:widowControl w:val="0"/>
        <w:numPr>
          <w:ilvl w:val="0"/>
          <w:numId w:val="1"/>
        </w:numPr>
        <w:tabs>
          <w:tab w:val="clear" w:pos="360"/>
          <w:tab w:val="clear" w:pos="576"/>
        </w:tabs>
        <w:spacing w:after="240" w:line="240" w:lineRule="auto"/>
        <w:rPr>
          <w:b/>
          <w:sz w:val="24"/>
          <w:lang w:val="sk-SK"/>
        </w:rPr>
      </w:pPr>
      <w:r>
        <w:rPr>
          <w:b/>
          <w:sz w:val="24"/>
          <w:lang w:val="sk-SK"/>
        </w:rPr>
        <w:t>Správa z auditu účtovnej závierky</w:t>
      </w:r>
    </w:p>
    <w:p>
      <w:pPr>
        <w:pStyle w:val="13"/>
        <w:widowControl w:val="0"/>
        <w:tabs>
          <w:tab w:val="left" w:pos="0"/>
          <w:tab w:val="clear" w:pos="576"/>
        </w:tabs>
        <w:spacing w:before="0" w:after="0" w:line="240" w:lineRule="auto"/>
        <w:ind w:left="0" w:firstLine="0"/>
        <w:rPr>
          <w:sz w:val="24"/>
          <w:u w:val="single"/>
          <w:lang w:val="sk-SK"/>
        </w:rPr>
      </w:pPr>
      <w:r>
        <w:rPr>
          <w:sz w:val="24"/>
          <w:u w:val="single"/>
          <w:lang w:val="sk-SK"/>
        </w:rPr>
        <w:t>Názor</w:t>
      </w:r>
    </w:p>
    <w:p>
      <w:pPr>
        <w:pStyle w:val="22"/>
        <w:jc w:val="both"/>
        <w:rPr>
          <w:rFonts w:ascii="Times New Roman" w:hAnsi="Times New Roman" w:eastAsia="Times New Roman" w:cs="Times New Roman"/>
          <w:color w:val="auto"/>
          <w:kern w:val="8"/>
          <w:szCs w:val="20"/>
          <w:lang w:eastAsia="en-US" w:bidi="he-IL"/>
        </w:rPr>
      </w:pPr>
      <w:r>
        <w:rPr>
          <w:rFonts w:ascii="Times New Roman" w:hAnsi="Times New Roman" w:eastAsia="Times New Roman" w:cs="Times New Roman"/>
          <w:color w:val="auto"/>
          <w:kern w:val="8"/>
          <w:szCs w:val="20"/>
          <w:lang w:eastAsia="en-US" w:bidi="he-IL"/>
        </w:rPr>
        <w:t>Uskutočnili  sme audit účtovnej závierky Obce Torysky, so sídlom Torysky 20,  053 71 Torysky, IČO 00 329 703 (ďalej aj</w:t>
      </w:r>
      <w:r>
        <w:rPr>
          <w:rFonts w:ascii="Times New Roman" w:hAnsi="Times New Roman" w:cs="Times New Roman"/>
        </w:rPr>
        <w:t xml:space="preserve"> „obec</w:t>
      </w:r>
      <w:r>
        <w:rPr>
          <w:rFonts w:ascii="Times New Roman" w:hAnsi="Times New Roman" w:eastAsia="Times New Roman" w:cs="Times New Roman"/>
          <w:color w:val="auto"/>
          <w:kern w:val="8"/>
          <w:szCs w:val="20"/>
          <w:lang w:eastAsia="en-US" w:bidi="he-IL"/>
        </w:rPr>
        <w:t>“), ktorá obsahuje súvahu k 31. decembru 2021, výkaz ziskov a strát za rok končiaci sa k uvedenému dátumu, a poznámky, ktoré obsahujú súhrn významných účtovných zásad a účtovných metód.</w:t>
      </w:r>
    </w:p>
    <w:p>
      <w:pPr>
        <w:pStyle w:val="13"/>
        <w:widowControl w:val="0"/>
        <w:tabs>
          <w:tab w:val="left" w:pos="0"/>
          <w:tab w:val="clear" w:pos="576"/>
        </w:tabs>
        <w:spacing w:after="240" w:line="240" w:lineRule="auto"/>
        <w:ind w:left="0" w:firstLine="0"/>
        <w:rPr>
          <w:sz w:val="24"/>
          <w:lang w:val="sk-SK"/>
        </w:rPr>
      </w:pPr>
      <w:r>
        <w:rPr>
          <w:sz w:val="24"/>
          <w:lang w:val="sk-SK"/>
        </w:rPr>
        <w:t xml:space="preserve">Podľa nášho názoru, priložená účtovná závierka </w:t>
      </w:r>
      <w:r>
        <w:rPr>
          <w:iCs/>
          <w:sz w:val="24"/>
          <w:lang w:val="sk-SK"/>
        </w:rPr>
        <w:t>poskytuje vo významných súvislostiach pravdivý a verný obraz finančnej situácie</w:t>
      </w:r>
      <w:r>
        <w:rPr>
          <w:sz w:val="24"/>
          <w:lang w:val="sk-SK"/>
        </w:rPr>
        <w:t xml:space="preserve"> Obce Torysky k 31. decembru 2021 a výsledku jej hospodárenia za rok končiaci sa k uvedenému dátumu podľa zákona č. 431/2002 Z.z. o účtovníctve v znení neskorších predpisov (ďalej len „zákon o účtovníctve“).  </w:t>
      </w:r>
    </w:p>
    <w:p>
      <w:pPr>
        <w:pStyle w:val="22"/>
        <w:jc w:val="both"/>
        <w:rPr>
          <w:rFonts w:ascii="Times New Roman" w:hAnsi="Times New Roman" w:cs="Times New Roman"/>
          <w:bCs/>
          <w:u w:val="single"/>
        </w:rPr>
      </w:pPr>
      <w:r>
        <w:rPr>
          <w:rFonts w:ascii="Times New Roman" w:hAnsi="Times New Roman" w:cs="Times New Roman"/>
          <w:bCs/>
          <w:u w:val="single"/>
        </w:rPr>
        <w:t xml:space="preserve">Základ pre názor </w:t>
      </w:r>
    </w:p>
    <w:p>
      <w:pPr>
        <w:pStyle w:val="22"/>
        <w:jc w:val="both"/>
        <w:rPr>
          <w:rFonts w:ascii="Times New Roman" w:hAnsi="Times New Roman" w:cs="Times New Roman"/>
        </w:rPr>
      </w:pPr>
      <w:r>
        <w:rPr>
          <w:rFonts w:ascii="Times New Roman" w:hAnsi="Times New Roman" w:cs="Times New Roman"/>
        </w:rPr>
        <w:t>Audit sme vykonali podľa medzinárodných audítorských štandardov (International Standards on Auditing, ISA). Naša zodpovednosť podľa týchto štandardov je uvedená v odseku Zodpovednosť audítora za audit účtovnej závierky. Od obce sme nezávislí podľa ustanovení zákona č. 423/2015 o štatutárnom audite a o zmene a doplnení zákona č. 431/2002 Z. z. o účtovníctve v znení neskorších predpisov (ďalej len „zákon o štatutárnom audite“) týkajúcich sa etiky, vrátane Etického kódexu audítora, relevantných pre náš audit účtovnej závierky a splnili sme aj ostatné požiadavky týchto ustanovení týkajúcich sa etiky. Sme presvedčení, že audítorské dôkazy, ktoré sme získali, poskytujú dostatočný a vhodný základ pre náš názor.</w:t>
      </w:r>
    </w:p>
    <w:p>
      <w:pPr>
        <w:pStyle w:val="22"/>
        <w:jc w:val="both"/>
        <w:rPr>
          <w:rFonts w:ascii="Times New Roman" w:hAnsi="Times New Roman" w:cs="Times New Roman"/>
        </w:rPr>
      </w:pPr>
    </w:p>
    <w:p>
      <w:pPr>
        <w:pStyle w:val="22"/>
        <w:jc w:val="both"/>
        <w:rPr>
          <w:rFonts w:ascii="Times New Roman" w:hAnsi="Times New Roman" w:cs="Times New Roman"/>
          <w:u w:val="single"/>
        </w:rPr>
      </w:pPr>
      <w:r>
        <w:rPr>
          <w:rFonts w:ascii="Times New Roman" w:hAnsi="Times New Roman" w:cs="Times New Roman"/>
          <w:u w:val="single"/>
        </w:rPr>
        <w:t>Zdôraznenie skutočnosti</w:t>
      </w:r>
    </w:p>
    <w:p>
      <w:pPr>
        <w:pStyle w:val="22"/>
        <w:jc w:val="both"/>
        <w:rPr>
          <w:rFonts w:ascii="Times New Roman" w:hAnsi="Times New Roman" w:cs="Times New Roman"/>
        </w:rPr>
      </w:pPr>
      <w:r>
        <w:rPr>
          <w:rFonts w:ascii="Times New Roman" w:hAnsi="Times New Roman" w:cs="Times New Roman"/>
        </w:rPr>
        <w:t>Bez vplyvu na náš názor upozorňujeme na tieto skutočnosti</w:t>
      </w:r>
    </w:p>
    <w:p>
      <w:pPr>
        <w:pStyle w:val="22"/>
        <w:jc w:val="both"/>
        <w:rPr>
          <w:rFonts w:ascii="Times New Roman" w:hAnsi="Times New Roman" w:cs="Times New Roman"/>
        </w:rPr>
      </w:pPr>
      <w:r>
        <w:rPr>
          <w:rFonts w:ascii="Times New Roman" w:hAnsi="Times New Roman" w:cs="Times New Roman"/>
        </w:rPr>
        <w:t>a/obec nemá zosúladenú účtovnú evidenciu dlhodobého hmotného majetku, ktorý sa uvádza na listoch vlastníctva, s listami vlastníctva</w:t>
      </w:r>
    </w:p>
    <w:p>
      <w:pPr>
        <w:pStyle w:val="22"/>
        <w:jc w:val="both"/>
        <w:rPr>
          <w:rFonts w:ascii="Times New Roman" w:hAnsi="Times New Roman" w:cs="Times New Roman"/>
        </w:rPr>
      </w:pPr>
      <w:r>
        <w:rPr>
          <w:rFonts w:ascii="Times New Roman" w:hAnsi="Times New Roman" w:cs="Times New Roman"/>
        </w:rPr>
        <w:t>b/ obec nevytvorila opravné položky k pohľadávkam, ktorých rizikovosť nezaplatenia je vysoká</w:t>
      </w:r>
    </w:p>
    <w:p>
      <w:pPr>
        <w:pStyle w:val="22"/>
        <w:jc w:val="both"/>
        <w:rPr>
          <w:rFonts w:ascii="Times New Roman" w:hAnsi="Times New Roman" w:cs="Times New Roman"/>
        </w:rPr>
      </w:pPr>
      <w:r>
        <w:rPr>
          <w:rFonts w:ascii="Times New Roman" w:hAnsi="Times New Roman" w:cs="Times New Roman"/>
        </w:rPr>
        <w:t>c/ obec nemá zaradený majetok do užívania, napriek tomu, že ho používa</w:t>
      </w:r>
    </w:p>
    <w:p>
      <w:pPr>
        <w:pStyle w:val="22"/>
        <w:jc w:val="both"/>
        <w:rPr>
          <w:rFonts w:ascii="Times New Roman" w:hAnsi="Times New Roman" w:cs="Times New Roman"/>
        </w:rPr>
      </w:pPr>
    </w:p>
    <w:p>
      <w:pPr>
        <w:pStyle w:val="22"/>
        <w:jc w:val="both"/>
        <w:rPr>
          <w:rFonts w:ascii="Times New Roman" w:hAnsi="Times New Roman" w:cs="Times New Roman"/>
          <w:u w:val="single"/>
        </w:rPr>
      </w:pPr>
      <w:r>
        <w:rPr>
          <w:rFonts w:ascii="Times New Roman" w:hAnsi="Times New Roman" w:cs="Times New Roman"/>
          <w:u w:val="single"/>
        </w:rPr>
        <w:t>Iná skutočnosť</w:t>
      </w:r>
    </w:p>
    <w:p>
      <w:pPr>
        <w:pStyle w:val="22"/>
        <w:jc w:val="both"/>
        <w:rPr>
          <w:rFonts w:ascii="Times New Roman" w:hAnsi="Times New Roman" w:cs="Times New Roman"/>
        </w:rPr>
      </w:pPr>
      <w:r>
        <w:rPr>
          <w:rFonts w:ascii="Times New Roman" w:hAnsi="Times New Roman" w:cs="Times New Roman"/>
        </w:rPr>
        <w:t>Audit účtovnej závierky za roky 2020 a predchádzajúce nebol vykonaný.</w:t>
      </w:r>
    </w:p>
    <w:p>
      <w:pPr>
        <w:spacing w:after="0" w:line="240" w:lineRule="auto"/>
        <w:jc w:val="both"/>
        <w:rPr>
          <w:rFonts w:ascii="Times New Roman" w:hAnsi="Times New Roman"/>
          <w:b/>
          <w:sz w:val="20"/>
          <w:szCs w:val="20"/>
          <w:u w:val="single"/>
          <w:lang w:val="sk-SK" w:eastAsia="sk-SK"/>
        </w:rPr>
      </w:pPr>
    </w:p>
    <w:p>
      <w:pPr>
        <w:pStyle w:val="22"/>
        <w:jc w:val="both"/>
        <w:rPr>
          <w:rFonts w:ascii="Times New Roman" w:hAnsi="Times New Roman" w:cs="Times New Roman"/>
          <w:u w:val="single"/>
        </w:rPr>
      </w:pPr>
      <w:r>
        <w:rPr>
          <w:rFonts w:ascii="Times New Roman" w:hAnsi="Times New Roman" w:cs="Times New Roman"/>
          <w:u w:val="single"/>
        </w:rPr>
        <w:t>Zodpovednosť štatutárneho orgánu za účtovnú závierku</w:t>
      </w:r>
    </w:p>
    <w:p>
      <w:pPr>
        <w:pStyle w:val="22"/>
        <w:jc w:val="both"/>
        <w:rPr>
          <w:rFonts w:ascii="Times New Roman" w:hAnsi="Times New Roman" w:cs="Times New Roman"/>
        </w:rPr>
      </w:pPr>
      <w:r>
        <w:rPr>
          <w:rFonts w:ascii="Times New Roman" w:hAnsi="Times New Roman" w:cs="Times New Roman"/>
        </w:rPr>
        <w:t>Štatutárny orgán</w:t>
      </w:r>
      <w:r>
        <w:rPr>
          <w:rFonts w:ascii="Times New Roman" w:hAnsi="Times New Roman" w:cs="Times New Roman"/>
          <w:lang w:val="cs-CZ"/>
        </w:rPr>
        <w:t xml:space="preserve"> je zodpovedný za zostavenie tejto účtovnej závierky tak, aby poskytovala pravdivý a verný obraz podľa zákona o účtovníctve a za tie interné kontroly, ktoré považuje za potrebné na zostavenie účtovnej závierky, ktorá neobsahuje významné nesprávnosti, či už v dôsledku podvodu alebo chyby. </w:t>
      </w:r>
    </w:p>
    <w:p>
      <w:pPr>
        <w:pStyle w:val="22"/>
        <w:jc w:val="both"/>
        <w:rPr>
          <w:rFonts w:ascii="Times New Roman" w:hAnsi="Times New Roman" w:cs="Times New Roman"/>
        </w:rPr>
      </w:pPr>
    </w:p>
    <w:p>
      <w:pPr>
        <w:pStyle w:val="22"/>
        <w:jc w:val="both"/>
        <w:rPr>
          <w:rFonts w:ascii="Times New Roman" w:hAnsi="Times New Roman" w:cs="Times New Roman"/>
        </w:rPr>
      </w:pPr>
      <w:r>
        <w:rPr>
          <w:rFonts w:ascii="Times New Roman" w:hAnsi="Times New Roman" w:cs="Times New Roman"/>
        </w:rPr>
        <w:t>Pri zostavovaní účtovnej závierky je štatutárny orgán zodpovedný za zhodnotenie schopnosti obce</w:t>
      </w:r>
      <w:r>
        <w:rPr>
          <w:rFonts w:ascii="Times New Roman" w:hAnsi="Times New Roman" w:eastAsia="Times New Roman" w:cs="Times New Roman"/>
          <w:color w:val="auto"/>
          <w:kern w:val="8"/>
          <w:szCs w:val="20"/>
          <w:lang w:eastAsia="en-US" w:bidi="he-IL"/>
        </w:rPr>
        <w:t xml:space="preserve"> </w:t>
      </w:r>
      <w:r>
        <w:rPr>
          <w:rFonts w:ascii="Times New Roman" w:hAnsi="Times New Roman" w:cs="Times New Roman"/>
        </w:rPr>
        <w:t xml:space="preserve">nepretržite pokračovať vo svojej činnosti, za opísanie skutočností týkajúcich sa nepretržitého pokračovania v činnosti, ak je to potrebné, a za použitie predpokladu nepretržitého pokračovania v činnosti v účtovníctve. </w:t>
      </w:r>
    </w:p>
    <w:p>
      <w:pPr>
        <w:autoSpaceDE w:val="0"/>
        <w:spacing w:before="120" w:after="240" w:line="240" w:lineRule="auto"/>
        <w:jc w:val="both"/>
        <w:rPr>
          <w:rFonts w:ascii="Times New Roman" w:hAnsi="Times New Roman"/>
          <w:sz w:val="24"/>
        </w:rPr>
      </w:pPr>
      <w:r>
        <w:rPr>
          <w:rFonts w:ascii="Times New Roman" w:hAnsi="Times New Roman" w:eastAsia="Times New Roman"/>
          <w:kern w:val="8"/>
          <w:sz w:val="24"/>
          <w:szCs w:val="24"/>
          <w:lang w:bidi="he-IL"/>
        </w:rPr>
        <w:t>Štatutárny orgán je</w:t>
      </w:r>
      <w:r>
        <w:rPr>
          <w:rFonts w:ascii="Times New Roman" w:hAnsi="Times New Roman"/>
          <w:sz w:val="24"/>
          <w:szCs w:val="24"/>
        </w:rPr>
        <w:t xml:space="preserve"> </w:t>
      </w:r>
      <w:r>
        <w:rPr>
          <w:rFonts w:ascii="Times New Roman" w:hAnsi="Times New Roman"/>
          <w:sz w:val="24"/>
          <w:szCs w:val="24"/>
          <w:lang w:val="sk-SK"/>
        </w:rPr>
        <w:t xml:space="preserve">ďalej </w:t>
      </w:r>
      <w:r>
        <w:rPr>
          <w:rFonts w:ascii="Times New Roman" w:hAnsi="Times New Roman"/>
          <w:sz w:val="24"/>
          <w:szCs w:val="24"/>
        </w:rPr>
        <w:t>zodpovedný za dodržiavanie povinností podľa Zákona č. 583/2004 Z.z. o rozpočtových pravidlách územnej samosprávy a o zmene a doplnení niektorých zákonov v platnom znení (ďalej len „zákon o rozpočtových pravidlách“).</w:t>
      </w:r>
    </w:p>
    <w:p>
      <w:pPr>
        <w:pStyle w:val="22"/>
        <w:rPr>
          <w:rFonts w:ascii="Times New Roman" w:hAnsi="Times New Roman" w:cs="Times New Roman"/>
          <w:bCs/>
          <w:u w:val="single"/>
        </w:rPr>
      </w:pPr>
    </w:p>
    <w:p>
      <w:pPr>
        <w:pStyle w:val="22"/>
        <w:rPr>
          <w:rFonts w:ascii="Times New Roman" w:hAnsi="Times New Roman" w:cs="Times New Roman"/>
          <w:bCs/>
          <w:u w:val="single"/>
        </w:rPr>
      </w:pPr>
    </w:p>
    <w:p>
      <w:pPr>
        <w:pStyle w:val="22"/>
        <w:rPr>
          <w:rFonts w:ascii="Times New Roman" w:hAnsi="Times New Roman" w:cs="Times New Roman"/>
          <w:bCs/>
          <w:u w:val="single"/>
        </w:rPr>
      </w:pPr>
    </w:p>
    <w:p>
      <w:pPr>
        <w:pStyle w:val="22"/>
        <w:rPr>
          <w:rFonts w:ascii="Times New Roman" w:hAnsi="Times New Roman" w:cs="Times New Roman"/>
          <w:bCs/>
          <w:u w:val="single"/>
        </w:rPr>
      </w:pPr>
      <w:r>
        <w:rPr>
          <w:rFonts w:ascii="Times New Roman" w:hAnsi="Times New Roman" w:cs="Times New Roman"/>
          <w:bCs/>
          <w:u w:val="single"/>
        </w:rPr>
        <w:t>Zodpovednosť audítora  za audit účtovnej závierky</w:t>
      </w:r>
    </w:p>
    <w:p>
      <w:pPr>
        <w:pStyle w:val="22"/>
        <w:jc w:val="both"/>
        <w:rPr>
          <w:rFonts w:ascii="Times New Roman" w:hAnsi="Times New Roman" w:cs="Times New Roman"/>
          <w:bCs/>
        </w:rPr>
      </w:pPr>
      <w:r>
        <w:rPr>
          <w:rFonts w:ascii="Times New Roman" w:hAnsi="Times New Roman" w:cs="Times New Roman"/>
          <w:bCs/>
        </w:rPr>
        <w:t xml:space="preserve">Našou zodpovednosťou je získať primerané uistenie, či účtovná závierka ako celok neobsahuje významné nesprávnosti, či už v dôsledku podvodu alebo chyby, a vydať správu audítora, vrátane názoru. Primerané uistenie je uistenie vysokého stupňa, ale nie je zárukou toho, že audit vykonaný podľa medzinárodných audítorských štandardov vždy odhalí významné nesprávnosti, ak také existujú. Nesprávnosti môžu vzniknúť v dôsledku podvodu alebo chyby a za významné sa považujú vtedy, ak by sa dalo odôvodnene očakávať, že jednotlivo alebo v súhrne by mohli ovplyvniť ekonomické rozhodnutia používateľov, uskutočnené na základe tejto účtovnej závierky. </w:t>
      </w:r>
    </w:p>
    <w:p>
      <w:pPr>
        <w:pStyle w:val="13"/>
        <w:widowControl w:val="0"/>
        <w:tabs>
          <w:tab w:val="left" w:pos="0"/>
          <w:tab w:val="clear" w:pos="576"/>
        </w:tabs>
        <w:spacing w:after="240" w:line="240" w:lineRule="auto"/>
        <w:ind w:left="0" w:firstLine="0"/>
        <w:rPr>
          <w:sz w:val="24"/>
          <w:szCs w:val="24"/>
          <w:lang w:val="sk-SK"/>
        </w:rPr>
      </w:pPr>
      <w:r>
        <w:rPr>
          <w:sz w:val="24"/>
          <w:szCs w:val="24"/>
        </w:rPr>
        <w:t xml:space="preserve">Súčasťou auditu je aj overenie dodržiavania povinností obce podľa požiadaviek zákona o rozpočtových pravidlách a v rozsahu, v ktorom zákon o rozpočtových pravidlách ukladá audítorovi toto overenie vykonať. </w:t>
      </w:r>
    </w:p>
    <w:p>
      <w:pPr>
        <w:jc w:val="both"/>
        <w:rPr>
          <w:rFonts w:ascii="Times New Roman" w:hAnsi="Times New Roman"/>
          <w:sz w:val="24"/>
          <w:szCs w:val="24"/>
          <w:lang w:val="en-GB"/>
        </w:rPr>
      </w:pPr>
      <w:r>
        <w:rPr>
          <w:rFonts w:ascii="Times New Roman" w:hAnsi="Times New Roman"/>
          <w:sz w:val="24"/>
          <w:szCs w:val="24"/>
          <w:lang w:val="sk-SK"/>
        </w:rPr>
        <w:t>V rámci auditu uskutočneného podľa medzinárodných audítorských štandardov, počas celého auditu uplatňujeme odborný úsudok a zachovávame  profesionálny skepticizmus. Okrem toho:</w:t>
      </w:r>
      <w:r>
        <w:rPr>
          <w:rFonts w:ascii="Times New Roman" w:hAnsi="Times New Roman"/>
          <w:sz w:val="24"/>
          <w:szCs w:val="24"/>
          <w:lang w:val="en-GB"/>
        </w:rPr>
        <w:t xml:space="preserve"> </w:t>
      </w:r>
    </w:p>
    <w:p>
      <w:pPr>
        <w:pStyle w:val="23"/>
        <w:numPr>
          <w:ilvl w:val="0"/>
          <w:numId w:val="2"/>
        </w:numPr>
        <w:jc w:val="both"/>
        <w:rPr>
          <w:lang w:val="en-GB"/>
        </w:rPr>
      </w:pPr>
      <w:r>
        <w:rPr>
          <w:lang w:val="sk-SK"/>
        </w:rPr>
        <w:t>Identifikujeme a posudzujeme riziká významnej nesprávnosti účtovnej závierky, či už v dôsledku podvodu alebo chyby, navrhujeme a uskutočňujeme audítorské postupy reagujúce na tieto riziká a získavame audítorské dôkazy, ktoré sú dostatočné a vhodné na poskytnutie základu pre náš názor.</w:t>
      </w:r>
      <w:r>
        <w:rPr>
          <w:lang w:val="en-GB"/>
        </w:rPr>
        <w:t xml:space="preserve"> </w:t>
      </w:r>
      <w:r>
        <w:rPr>
          <w:lang w:val="sk-SK"/>
        </w:rPr>
        <w:t>Riziko neodhalenia významnej nesprávnosti v dôsledku podvodu je vyššie ako toto riziko v dôsledku chyby, pretože podvod môže zahŕňať tajnú dohodu, falšovanie, úmyselné vynechanie, nepravdivé vyhlásenie alebo obídenie internej kontroly.</w:t>
      </w:r>
      <w:r>
        <w:rPr>
          <w:lang w:val="en-GB"/>
        </w:rPr>
        <w:t xml:space="preserve"> </w:t>
      </w:r>
    </w:p>
    <w:p>
      <w:pPr>
        <w:pStyle w:val="23"/>
        <w:numPr>
          <w:ilvl w:val="0"/>
          <w:numId w:val="2"/>
        </w:numPr>
        <w:jc w:val="both"/>
        <w:rPr>
          <w:lang w:val="en-GB"/>
        </w:rPr>
      </w:pPr>
      <w:r>
        <w:rPr>
          <w:lang w:val="sk-SK"/>
        </w:rPr>
        <w:t>Oboznamujeme sa s internými kontrolami relevantnými pre audit, aby sme mohli navrhnúť audítorské postupy vhodné za daných okolností, ale nie za účelom vyjadrenia názoru na efektívnosť interných kontrol obce.</w:t>
      </w:r>
    </w:p>
    <w:p>
      <w:pPr>
        <w:pStyle w:val="23"/>
        <w:numPr>
          <w:ilvl w:val="0"/>
          <w:numId w:val="2"/>
        </w:numPr>
        <w:jc w:val="both"/>
        <w:rPr>
          <w:lang w:val="en-GB"/>
        </w:rPr>
      </w:pPr>
      <w:r>
        <w:rPr>
          <w:lang w:val="sk-SK"/>
        </w:rPr>
        <w:t>Hodnotíme vhodnosť použitých účtovných zásad a účtovných metód a primeranosť účtovných odhadov a uvedenie s nimi súvisiacich informácií, uskutočnené štatutárnym orgánom.</w:t>
      </w:r>
    </w:p>
    <w:p>
      <w:pPr>
        <w:pStyle w:val="23"/>
        <w:numPr>
          <w:ilvl w:val="0"/>
          <w:numId w:val="2"/>
        </w:numPr>
        <w:jc w:val="both"/>
        <w:rPr>
          <w:lang w:val="en-GB"/>
        </w:rPr>
      </w:pPr>
      <w:r>
        <w:rPr>
          <w:lang w:val="sk-SK"/>
        </w:rPr>
        <w:t>Robíme záver o tom, či štatutárny orgán vhodne v účtovníctve používa predpoklad nepretržitého pokračovania v činnosti a na základe získaných audítorských dôkazov záver o tom, či existuje významná neistota v súvislosti s udalosťami alebo okolnosťami, ktoré by mohli významne spochybniť schopnosť obce</w:t>
      </w:r>
      <w:r>
        <w:rPr>
          <w:rFonts w:cs="Times New Roman"/>
          <w:szCs w:val="24"/>
        </w:rPr>
        <w:t xml:space="preserve"> </w:t>
      </w:r>
      <w:r>
        <w:rPr>
          <w:lang w:val="sk-SK"/>
        </w:rPr>
        <w:t>nepretržite pokračovať v činnosti.</w:t>
      </w:r>
      <w:r>
        <w:rPr>
          <w:lang w:val="en-GB"/>
        </w:rPr>
        <w:t xml:space="preserve"> </w:t>
      </w:r>
      <w:r>
        <w:rPr>
          <w:lang w:val="sk-SK"/>
        </w:rPr>
        <w:t>Ak dospejeme k záveru, že významná neistota existuje, sme povinní upozorniť v našej správe audítora na súvisiace informácie uvedené v účtovnej závierke alebo, ak sú tieto informácie nedostatočné, modifikovať náš názor.</w:t>
      </w:r>
      <w:r>
        <w:rPr>
          <w:lang w:val="en-GB"/>
        </w:rPr>
        <w:t xml:space="preserve"> Naše</w:t>
      </w:r>
      <w:r>
        <w:rPr>
          <w:lang w:val="sk-SK"/>
        </w:rPr>
        <w:t xml:space="preserve"> závery vychádzajú z audítorských dôkazov získaných do dátumu vydania našej správy audítora.</w:t>
      </w:r>
      <w:r>
        <w:rPr>
          <w:lang w:val="en-GB"/>
        </w:rPr>
        <w:t xml:space="preserve"> </w:t>
      </w:r>
    </w:p>
    <w:p>
      <w:pPr>
        <w:pStyle w:val="23"/>
        <w:numPr>
          <w:ilvl w:val="0"/>
          <w:numId w:val="3"/>
        </w:numPr>
        <w:jc w:val="both"/>
        <w:rPr>
          <w:lang w:val="en-GB"/>
        </w:rPr>
      </w:pPr>
      <w:r>
        <w:rPr>
          <w:lang w:val="sk-SK"/>
        </w:rPr>
        <w:t>Hodnotíme celkovú prezentáciu, štruktúru a obsah účtovnej závierky vrátane informácií v nej uvedených, ako aj to, či účtovná závierka zachytáva uskutočnené transakcie a udalosti spôsobom, ktorý vedie k ich vernému zobrazeniu.</w:t>
      </w:r>
    </w:p>
    <w:p>
      <w:pPr>
        <w:pStyle w:val="13"/>
        <w:widowControl w:val="0"/>
        <w:tabs>
          <w:tab w:val="left" w:pos="0"/>
          <w:tab w:val="clear" w:pos="576"/>
        </w:tabs>
        <w:spacing w:after="240" w:line="240" w:lineRule="auto"/>
        <w:ind w:left="0" w:firstLine="0"/>
        <w:rPr>
          <w:b/>
          <w:sz w:val="24"/>
          <w:lang w:val="sk-SK"/>
        </w:rPr>
      </w:pPr>
    </w:p>
    <w:p>
      <w:pPr>
        <w:pStyle w:val="13"/>
        <w:widowControl w:val="0"/>
        <w:numPr>
          <w:ilvl w:val="0"/>
          <w:numId w:val="1"/>
        </w:numPr>
        <w:tabs>
          <w:tab w:val="left" w:pos="0"/>
          <w:tab w:val="clear" w:pos="576"/>
        </w:tabs>
        <w:spacing w:after="240" w:line="240" w:lineRule="auto"/>
        <w:rPr>
          <w:b/>
          <w:sz w:val="24"/>
          <w:lang w:val="sk-SK"/>
        </w:rPr>
      </w:pPr>
      <w:r>
        <w:rPr>
          <w:b/>
          <w:sz w:val="24"/>
          <w:lang w:val="sk-SK"/>
        </w:rPr>
        <w:t>Správy k ďalším požiadavkám zákonov a iných právnych predpisov</w:t>
      </w:r>
    </w:p>
    <w:p>
      <w:pPr>
        <w:pStyle w:val="22"/>
        <w:spacing w:before="120" w:after="120"/>
        <w:jc w:val="both"/>
        <w:rPr>
          <w:rFonts w:ascii="Times New Roman" w:hAnsi="Times New Roman" w:cs="Times New Roman"/>
          <w:bCs/>
          <w:u w:val="single"/>
        </w:rPr>
      </w:pPr>
    </w:p>
    <w:p>
      <w:pPr>
        <w:pStyle w:val="22"/>
        <w:spacing w:before="120" w:after="120"/>
        <w:jc w:val="both"/>
        <w:rPr>
          <w:rFonts w:ascii="Times New Roman" w:hAnsi="Times New Roman" w:cs="Times New Roman"/>
          <w:b/>
          <w:i/>
          <w:iCs/>
        </w:rPr>
      </w:pPr>
      <w:r>
        <w:rPr>
          <w:rFonts w:ascii="Times New Roman" w:hAnsi="Times New Roman" w:cs="Times New Roman"/>
          <w:b/>
          <w:i/>
          <w:iCs/>
        </w:rPr>
        <w:t xml:space="preserve">II.1 Správa k informáciám, ktoré sa uvádzajú vo výročnej správe </w:t>
      </w:r>
    </w:p>
    <w:p>
      <w:pPr>
        <w:pStyle w:val="22"/>
        <w:spacing w:before="120" w:after="120"/>
        <w:jc w:val="both"/>
        <w:rPr>
          <w:rFonts w:ascii="Times New Roman" w:hAnsi="Times New Roman" w:cs="Times New Roman"/>
          <w:bCs/>
        </w:rPr>
      </w:pPr>
    </w:p>
    <w:p>
      <w:pPr>
        <w:pStyle w:val="22"/>
        <w:spacing w:before="120" w:after="120"/>
        <w:jc w:val="both"/>
        <w:rPr>
          <w:rFonts w:ascii="Times New Roman" w:hAnsi="Times New Roman" w:cs="Times New Roman"/>
          <w:bCs/>
        </w:rPr>
      </w:pPr>
      <w:r>
        <w:rPr>
          <w:rFonts w:ascii="Times New Roman" w:hAnsi="Times New Roman" w:cs="Times New Roman"/>
          <w:bCs/>
        </w:rPr>
        <w:t xml:space="preserve">Štatutárny orgán je zodpovedný za informácie uvedené vo výročnej správe, zostavenej podľa požiadaviek zákona o účtovníctve. Náš vyššie uvedený názor na účtovnú závierku sa nevzťahuje na iné informácie vo výročnej správe. </w:t>
      </w:r>
    </w:p>
    <w:p>
      <w:pPr>
        <w:pStyle w:val="22"/>
        <w:spacing w:before="120" w:after="120"/>
        <w:jc w:val="both"/>
        <w:rPr>
          <w:rFonts w:ascii="Times New Roman" w:hAnsi="Times New Roman" w:cs="Times New Roman"/>
          <w:bCs/>
        </w:rPr>
      </w:pPr>
      <w:r>
        <w:rPr>
          <w:rFonts w:ascii="Times New Roman" w:hAnsi="Times New Roman" w:cs="Times New Roman"/>
          <w:bCs/>
        </w:rPr>
        <w:t xml:space="preserve">V súvislosti s auditom účtovnej závierky je našou zodpovednosťou oboznámenie sa s informáciami uvedenými vo výročnej správe a posúdenie, či tieto informácie nie sú vo významnom nesúlade s auditovanou účtovnou závierkou alebo našimi poznatkami, ktoré sme získali počas auditu účtovnej závierky, alebo sa inak zdajú byť významne nesprávne. </w:t>
      </w:r>
    </w:p>
    <w:p>
      <w:pPr>
        <w:pStyle w:val="22"/>
        <w:spacing w:before="120" w:after="120"/>
        <w:jc w:val="both"/>
        <w:rPr>
          <w:rFonts w:ascii="Times New Roman" w:hAnsi="Times New Roman" w:cs="Times New Roman"/>
          <w:bCs/>
        </w:rPr>
      </w:pPr>
      <w:r>
        <w:rPr>
          <w:rFonts w:ascii="Times New Roman" w:hAnsi="Times New Roman" w:cs="Times New Roman"/>
          <w:bCs/>
        </w:rPr>
        <w:t>Posúdili sme, či výročná správa Obce Torysky obsahuje informácie, ktorých uvedenie vyžaduje zákon o účtovníctve.</w:t>
      </w:r>
    </w:p>
    <w:p>
      <w:pPr>
        <w:pStyle w:val="22"/>
        <w:spacing w:before="120" w:after="120"/>
        <w:jc w:val="both"/>
        <w:rPr>
          <w:rFonts w:ascii="Times New Roman" w:hAnsi="Times New Roman" w:cs="Times New Roman"/>
          <w:bCs/>
        </w:rPr>
      </w:pPr>
      <w:r>
        <w:rPr>
          <w:rFonts w:ascii="Times New Roman" w:hAnsi="Times New Roman" w:cs="Times New Roman"/>
          <w:bCs/>
        </w:rPr>
        <w:t>Na základe prác vykonaných počas auditu účtovnej závierky, podľa nášho názoru:</w:t>
      </w:r>
    </w:p>
    <w:p>
      <w:pPr>
        <w:pStyle w:val="22"/>
        <w:spacing w:before="120" w:after="120"/>
        <w:ind w:left="142" w:hanging="142"/>
        <w:jc w:val="both"/>
        <w:rPr>
          <w:rFonts w:ascii="Times New Roman" w:hAnsi="Times New Roman"/>
          <w:bCs/>
        </w:rPr>
      </w:pPr>
      <w:r>
        <w:rPr>
          <w:rFonts w:ascii="Times New Roman" w:hAnsi="Times New Roman" w:cs="Times New Roman"/>
          <w:bCs/>
        </w:rPr>
        <w:t xml:space="preserve">- informácie uvedené vo výročnej správe zostavenej za rok 2021 sú v súlade s účtovnou závierkou za daný rok, </w:t>
      </w:r>
    </w:p>
    <w:p>
      <w:pPr>
        <w:pStyle w:val="22"/>
        <w:spacing w:before="120" w:after="120"/>
        <w:jc w:val="both"/>
        <w:rPr>
          <w:rFonts w:ascii="Times New Roman" w:hAnsi="Times New Roman"/>
          <w:bCs/>
        </w:rPr>
      </w:pPr>
      <w:r>
        <w:rPr>
          <w:rFonts w:ascii="Times New Roman" w:hAnsi="Times New Roman" w:cs="Times New Roman"/>
          <w:bCs/>
        </w:rPr>
        <w:t>- výročná správa obsahuje informácie podľa zákona o účtovníctve.</w:t>
      </w:r>
    </w:p>
    <w:p>
      <w:pPr>
        <w:spacing w:before="120" w:after="120" w:line="240" w:lineRule="auto"/>
        <w:jc w:val="both"/>
        <w:rPr>
          <w:rFonts w:ascii="Times New Roman" w:hAnsi="Times New Roman"/>
          <w:bCs/>
          <w:color w:val="000000"/>
          <w:sz w:val="24"/>
          <w:szCs w:val="24"/>
          <w:lang w:val="sk-SK" w:eastAsia="sk-SK"/>
        </w:rPr>
      </w:pPr>
      <w:r>
        <w:rPr>
          <w:rFonts w:ascii="Times New Roman" w:hAnsi="Times New Roman"/>
          <w:bCs/>
          <w:sz w:val="24"/>
          <w:szCs w:val="24"/>
          <w:lang w:val="sk-SK"/>
        </w:rPr>
        <w:t>Okrem toho, na základe našich poznatkov o účtovnej jednotke a situácii v nej, ktoré  sme získali počas auditu účtovnej závierky, sme povinní uviesť, či sme zistili významné nesprávnosti vo výročnej správe, ktorú sme obdržali pred dátumom vydania tejto správy audítora.</w:t>
      </w:r>
      <w:r>
        <w:rPr>
          <w:rStyle w:val="10"/>
          <w:rFonts w:ascii="Arial" w:hAnsi="Arial" w:cs="Arial"/>
          <w:sz w:val="24"/>
          <w:szCs w:val="24"/>
          <w:lang w:val="sk-SK"/>
        </w:rPr>
        <w:t xml:space="preserve"> </w:t>
      </w:r>
      <w:r>
        <w:rPr>
          <w:rFonts w:ascii="Times New Roman" w:hAnsi="Times New Roman"/>
          <w:bCs/>
          <w:sz w:val="24"/>
          <w:szCs w:val="24"/>
          <w:lang w:val="sk-SK"/>
        </w:rPr>
        <w:t>V tejto súvislosti neexistujú zistenia, ktoré by sme mali uviesť.</w:t>
      </w:r>
    </w:p>
    <w:p>
      <w:pPr>
        <w:pStyle w:val="22"/>
        <w:spacing w:before="120" w:after="120"/>
        <w:jc w:val="both"/>
        <w:rPr>
          <w:rFonts w:ascii="Times New Roman" w:hAnsi="Times New Roman" w:cs="Times New Roman"/>
          <w:bCs/>
          <w:u w:val="single"/>
        </w:rPr>
      </w:pPr>
    </w:p>
    <w:p>
      <w:pPr>
        <w:pStyle w:val="22"/>
        <w:spacing w:before="120" w:after="120"/>
        <w:jc w:val="both"/>
        <w:rPr>
          <w:rFonts w:ascii="Times New Roman" w:hAnsi="Times New Roman" w:cs="Times New Roman"/>
          <w:b/>
          <w:bCs/>
          <w:i/>
        </w:rPr>
      </w:pPr>
      <w:r>
        <w:rPr>
          <w:rFonts w:ascii="Times New Roman" w:hAnsi="Times New Roman" w:cs="Times New Roman"/>
          <w:b/>
          <w:bCs/>
          <w:i/>
        </w:rPr>
        <w:t>II.2 Správa z overenia dodržiavania povinností obce podľa požiadaviek zákona o rozpočtových pravidlách</w:t>
      </w:r>
    </w:p>
    <w:p>
      <w:pPr>
        <w:tabs>
          <w:tab w:val="left" w:pos="0"/>
        </w:tabs>
        <w:spacing w:before="120" w:after="240" w:line="240" w:lineRule="auto"/>
        <w:jc w:val="both"/>
        <w:rPr>
          <w:rFonts w:ascii="Times New Roman" w:hAnsi="Times New Roman"/>
          <w:sz w:val="24"/>
          <w:szCs w:val="20"/>
          <w:lang w:val="sk-SK"/>
        </w:rPr>
      </w:pPr>
      <w:r>
        <w:rPr>
          <w:rFonts w:ascii="Times New Roman" w:hAnsi="Times New Roman"/>
          <w:sz w:val="24"/>
          <w:szCs w:val="20"/>
          <w:lang w:val="sk-SK"/>
        </w:rPr>
        <w:t xml:space="preserve">Na základe overenia dodržiavania povinností podľa požiadaviek zákona o rozpočtových pravidlách, platných v SR pre územnú samosprávu v znení neskorších predpisov konštatujeme, že Obec Torysky  konala v súlade s požiadavkami zákona o rozpočtových pravidlách. </w:t>
      </w:r>
    </w:p>
    <w:p>
      <w:pPr>
        <w:pStyle w:val="22"/>
        <w:spacing w:before="120" w:after="120"/>
        <w:jc w:val="both"/>
        <w:rPr>
          <w:rFonts w:ascii="Times New Roman" w:hAnsi="Times New Roman"/>
          <w:bCs/>
        </w:rPr>
      </w:pPr>
    </w:p>
    <w:p>
      <w:pPr>
        <w:pStyle w:val="22"/>
        <w:rPr>
          <w:rFonts w:ascii="Times New Roman" w:hAnsi="Times New Roman" w:cs="Times New Roman"/>
          <w:sz w:val="22"/>
          <w:szCs w:val="22"/>
        </w:rPr>
      </w:pPr>
      <w:r>
        <w:rPr>
          <w:rFonts w:ascii="Times New Roman" w:hAnsi="Times New Roman" w:cs="Times New Roman"/>
          <w:sz w:val="22"/>
          <w:szCs w:val="22"/>
        </w:rPr>
        <w:t>Košice, 29. decembra  2022</w:t>
      </w:r>
    </w:p>
    <w:p>
      <w:pPr>
        <w:pStyle w:val="22"/>
        <w:rPr>
          <w:rFonts w:ascii="Times New Roman" w:hAnsi="Times New Roman" w:cs="Times New Roman"/>
          <w:i/>
        </w:rPr>
      </w:pPr>
    </w:p>
    <w:p>
      <w:pPr>
        <w:pStyle w:val="22"/>
        <w:rPr>
          <w:rFonts w:ascii="Times New Roman" w:hAnsi="Times New Roman" w:cs="Times New Roman"/>
          <w:i/>
        </w:rPr>
      </w:pPr>
    </w:p>
    <w:p>
      <w:pPr>
        <w:pStyle w:val="22"/>
        <w:rPr>
          <w:rFonts w:ascii="Times New Roman" w:hAnsi="Times New Roman" w:cs="Times New Roman"/>
          <w:i/>
        </w:rPr>
      </w:pPr>
    </w:p>
    <w:p>
      <w:pPr>
        <w:pStyle w:val="22"/>
        <w:rPr>
          <w:rFonts w:ascii="Times New Roman" w:hAnsi="Times New Roman" w:cs="Times New Roman"/>
          <w:i/>
        </w:rPr>
      </w:pPr>
    </w:p>
    <w:p>
      <w:pPr>
        <w:pStyle w:val="22"/>
        <w:rPr>
          <w:rFonts w:ascii="Times New Roman" w:hAnsi="Times New Roman" w:cs="Times New Roman"/>
          <w:i/>
        </w:rPr>
      </w:pPr>
    </w:p>
    <w:p>
      <w:pPr>
        <w:pStyle w:val="22"/>
        <w:rPr>
          <w:rFonts w:ascii="Times New Roman" w:hAnsi="Times New Roman" w:cs="Times New Roman"/>
          <w:i/>
        </w:rPr>
      </w:pPr>
    </w:p>
    <w:p>
      <w:pPr>
        <w:pStyle w:val="22"/>
        <w:rPr>
          <w:rFonts w:ascii="Times New Roman" w:hAnsi="Times New Roman" w:cs="Times New Roman"/>
          <w:i/>
        </w:rPr>
      </w:pPr>
    </w:p>
    <w:p>
      <w:pPr>
        <w:pStyle w:val="22"/>
        <w:rPr>
          <w:rFonts w:ascii="Times New Roman" w:hAnsi="Times New Roman" w:cs="Times New Roman"/>
          <w:sz w:val="22"/>
          <w:szCs w:val="22"/>
        </w:rPr>
      </w:pPr>
      <w:r>
        <w:rPr>
          <w:rFonts w:ascii="Times New Roman" w:hAnsi="Times New Roman" w:cs="Times New Roman"/>
          <w:sz w:val="22"/>
          <w:szCs w:val="22"/>
        </w:rPr>
        <w:t>AUDIT-LD, s.r.o.                                                                                 Ing. Ľubica Leuschel, CA</w:t>
      </w:r>
    </w:p>
    <w:p>
      <w:pPr>
        <w:pStyle w:val="22"/>
        <w:rPr>
          <w:rFonts w:ascii="Times New Roman" w:hAnsi="Times New Roman" w:cs="Times New Roman"/>
          <w:sz w:val="22"/>
          <w:szCs w:val="22"/>
        </w:rPr>
      </w:pPr>
      <w:r>
        <w:rPr>
          <w:rFonts w:ascii="Times New Roman" w:hAnsi="Times New Roman" w:cs="Times New Roman"/>
          <w:sz w:val="22"/>
          <w:szCs w:val="22"/>
        </w:rPr>
        <w:t>Podtatranského 962/2                                                                         Kľúčový štatutárny audítor</w:t>
      </w:r>
    </w:p>
    <w:p>
      <w:pPr>
        <w:pStyle w:val="22"/>
        <w:rPr>
          <w:rFonts w:ascii="Times New Roman" w:hAnsi="Times New Roman" w:cs="Times New Roman"/>
          <w:sz w:val="20"/>
          <w:szCs w:val="20"/>
        </w:rPr>
      </w:pPr>
      <w:r>
        <w:rPr>
          <w:rFonts w:ascii="Times New Roman" w:hAnsi="Times New Roman" w:cs="Times New Roman"/>
          <w:sz w:val="20"/>
          <w:szCs w:val="20"/>
        </w:rPr>
        <w:t>040 01 Košice –mestská časť                                                                              Licencia UDVA č. 368</w:t>
      </w:r>
    </w:p>
    <w:p>
      <w:pPr>
        <w:pStyle w:val="22"/>
        <w:rPr>
          <w:rFonts w:ascii="Times New Roman" w:hAnsi="Times New Roman" w:cs="Times New Roman"/>
          <w:sz w:val="22"/>
          <w:szCs w:val="22"/>
        </w:rPr>
      </w:pPr>
      <w:r>
        <w:rPr>
          <w:rFonts w:ascii="Times New Roman" w:hAnsi="Times New Roman" w:cs="Times New Roman"/>
          <w:sz w:val="20"/>
          <w:szCs w:val="20"/>
        </w:rPr>
        <w:t xml:space="preserve">            Staré Mesto       </w:t>
      </w:r>
      <w:r>
        <w:rPr>
          <w:rFonts w:ascii="Times New Roman" w:hAnsi="Times New Roman" w:cs="Times New Roman"/>
          <w:sz w:val="22"/>
          <w:szCs w:val="22"/>
        </w:rPr>
        <w:t xml:space="preserve">                                                                                    </w:t>
      </w:r>
    </w:p>
    <w:p>
      <w:pPr>
        <w:pStyle w:val="22"/>
        <w:rPr>
          <w:rFonts w:ascii="Times New Roman" w:hAnsi="Times New Roman" w:cs="Times New Roman"/>
          <w:sz w:val="20"/>
          <w:szCs w:val="20"/>
        </w:rPr>
      </w:pPr>
      <w:r>
        <w:rPr>
          <w:rFonts w:ascii="Times New Roman" w:hAnsi="Times New Roman" w:cs="Times New Roman"/>
          <w:sz w:val="20"/>
          <w:szCs w:val="20"/>
        </w:rPr>
        <w:t>Licencia UDVA č. 359</w:t>
      </w:r>
    </w:p>
    <w:p>
      <w:pPr>
        <w:pStyle w:val="22"/>
        <w:rPr>
          <w:rFonts w:ascii="Times New Roman" w:hAnsi="Times New Roman" w:cs="Times New Roman"/>
          <w:sz w:val="18"/>
          <w:szCs w:val="18"/>
        </w:rPr>
      </w:pPr>
      <w:r>
        <w:rPr>
          <w:rFonts w:ascii="Times New Roman" w:hAnsi="Times New Roman" w:cs="Times New Roman"/>
          <w:sz w:val="18"/>
          <w:szCs w:val="18"/>
        </w:rPr>
        <w:t xml:space="preserve">OR OS Košice I,Odd. Sro, vl.č. 25885/V </w:t>
      </w: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sz w:val="18"/>
          <w:szCs w:val="18"/>
        </w:rPr>
      </w:pPr>
    </w:p>
    <w:p>
      <w:pPr>
        <w:pStyle w:val="22"/>
        <w:rPr>
          <w:rFonts w:ascii="Times New Roman" w:hAnsi="Times New Roman" w:cs="Times New Roman"/>
          <w:i/>
        </w:rPr>
      </w:pPr>
    </w:p>
    <w:sectPr>
      <w:pgSz w:w="11900" w:h="16840"/>
      <w:pgMar w:top="1134" w:right="1134" w:bottom="1077" w:left="964" w:header="284" w:footer="284" w:gutter="0"/>
      <w:cols w:space="708"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EE"/>
    <w:family w:val="roman"/>
    <w:pitch w:val="default"/>
    <w:sig w:usb0="E00006FF" w:usb1="420024FF" w:usb2="02000000" w:usb3="00000000" w:csb0="2000019F" w:csb1="00000000"/>
  </w:font>
  <w:font w:name="Calibri">
    <w:panose1 w:val="020F0502020204030204"/>
    <w:charset w:val="EE"/>
    <w:family w:val="swiss"/>
    <w:pitch w:val="default"/>
    <w:sig w:usb0="E4002EFF" w:usb1="C000247B" w:usb2="00000009" w:usb3="00000000" w:csb0="200001FF" w:csb1="00000000"/>
  </w:font>
  <w:font w:name="Tahoma">
    <w:panose1 w:val="020B0604030504040204"/>
    <w:charset w:val="EE"/>
    <w:family w:val="swiss"/>
    <w:pitch w:val="default"/>
    <w:sig w:usb0="E1002EFF" w:usb1="C000605B" w:usb2="00000029" w:usb3="00000000" w:csb0="200101FF" w:csb1="20280000"/>
  </w:font>
  <w:font w:name="Arial">
    <w:panose1 w:val="020B0604020202020204"/>
    <w:charset w:val="EE"/>
    <w:family w:val="swiss"/>
    <w:pitch w:val="default"/>
    <w:sig w:usb0="E0002EFF" w:usb1="C000785B" w:usb2="00000009" w:usb3="00000000" w:csb0="400001FF" w:csb1="FFFF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EE"/>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413E1E"/>
    <w:multiLevelType w:val="multilevel"/>
    <w:tmpl w:val="14413E1E"/>
    <w:lvl w:ilvl="0" w:tentative="0">
      <w:start w:val="1"/>
      <w:numFmt w:val="upperRoman"/>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4EB0A79"/>
    <w:multiLevelType w:val="multilevel"/>
    <w:tmpl w:val="24EB0A7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6BD8168B"/>
    <w:multiLevelType w:val="multilevel"/>
    <w:tmpl w:val="6BD8168B"/>
    <w:lvl w:ilvl="0" w:tentative="0">
      <w:start w:val="0"/>
      <w:numFmt w:val="bullet"/>
      <w:lvlText w:val=""/>
      <w:lvlJc w:val="left"/>
      <w:pPr>
        <w:ind w:left="720" w:hanging="360"/>
      </w:pPr>
      <w:rPr>
        <w:rFonts w:hint="default" w:ascii="Symbol" w:hAnsi="Symbol" w:eastAsiaTheme="minorHAnsi" w:cstheme="minorBid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425"/>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2B2"/>
    <w:rsid w:val="00005C3B"/>
    <w:rsid w:val="000134E7"/>
    <w:rsid w:val="000170F7"/>
    <w:rsid w:val="00017DB9"/>
    <w:rsid w:val="000202C7"/>
    <w:rsid w:val="00022827"/>
    <w:rsid w:val="00041FEB"/>
    <w:rsid w:val="000448F5"/>
    <w:rsid w:val="00044F45"/>
    <w:rsid w:val="000600B9"/>
    <w:rsid w:val="00063B7D"/>
    <w:rsid w:val="000652E2"/>
    <w:rsid w:val="00066261"/>
    <w:rsid w:val="00070D09"/>
    <w:rsid w:val="00080991"/>
    <w:rsid w:val="000B53DC"/>
    <w:rsid w:val="000C1792"/>
    <w:rsid w:val="000C3C4D"/>
    <w:rsid w:val="000C6814"/>
    <w:rsid w:val="000E21A4"/>
    <w:rsid w:val="000E3B51"/>
    <w:rsid w:val="000E5841"/>
    <w:rsid w:val="000E5A06"/>
    <w:rsid w:val="000F101D"/>
    <w:rsid w:val="000F3E62"/>
    <w:rsid w:val="000F7757"/>
    <w:rsid w:val="001105FA"/>
    <w:rsid w:val="00112F72"/>
    <w:rsid w:val="0011504A"/>
    <w:rsid w:val="001175C7"/>
    <w:rsid w:val="001219E9"/>
    <w:rsid w:val="00121BE1"/>
    <w:rsid w:val="00125391"/>
    <w:rsid w:val="00126BD1"/>
    <w:rsid w:val="00140E8F"/>
    <w:rsid w:val="001474CE"/>
    <w:rsid w:val="001501CB"/>
    <w:rsid w:val="00155297"/>
    <w:rsid w:val="00157751"/>
    <w:rsid w:val="00190577"/>
    <w:rsid w:val="00192CA9"/>
    <w:rsid w:val="00193877"/>
    <w:rsid w:val="001B1687"/>
    <w:rsid w:val="001C5A80"/>
    <w:rsid w:val="001F2FB4"/>
    <w:rsid w:val="001F420E"/>
    <w:rsid w:val="001F5564"/>
    <w:rsid w:val="0020463A"/>
    <w:rsid w:val="00206CBA"/>
    <w:rsid w:val="00213B29"/>
    <w:rsid w:val="00214E48"/>
    <w:rsid w:val="002160F6"/>
    <w:rsid w:val="00222411"/>
    <w:rsid w:val="00222CA0"/>
    <w:rsid w:val="002301B3"/>
    <w:rsid w:val="00231AC6"/>
    <w:rsid w:val="002402C5"/>
    <w:rsid w:val="00251292"/>
    <w:rsid w:val="00254C53"/>
    <w:rsid w:val="00263CB3"/>
    <w:rsid w:val="00267DBC"/>
    <w:rsid w:val="00270D89"/>
    <w:rsid w:val="00272AC1"/>
    <w:rsid w:val="00275D73"/>
    <w:rsid w:val="00276121"/>
    <w:rsid w:val="002773D5"/>
    <w:rsid w:val="00283A2A"/>
    <w:rsid w:val="00287EAA"/>
    <w:rsid w:val="002A17B9"/>
    <w:rsid w:val="002A2E41"/>
    <w:rsid w:val="002A3A61"/>
    <w:rsid w:val="002A5C9B"/>
    <w:rsid w:val="002C125A"/>
    <w:rsid w:val="002D28EB"/>
    <w:rsid w:val="002D4523"/>
    <w:rsid w:val="002E046A"/>
    <w:rsid w:val="002E04F1"/>
    <w:rsid w:val="002F0B0A"/>
    <w:rsid w:val="00310EC8"/>
    <w:rsid w:val="0032378B"/>
    <w:rsid w:val="00323DF3"/>
    <w:rsid w:val="003240E3"/>
    <w:rsid w:val="00324581"/>
    <w:rsid w:val="003331DB"/>
    <w:rsid w:val="00336455"/>
    <w:rsid w:val="00346B36"/>
    <w:rsid w:val="00354ABE"/>
    <w:rsid w:val="00360798"/>
    <w:rsid w:val="00374DEB"/>
    <w:rsid w:val="00382A56"/>
    <w:rsid w:val="003836FD"/>
    <w:rsid w:val="003A153D"/>
    <w:rsid w:val="003A4043"/>
    <w:rsid w:val="003A4BEF"/>
    <w:rsid w:val="003A7CB2"/>
    <w:rsid w:val="003B5E34"/>
    <w:rsid w:val="003B6508"/>
    <w:rsid w:val="003C6AA4"/>
    <w:rsid w:val="003D254D"/>
    <w:rsid w:val="003E1E96"/>
    <w:rsid w:val="003E2F63"/>
    <w:rsid w:val="003E6304"/>
    <w:rsid w:val="003F0D92"/>
    <w:rsid w:val="003F29F5"/>
    <w:rsid w:val="004002A5"/>
    <w:rsid w:val="004033DE"/>
    <w:rsid w:val="00422AD3"/>
    <w:rsid w:val="0044238D"/>
    <w:rsid w:val="004438BA"/>
    <w:rsid w:val="00465ACB"/>
    <w:rsid w:val="00475996"/>
    <w:rsid w:val="00476E34"/>
    <w:rsid w:val="00480970"/>
    <w:rsid w:val="00482A33"/>
    <w:rsid w:val="004835B8"/>
    <w:rsid w:val="00484DDE"/>
    <w:rsid w:val="0048696E"/>
    <w:rsid w:val="00491ACA"/>
    <w:rsid w:val="0049532D"/>
    <w:rsid w:val="004D4DA9"/>
    <w:rsid w:val="004E0A84"/>
    <w:rsid w:val="004E1EA2"/>
    <w:rsid w:val="004E5A8F"/>
    <w:rsid w:val="004F0349"/>
    <w:rsid w:val="004F67B4"/>
    <w:rsid w:val="004F789C"/>
    <w:rsid w:val="005103D2"/>
    <w:rsid w:val="005379A1"/>
    <w:rsid w:val="00557388"/>
    <w:rsid w:val="005605C2"/>
    <w:rsid w:val="00562645"/>
    <w:rsid w:val="00570D18"/>
    <w:rsid w:val="00580D74"/>
    <w:rsid w:val="005813F9"/>
    <w:rsid w:val="005819AF"/>
    <w:rsid w:val="00581D82"/>
    <w:rsid w:val="005925D0"/>
    <w:rsid w:val="005946EF"/>
    <w:rsid w:val="00594BA8"/>
    <w:rsid w:val="0059571A"/>
    <w:rsid w:val="005957AA"/>
    <w:rsid w:val="005A074E"/>
    <w:rsid w:val="005B4515"/>
    <w:rsid w:val="005B48B2"/>
    <w:rsid w:val="005C0126"/>
    <w:rsid w:val="005C6521"/>
    <w:rsid w:val="005C6F67"/>
    <w:rsid w:val="005D05F3"/>
    <w:rsid w:val="005E1929"/>
    <w:rsid w:val="005E68B8"/>
    <w:rsid w:val="005E7429"/>
    <w:rsid w:val="005F13E5"/>
    <w:rsid w:val="005F1B1E"/>
    <w:rsid w:val="005F7B75"/>
    <w:rsid w:val="00601A7C"/>
    <w:rsid w:val="0060758E"/>
    <w:rsid w:val="00607AF5"/>
    <w:rsid w:val="00613295"/>
    <w:rsid w:val="00624840"/>
    <w:rsid w:val="00627AC4"/>
    <w:rsid w:val="006367A8"/>
    <w:rsid w:val="006401AE"/>
    <w:rsid w:val="0064191F"/>
    <w:rsid w:val="006439A9"/>
    <w:rsid w:val="00651BE3"/>
    <w:rsid w:val="00657911"/>
    <w:rsid w:val="00657CC3"/>
    <w:rsid w:val="006631E8"/>
    <w:rsid w:val="00680E4C"/>
    <w:rsid w:val="00690E59"/>
    <w:rsid w:val="00690FCF"/>
    <w:rsid w:val="006A3A0D"/>
    <w:rsid w:val="006C23A1"/>
    <w:rsid w:val="006D05F0"/>
    <w:rsid w:val="006E627D"/>
    <w:rsid w:val="00700A75"/>
    <w:rsid w:val="00705286"/>
    <w:rsid w:val="00705499"/>
    <w:rsid w:val="00710D7E"/>
    <w:rsid w:val="007210BE"/>
    <w:rsid w:val="00721E61"/>
    <w:rsid w:val="007276A6"/>
    <w:rsid w:val="00732194"/>
    <w:rsid w:val="007322EC"/>
    <w:rsid w:val="00735B81"/>
    <w:rsid w:val="00742EB3"/>
    <w:rsid w:val="00745420"/>
    <w:rsid w:val="00750255"/>
    <w:rsid w:val="007571FC"/>
    <w:rsid w:val="00774A87"/>
    <w:rsid w:val="0077794B"/>
    <w:rsid w:val="00782E0D"/>
    <w:rsid w:val="00787019"/>
    <w:rsid w:val="0079099E"/>
    <w:rsid w:val="00790CFA"/>
    <w:rsid w:val="007969A5"/>
    <w:rsid w:val="0079760D"/>
    <w:rsid w:val="007A277B"/>
    <w:rsid w:val="007A52B6"/>
    <w:rsid w:val="007A58CB"/>
    <w:rsid w:val="007A77F0"/>
    <w:rsid w:val="007B4E4D"/>
    <w:rsid w:val="007C32D5"/>
    <w:rsid w:val="007C7A22"/>
    <w:rsid w:val="007E5AFC"/>
    <w:rsid w:val="007E6D6D"/>
    <w:rsid w:val="00804590"/>
    <w:rsid w:val="00804E88"/>
    <w:rsid w:val="00811FDC"/>
    <w:rsid w:val="00813A1B"/>
    <w:rsid w:val="00817683"/>
    <w:rsid w:val="00823292"/>
    <w:rsid w:val="008248E2"/>
    <w:rsid w:val="00842C02"/>
    <w:rsid w:val="0084531C"/>
    <w:rsid w:val="008609B0"/>
    <w:rsid w:val="00867D1F"/>
    <w:rsid w:val="008716E4"/>
    <w:rsid w:val="00875933"/>
    <w:rsid w:val="008A108B"/>
    <w:rsid w:val="008A3968"/>
    <w:rsid w:val="008B55C0"/>
    <w:rsid w:val="008C0A33"/>
    <w:rsid w:val="008C18ED"/>
    <w:rsid w:val="008D393A"/>
    <w:rsid w:val="008D7985"/>
    <w:rsid w:val="008F03A7"/>
    <w:rsid w:val="008F2B94"/>
    <w:rsid w:val="009122F6"/>
    <w:rsid w:val="00914DE4"/>
    <w:rsid w:val="00925838"/>
    <w:rsid w:val="00935327"/>
    <w:rsid w:val="00946C21"/>
    <w:rsid w:val="00961333"/>
    <w:rsid w:val="0096532C"/>
    <w:rsid w:val="00966561"/>
    <w:rsid w:val="00970B33"/>
    <w:rsid w:val="00973FBF"/>
    <w:rsid w:val="00974F10"/>
    <w:rsid w:val="0097552B"/>
    <w:rsid w:val="009818C4"/>
    <w:rsid w:val="00983AD9"/>
    <w:rsid w:val="009B0623"/>
    <w:rsid w:val="009B5C8C"/>
    <w:rsid w:val="009B61AE"/>
    <w:rsid w:val="009C0AE9"/>
    <w:rsid w:val="009C703A"/>
    <w:rsid w:val="009D2B3A"/>
    <w:rsid w:val="009D5B94"/>
    <w:rsid w:val="009F0EDA"/>
    <w:rsid w:val="009F4431"/>
    <w:rsid w:val="00A01F71"/>
    <w:rsid w:val="00A02E12"/>
    <w:rsid w:val="00A13A0C"/>
    <w:rsid w:val="00A14734"/>
    <w:rsid w:val="00A212A8"/>
    <w:rsid w:val="00A313E1"/>
    <w:rsid w:val="00A337DD"/>
    <w:rsid w:val="00A341A5"/>
    <w:rsid w:val="00A34384"/>
    <w:rsid w:val="00A40551"/>
    <w:rsid w:val="00A42A6C"/>
    <w:rsid w:val="00A459D8"/>
    <w:rsid w:val="00A57BED"/>
    <w:rsid w:val="00A57CCD"/>
    <w:rsid w:val="00A6216F"/>
    <w:rsid w:val="00A704F8"/>
    <w:rsid w:val="00A71F53"/>
    <w:rsid w:val="00A821D3"/>
    <w:rsid w:val="00A84357"/>
    <w:rsid w:val="00A85EF0"/>
    <w:rsid w:val="00A87D39"/>
    <w:rsid w:val="00AA1213"/>
    <w:rsid w:val="00AA1E23"/>
    <w:rsid w:val="00AB75D9"/>
    <w:rsid w:val="00AC04F8"/>
    <w:rsid w:val="00AD2784"/>
    <w:rsid w:val="00AF3894"/>
    <w:rsid w:val="00AF394C"/>
    <w:rsid w:val="00B01AE4"/>
    <w:rsid w:val="00B03AEF"/>
    <w:rsid w:val="00B24E9F"/>
    <w:rsid w:val="00B3642E"/>
    <w:rsid w:val="00B36A18"/>
    <w:rsid w:val="00B37040"/>
    <w:rsid w:val="00B47169"/>
    <w:rsid w:val="00B56F5B"/>
    <w:rsid w:val="00B709D6"/>
    <w:rsid w:val="00B8066E"/>
    <w:rsid w:val="00B87E69"/>
    <w:rsid w:val="00B94FEA"/>
    <w:rsid w:val="00B9715E"/>
    <w:rsid w:val="00BA5AA9"/>
    <w:rsid w:val="00BB0F21"/>
    <w:rsid w:val="00BB4D14"/>
    <w:rsid w:val="00BB52ED"/>
    <w:rsid w:val="00BC1D90"/>
    <w:rsid w:val="00BD6CCC"/>
    <w:rsid w:val="00BE5A19"/>
    <w:rsid w:val="00BE63C3"/>
    <w:rsid w:val="00BF256A"/>
    <w:rsid w:val="00BF291A"/>
    <w:rsid w:val="00BF69C3"/>
    <w:rsid w:val="00BF7818"/>
    <w:rsid w:val="00BF7AE9"/>
    <w:rsid w:val="00C13E68"/>
    <w:rsid w:val="00C218F5"/>
    <w:rsid w:val="00C24C95"/>
    <w:rsid w:val="00C42F40"/>
    <w:rsid w:val="00C54A7D"/>
    <w:rsid w:val="00C628DE"/>
    <w:rsid w:val="00C82B09"/>
    <w:rsid w:val="00C942B2"/>
    <w:rsid w:val="00CC127B"/>
    <w:rsid w:val="00CC72AA"/>
    <w:rsid w:val="00CC7B74"/>
    <w:rsid w:val="00CD14DD"/>
    <w:rsid w:val="00CD3417"/>
    <w:rsid w:val="00CD4193"/>
    <w:rsid w:val="00CD4BB4"/>
    <w:rsid w:val="00CE1FD7"/>
    <w:rsid w:val="00CE5BD8"/>
    <w:rsid w:val="00CE5EBB"/>
    <w:rsid w:val="00CF0432"/>
    <w:rsid w:val="00CF0907"/>
    <w:rsid w:val="00CF4AA7"/>
    <w:rsid w:val="00D03226"/>
    <w:rsid w:val="00D0372B"/>
    <w:rsid w:val="00D14784"/>
    <w:rsid w:val="00D14813"/>
    <w:rsid w:val="00D2412A"/>
    <w:rsid w:val="00D35735"/>
    <w:rsid w:val="00D55DCE"/>
    <w:rsid w:val="00D62F5B"/>
    <w:rsid w:val="00D72238"/>
    <w:rsid w:val="00D80ABA"/>
    <w:rsid w:val="00D810AC"/>
    <w:rsid w:val="00D92F8D"/>
    <w:rsid w:val="00D93355"/>
    <w:rsid w:val="00D9550D"/>
    <w:rsid w:val="00D97CEB"/>
    <w:rsid w:val="00DA7195"/>
    <w:rsid w:val="00DA7774"/>
    <w:rsid w:val="00DB0640"/>
    <w:rsid w:val="00DC105B"/>
    <w:rsid w:val="00DE0C13"/>
    <w:rsid w:val="00DE217F"/>
    <w:rsid w:val="00E05C4F"/>
    <w:rsid w:val="00E103FD"/>
    <w:rsid w:val="00E11973"/>
    <w:rsid w:val="00E16BD2"/>
    <w:rsid w:val="00E25E76"/>
    <w:rsid w:val="00E26787"/>
    <w:rsid w:val="00E31E2B"/>
    <w:rsid w:val="00E32866"/>
    <w:rsid w:val="00E350A5"/>
    <w:rsid w:val="00E35A1F"/>
    <w:rsid w:val="00E525F0"/>
    <w:rsid w:val="00E55E63"/>
    <w:rsid w:val="00E704E2"/>
    <w:rsid w:val="00E80AE6"/>
    <w:rsid w:val="00E85411"/>
    <w:rsid w:val="00E86D43"/>
    <w:rsid w:val="00E91DBB"/>
    <w:rsid w:val="00E94F47"/>
    <w:rsid w:val="00EB4076"/>
    <w:rsid w:val="00EC05ED"/>
    <w:rsid w:val="00EC237D"/>
    <w:rsid w:val="00ED4166"/>
    <w:rsid w:val="00EE3BEC"/>
    <w:rsid w:val="00EF2CE1"/>
    <w:rsid w:val="00EF3A0E"/>
    <w:rsid w:val="00EF3A3A"/>
    <w:rsid w:val="00F06C8B"/>
    <w:rsid w:val="00F1557A"/>
    <w:rsid w:val="00F32EAF"/>
    <w:rsid w:val="00F440C6"/>
    <w:rsid w:val="00F4708C"/>
    <w:rsid w:val="00F508C2"/>
    <w:rsid w:val="00F54E51"/>
    <w:rsid w:val="00F57B9E"/>
    <w:rsid w:val="00F64E51"/>
    <w:rsid w:val="00F6502E"/>
    <w:rsid w:val="00F779F5"/>
    <w:rsid w:val="00F80665"/>
    <w:rsid w:val="00F8630E"/>
    <w:rsid w:val="00FB2068"/>
    <w:rsid w:val="00FB6EB9"/>
    <w:rsid w:val="00FC75BF"/>
    <w:rsid w:val="00FD210D"/>
    <w:rsid w:val="00FD7601"/>
    <w:rsid w:val="00FE126E"/>
    <w:rsid w:val="00FE71F1"/>
    <w:rsid w:val="00FF354B"/>
    <w:rsid w:val="50491F2C"/>
  </w:rsids>
  <m:mathPr>
    <m:mathFont m:val="Cambria Math"/>
    <m:brkBin m:val="before"/>
    <m:brkBinSub m:val="--"/>
    <m:smallFrac m:val="0"/>
    <m:dispDef m:val="0"/>
    <m:lMargin m:val="0"/>
    <m:rMargin m:val="0"/>
    <m:defJc m:val="centerGroup"/>
    <m:wrapRight m:val="1"/>
    <m:intLim m:val="subSup"/>
    <m:naryLim m:val="subSup"/>
  </m:mathPr>
  <w:doNotAutoCompressPictures/>
  <w:themeFontLang w:val="sk-SK"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mbria" w:hAnsi="Cambria" w:eastAsia="Cambr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paragraph" w:styleId="2">
    <w:name w:val="heading 3"/>
    <w:basedOn w:val="1"/>
    <w:next w:val="1"/>
    <w:link w:val="21"/>
    <w:qFormat/>
    <w:uiPriority w:val="9"/>
    <w:pPr>
      <w:keepNext/>
      <w:spacing w:before="240" w:after="60"/>
      <w:outlineLvl w:val="2"/>
    </w:pPr>
    <w:rPr>
      <w:rFonts w:eastAsia="Times New Roman"/>
      <w:b/>
      <w:bCs/>
      <w:sz w:val="26"/>
      <w:szCs w:val="26"/>
    </w:rPr>
  </w:style>
  <w:style w:type="character" w:default="1" w:styleId="3">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17"/>
    <w:semiHidden/>
    <w:unhideWhenUsed/>
    <w:uiPriority w:val="99"/>
    <w:pPr>
      <w:spacing w:after="0" w:line="240" w:lineRule="auto"/>
    </w:pPr>
    <w:rPr>
      <w:rFonts w:ascii="Tahoma" w:hAnsi="Tahoma" w:cs="Tahoma"/>
      <w:sz w:val="16"/>
      <w:szCs w:val="16"/>
    </w:rPr>
  </w:style>
  <w:style w:type="paragraph" w:styleId="6">
    <w:name w:val="Body Text"/>
    <w:basedOn w:val="1"/>
    <w:link w:val="25"/>
    <w:qFormat/>
    <w:uiPriority w:val="1"/>
    <w:pPr>
      <w:widowControl w:val="0"/>
      <w:spacing w:after="0" w:line="240" w:lineRule="auto"/>
      <w:ind w:left="125" w:hanging="283"/>
    </w:pPr>
    <w:rPr>
      <w:rFonts w:ascii="Times New Roman" w:hAnsi="Times New Roman" w:eastAsia="Times New Roman" w:cstheme="minorBidi"/>
      <w:sz w:val="20"/>
      <w:szCs w:val="20"/>
    </w:rPr>
  </w:style>
  <w:style w:type="character" w:styleId="7">
    <w:name w:val="annotation reference"/>
    <w:semiHidden/>
    <w:unhideWhenUsed/>
    <w:uiPriority w:val="99"/>
    <w:rPr>
      <w:sz w:val="18"/>
      <w:szCs w:val="18"/>
    </w:rPr>
  </w:style>
  <w:style w:type="paragraph" w:styleId="8">
    <w:name w:val="annotation text"/>
    <w:basedOn w:val="1"/>
    <w:link w:val="18"/>
    <w:semiHidden/>
    <w:unhideWhenUsed/>
    <w:qFormat/>
    <w:uiPriority w:val="99"/>
    <w:rPr>
      <w:sz w:val="24"/>
      <w:szCs w:val="24"/>
    </w:rPr>
  </w:style>
  <w:style w:type="paragraph" w:styleId="9">
    <w:name w:val="annotation subject"/>
    <w:basedOn w:val="8"/>
    <w:next w:val="8"/>
    <w:link w:val="19"/>
    <w:semiHidden/>
    <w:unhideWhenUsed/>
    <w:uiPriority w:val="99"/>
    <w:rPr>
      <w:b/>
      <w:bCs/>
      <w:sz w:val="20"/>
      <w:szCs w:val="20"/>
    </w:rPr>
  </w:style>
  <w:style w:type="character" w:styleId="10">
    <w:name w:val="footnote reference"/>
    <w:uiPriority w:val="0"/>
    <w:rPr>
      <w:vertAlign w:val="superscript"/>
    </w:rPr>
  </w:style>
  <w:style w:type="paragraph" w:styleId="11">
    <w:name w:val="footnote text"/>
    <w:basedOn w:val="1"/>
    <w:link w:val="15"/>
    <w:uiPriority w:val="0"/>
    <w:pPr>
      <w:tabs>
        <w:tab w:val="left" w:pos="480"/>
      </w:tabs>
      <w:spacing w:before="120" w:after="0" w:line="240" w:lineRule="exact"/>
      <w:ind w:left="480" w:hanging="480"/>
      <w:jc w:val="both"/>
    </w:pPr>
    <w:rPr>
      <w:rFonts w:ascii="Times New Roman" w:hAnsi="Times New Roman" w:eastAsia="Times New Roman"/>
      <w:kern w:val="8"/>
      <w:sz w:val="20"/>
      <w:szCs w:val="20"/>
      <w:lang w:bidi="he-IL"/>
    </w:rPr>
  </w:style>
  <w:style w:type="character" w:styleId="12">
    <w:name w:val="Hyperlink"/>
    <w:unhideWhenUsed/>
    <w:uiPriority w:val="99"/>
    <w:rPr>
      <w:color w:val="0000FF"/>
      <w:u w:val="single"/>
    </w:rPr>
  </w:style>
  <w:style w:type="paragraph" w:customStyle="1" w:styleId="13">
    <w:name w:val="level 2"/>
    <w:basedOn w:val="1"/>
    <w:uiPriority w:val="0"/>
    <w:pPr>
      <w:tabs>
        <w:tab w:val="right" w:pos="360"/>
        <w:tab w:val="left" w:pos="576"/>
      </w:tabs>
      <w:spacing w:before="120" w:after="120" w:line="220" w:lineRule="exact"/>
      <w:ind w:left="1008" w:hanging="432"/>
      <w:jc w:val="both"/>
    </w:pPr>
    <w:rPr>
      <w:rFonts w:ascii="Times New Roman" w:hAnsi="Times New Roman" w:eastAsia="Times New Roman"/>
      <w:kern w:val="8"/>
      <w:sz w:val="20"/>
      <w:szCs w:val="20"/>
      <w:lang w:bidi="he-IL"/>
    </w:rPr>
  </w:style>
  <w:style w:type="character" w:customStyle="1" w:styleId="14">
    <w:name w:val="Footnote Text Char"/>
    <w:semiHidden/>
    <w:uiPriority w:val="99"/>
    <w:rPr>
      <w:rFonts w:ascii="Calibri" w:hAnsi="Calibri" w:eastAsia="Calibri" w:cs="Times New Roman"/>
    </w:rPr>
  </w:style>
  <w:style w:type="character" w:customStyle="1" w:styleId="15">
    <w:name w:val="Text poznámky pod čiarou Char"/>
    <w:link w:val="11"/>
    <w:qFormat/>
    <w:uiPriority w:val="0"/>
    <w:rPr>
      <w:rFonts w:ascii="Times New Roman" w:hAnsi="Times New Roman" w:eastAsia="Times New Roman" w:cs="Times New Roman"/>
      <w:kern w:val="8"/>
      <w:sz w:val="20"/>
      <w:szCs w:val="20"/>
      <w:lang w:bidi="he-IL"/>
    </w:rPr>
  </w:style>
  <w:style w:type="paragraph" w:customStyle="1" w:styleId="16">
    <w:name w:val="Numbered Paragraph Char Char"/>
    <w:basedOn w:val="1"/>
    <w:uiPriority w:val="0"/>
    <w:pPr>
      <w:widowControl w:val="0"/>
      <w:tabs>
        <w:tab w:val="right" w:pos="312"/>
        <w:tab w:val="left" w:pos="480"/>
      </w:tabs>
      <w:overflowPunct w:val="0"/>
      <w:autoSpaceDE w:val="0"/>
      <w:autoSpaceDN w:val="0"/>
      <w:adjustRightInd w:val="0"/>
      <w:spacing w:before="120" w:after="0" w:line="280" w:lineRule="exact"/>
      <w:ind w:left="480" w:hanging="480"/>
      <w:jc w:val="both"/>
      <w:textAlignment w:val="baseline"/>
    </w:pPr>
    <w:rPr>
      <w:rFonts w:ascii="Times New Roman" w:hAnsi="Times New Roman" w:eastAsia="Times New Roman"/>
      <w:kern w:val="8"/>
      <w:sz w:val="24"/>
      <w:szCs w:val="24"/>
      <w:lang w:bidi="he-IL"/>
    </w:rPr>
  </w:style>
  <w:style w:type="character" w:customStyle="1" w:styleId="17">
    <w:name w:val="Text bubliny Char"/>
    <w:link w:val="5"/>
    <w:semiHidden/>
    <w:qFormat/>
    <w:uiPriority w:val="99"/>
    <w:rPr>
      <w:rFonts w:ascii="Tahoma" w:hAnsi="Tahoma" w:eastAsia="Calibri" w:cs="Tahoma"/>
      <w:sz w:val="16"/>
      <w:szCs w:val="16"/>
      <w:lang w:val="en-US" w:eastAsia="en-US"/>
    </w:rPr>
  </w:style>
  <w:style w:type="character" w:customStyle="1" w:styleId="18">
    <w:name w:val="Text komentára Char"/>
    <w:link w:val="8"/>
    <w:semiHidden/>
    <w:uiPriority w:val="99"/>
    <w:rPr>
      <w:rFonts w:ascii="Calibri" w:hAnsi="Calibri" w:eastAsia="Calibri"/>
      <w:sz w:val="24"/>
      <w:szCs w:val="24"/>
    </w:rPr>
  </w:style>
  <w:style w:type="character" w:customStyle="1" w:styleId="19">
    <w:name w:val="Predmet komentára Char"/>
    <w:link w:val="9"/>
    <w:semiHidden/>
    <w:uiPriority w:val="99"/>
    <w:rPr>
      <w:rFonts w:ascii="Calibri" w:hAnsi="Calibri" w:eastAsia="Calibri"/>
      <w:b/>
      <w:bCs/>
      <w:sz w:val="24"/>
      <w:szCs w:val="24"/>
    </w:rPr>
  </w:style>
  <w:style w:type="paragraph" w:customStyle="1" w:styleId="20">
    <w:name w:val="Heading 3/2"/>
    <w:basedOn w:val="2"/>
    <w:uiPriority w:val="0"/>
    <w:pPr>
      <w:keepNext w:val="0"/>
      <w:spacing w:before="120" w:after="0" w:line="240" w:lineRule="exact"/>
      <w:ind w:left="1236" w:right="360" w:hanging="527"/>
      <w:jc w:val="both"/>
    </w:pPr>
    <w:rPr>
      <w:rFonts w:ascii="Times New Roman" w:hAnsi="Times New Roman" w:cs="Arial"/>
      <w:sz w:val="20"/>
      <w:szCs w:val="20"/>
    </w:rPr>
  </w:style>
  <w:style w:type="character" w:customStyle="1" w:styleId="21">
    <w:name w:val="Nadpis 3 Char"/>
    <w:link w:val="2"/>
    <w:semiHidden/>
    <w:uiPriority w:val="9"/>
    <w:rPr>
      <w:rFonts w:ascii="Calibri" w:hAnsi="Calibri" w:eastAsia="Times New Roman" w:cs="Times New Roman"/>
      <w:b/>
      <w:bCs/>
      <w:sz w:val="26"/>
      <w:szCs w:val="26"/>
    </w:rPr>
  </w:style>
  <w:style w:type="paragraph" w:customStyle="1" w:styleId="22">
    <w:name w:val="Default"/>
    <w:uiPriority w:val="0"/>
    <w:pPr>
      <w:autoSpaceDE w:val="0"/>
      <w:autoSpaceDN w:val="0"/>
      <w:adjustRightInd w:val="0"/>
    </w:pPr>
    <w:rPr>
      <w:rFonts w:ascii="Arial" w:hAnsi="Arial" w:eastAsia="Calibri" w:cs="Arial"/>
      <w:color w:val="000000"/>
      <w:sz w:val="24"/>
      <w:szCs w:val="24"/>
      <w:lang w:val="sk-SK" w:eastAsia="sk-SK" w:bidi="ar-SA"/>
    </w:rPr>
  </w:style>
  <w:style w:type="paragraph" w:styleId="23">
    <w:name w:val="List Paragraph"/>
    <w:basedOn w:val="1"/>
    <w:qFormat/>
    <w:uiPriority w:val="34"/>
    <w:pPr>
      <w:spacing w:after="0" w:line="240" w:lineRule="auto"/>
      <w:ind w:left="720"/>
      <w:contextualSpacing/>
    </w:pPr>
    <w:rPr>
      <w:rFonts w:ascii="Times New Roman" w:hAnsi="Times New Roman" w:eastAsiaTheme="minorHAnsi" w:cstheme="minorBidi"/>
      <w:sz w:val="24"/>
    </w:rPr>
  </w:style>
  <w:style w:type="paragraph" w:customStyle="1" w:styleId="24">
    <w:name w:val="Revision"/>
    <w:hidden/>
    <w:uiPriority w:val="99"/>
    <w:rPr>
      <w:rFonts w:ascii="Calibri" w:hAnsi="Calibri" w:eastAsia="Calibri" w:cs="Times New Roman"/>
      <w:sz w:val="22"/>
      <w:szCs w:val="22"/>
      <w:lang w:val="en-US" w:eastAsia="en-US" w:bidi="ar-SA"/>
    </w:rPr>
  </w:style>
  <w:style w:type="character" w:customStyle="1" w:styleId="25">
    <w:name w:val="Základný text Char"/>
    <w:basedOn w:val="3"/>
    <w:link w:val="6"/>
    <w:uiPriority w:val="1"/>
    <w:rPr>
      <w:rFonts w:ascii="Times New Roman" w:hAnsi="Times New Roman" w:eastAsia="Times New Roman" w:cstheme="minorBid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2B9FC-F864-4830-B32F-83812D4957E6}">
  <ds:schemaRefs/>
</ds:datastoreItem>
</file>

<file path=docProps/app.xml><?xml version="1.0" encoding="utf-8"?>
<Properties xmlns="http://schemas.openxmlformats.org/officeDocument/2006/extended-properties" xmlns:vt="http://schemas.openxmlformats.org/officeDocument/2006/docPropsVTypes">
  <Template>Normal</Template>
  <Company>Deloitte Touche Tohmatsu Services, Inc.</Company>
  <Pages>4</Pages>
  <Words>1209</Words>
  <Characters>6895</Characters>
  <Lines>57</Lines>
  <Paragraphs>16</Paragraphs>
  <TotalTime>63</TotalTime>
  <ScaleCrop>false</ScaleCrop>
  <LinksUpToDate>false</LinksUpToDate>
  <CharactersWithSpaces>8088</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2017-04-28T08:11:00Z</dcterms:created>
  <dc:creator>Daniel Salamun</dc:creator>
  <cp:lastModifiedBy>Úradovňa</cp:lastModifiedBy>
  <cp:lastPrinted>2022-12-28T15:32:00Z</cp:lastPrinted>
  <dcterms:modified xsi:type="dcterms:W3CDTF">2023-06-30T05:46:36Z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8678A58CD25742C4A99303E6E390ACD3</vt:lpwstr>
  </property>
</Properties>
</file>