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78BC" w:rsidRPr="00A55E63" w:rsidRDefault="009878BC">
      <w:pPr>
        <w:spacing w:before="2" w:line="140" w:lineRule="exact"/>
        <w:rPr>
          <w:sz w:val="14"/>
          <w:szCs w:val="14"/>
          <w:lang w:val="en-US"/>
        </w:rPr>
      </w:pP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 w:cs="Arial Narrow"/>
          <w:b/>
          <w:bCs/>
        </w:rPr>
      </w:pPr>
      <w:r w:rsidRPr="00A55E63">
        <w:rPr>
          <w:rFonts w:ascii="Arial Narrow" w:hAnsi="Arial Narrow" w:cs="Arial Narrow"/>
          <w:b/>
          <w:bCs/>
        </w:rPr>
        <w:t xml:space="preserve">Poznámky k mikro účtovnej závierke za rok </w:t>
      </w:r>
      <w:r w:rsidR="007A0406">
        <w:rPr>
          <w:rFonts w:ascii="Arial Narrow" w:hAnsi="Arial Narrow" w:cs="Arial Narrow"/>
          <w:b/>
          <w:bCs/>
        </w:rPr>
        <w:t>2022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r w:rsidRPr="00A55E63">
        <w:rPr>
          <w:rFonts w:ascii="Arial Narrow" w:hAnsi="Arial Narrow" w:cs="Arial Narrow"/>
          <w:b/>
          <w:bCs/>
        </w:rPr>
        <w:t>mikro účtovné jednotky</w:t>
      </w:r>
      <w:r w:rsidRPr="00A55E63">
        <w:rPr>
          <w:rFonts w:ascii="Arial Narrow" w:hAnsi="Arial Narrow" w:cs="Arial Narrow"/>
        </w:rPr>
        <w:t xml:space="preserve"> v znení neskorších predpisov</w:t>
      </w:r>
    </w:p>
    <w:p w:rsidR="009878BC" w:rsidRPr="00A55E63" w:rsidRDefault="009878BC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 w:cs="Arial Narrow"/>
        </w:rPr>
      </w:pPr>
      <w:r w:rsidRPr="00A55E63">
        <w:rPr>
          <w:rFonts w:ascii="Arial Narrow" w:hAnsi="Arial Narrow" w:cs="Arial Narrow"/>
        </w:rPr>
        <w:t>(ostatná novela č.MF/18008/2014-74 – FS č.10/2014)</w:t>
      </w:r>
    </w:p>
    <w:p w:rsidR="009878BC" w:rsidRPr="00DF211F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9878BC" w:rsidRPr="00A55E63" w:rsidRDefault="009878BC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9878BC" w:rsidRPr="00A55E63" w:rsidRDefault="009878BC" w:rsidP="00AD749D">
      <w:pPr>
        <w:spacing w:before="7" w:line="24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9878BC" w:rsidRPr="007912E1" w:rsidRDefault="0044366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MITORA</w:t>
            </w:r>
            <w:r w:rsidR="007A0406">
              <w:rPr>
                <w:rFonts w:ascii="Arial" w:hAnsi="Arial" w:cs="Arial"/>
              </w:rPr>
              <w:t xml:space="preserve"> s.r.o.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9878BC" w:rsidRPr="007912E1" w:rsidRDefault="00443666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47210486</w:t>
            </w:r>
          </w:p>
        </w:tc>
      </w:tr>
      <w:tr w:rsidR="009878BC" w:rsidRPr="007912E1">
        <w:tc>
          <w:tcPr>
            <w:tcW w:w="3085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9878BC" w:rsidRPr="007912E1" w:rsidRDefault="00443666" w:rsidP="007A0406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Osloboditeľov 117, 059 34 Spišská Teplica</w:t>
            </w:r>
          </w:p>
        </w:tc>
      </w:tr>
    </w:tbl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Úd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je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lk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–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spoločnosť nemá povinnosť zostavovať účtovnú závierku.</w:t>
      </w: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9878BC" w:rsidRPr="007912E1">
        <w:trPr>
          <w:trHeight w:val="1014"/>
        </w:trPr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Názov</w:t>
            </w:r>
          </w:p>
        </w:tc>
        <w:tc>
          <w:tcPr>
            <w:tcW w:w="2126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Bežné účtovné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obdobie</w:t>
            </w: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  <w:b/>
                <w:bCs/>
              </w:rPr>
            </w:pPr>
            <w:r w:rsidRPr="007912E1">
              <w:rPr>
                <w:rFonts w:ascii="Arial" w:hAnsi="Arial" w:cs="Arial"/>
                <w:b/>
                <w:bCs/>
              </w:rPr>
              <w:t>Bezprostredne predchádzajúce účtovné obdobie</w:t>
            </w:r>
          </w:p>
        </w:tc>
      </w:tr>
      <w:tr w:rsidR="009878BC" w:rsidRPr="007912E1">
        <w:tc>
          <w:tcPr>
            <w:tcW w:w="4219" w:type="dxa"/>
          </w:tcPr>
          <w:p w:rsidR="009878BC" w:rsidRPr="007912E1" w:rsidRDefault="009878BC" w:rsidP="007912E1">
            <w:pPr>
              <w:spacing w:line="260" w:lineRule="exact"/>
              <w:rPr>
                <w:rFonts w:ascii="Arial" w:hAnsi="Arial" w:cs="Arial"/>
              </w:rPr>
            </w:pPr>
            <w:r w:rsidRPr="007912E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9878BC" w:rsidRDefault="007A0406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  <w:p w:rsidR="009878BC" w:rsidRPr="007912E1" w:rsidRDefault="009878BC" w:rsidP="007912E1">
            <w:pPr>
              <w:spacing w:line="260" w:lineRule="exact"/>
              <w:jc w:val="center"/>
              <w:rPr>
                <w:rFonts w:ascii="Arial" w:hAnsi="Arial" w:cs="Arial"/>
              </w:rPr>
            </w:pPr>
          </w:p>
        </w:tc>
        <w:tc>
          <w:tcPr>
            <w:tcW w:w="3342" w:type="dxa"/>
          </w:tcPr>
          <w:p w:rsidR="009878BC" w:rsidRPr="007912E1" w:rsidRDefault="009878BC" w:rsidP="007912E1">
            <w:pPr>
              <w:spacing w:line="260" w:lineRule="exact"/>
              <w:jc w:val="both"/>
              <w:rPr>
                <w:rFonts w:ascii="Arial" w:hAnsi="Arial" w:cs="Arial"/>
              </w:rPr>
            </w:pPr>
          </w:p>
        </w:tc>
      </w:tr>
    </w:tbl>
    <w:p w:rsidR="009878BC" w:rsidRPr="00A55E63" w:rsidRDefault="009878BC" w:rsidP="00AD6C8A">
      <w:pPr>
        <w:spacing w:line="260" w:lineRule="exact"/>
        <w:jc w:val="both"/>
        <w:rPr>
          <w:rFonts w:ascii="Arial" w:hAnsi="Arial" w:cs="Arial"/>
        </w:rPr>
      </w:pPr>
    </w:p>
    <w:p w:rsidR="009878BC" w:rsidRPr="00A55E63" w:rsidRDefault="009878BC" w:rsidP="00AD749D">
      <w:pPr>
        <w:spacing w:before="1" w:line="280" w:lineRule="exact"/>
        <w:jc w:val="both"/>
        <w:rPr>
          <w:rFonts w:ascii="Arial" w:hAnsi="Arial" w:cs="Arial"/>
        </w:rPr>
      </w:pPr>
    </w:p>
    <w:p w:rsidR="009878BC" w:rsidRPr="00A55E63" w:rsidRDefault="009878BC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9878BC" w:rsidRPr="00A55E63" w:rsidRDefault="009878BC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bola zostavená za predpokladu nepretržitého trvania účtovnej jednotky. Účtovné metódy a všeobecné účtovné zásady boli účtovnou jednotkou konzistentne aplikované okrem účtovania poistenia majetku určeného na prevádzkovú činnosť a iného poistného súvisiaceho s prevádzkovou činnosťou. Takéto poistenie sa od 1. januára 2011 účtuje na účet 548 – Ostatné náklady na hospodársku činnosť.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Ind w:w="-1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bCs/>
                <w:sz w:val="22"/>
                <w:szCs w:val="22"/>
              </w:rPr>
            </w:pPr>
            <w:r w:rsidRPr="007912E1">
              <w:rPr>
                <w:rFonts w:ascii="Arial" w:hAnsi="Arial" w:cs="Arial"/>
                <w:b/>
                <w:bCs/>
                <w:sz w:val="22"/>
                <w:szCs w:val="22"/>
              </w:rPr>
              <w:t>Spôsob oceňovania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kúpo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7912E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7912E1">
              <w:rPr>
                <w:rFonts w:ascii="Arial" w:hAnsi="Arial" w:cs="Arial"/>
                <w:sz w:val="22"/>
                <w:szCs w:val="22"/>
              </w:rPr>
              <w:t>tvor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7912E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K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7912E1">
              <w:rPr>
                <w:rFonts w:ascii="Arial" w:hAnsi="Arial" w:cs="Arial"/>
                <w:sz w:val="22"/>
                <w:szCs w:val="22"/>
              </w:rPr>
              <w:t>ina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7912E1">
              <w:rPr>
                <w:rFonts w:ascii="Arial" w:hAnsi="Arial" w:cs="Arial"/>
                <w:sz w:val="22"/>
                <w:szCs w:val="22"/>
              </w:rPr>
              <w:t>ný maj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7912E1">
              <w:rPr>
                <w:rFonts w:ascii="Arial" w:hAnsi="Arial" w:cs="Arial"/>
                <w:sz w:val="22"/>
                <w:szCs w:val="22"/>
              </w:rPr>
              <w:t>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z w:val="22"/>
                <w:szCs w:val="22"/>
              </w:rPr>
              <w:t>ky 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z w:val="22"/>
                <w:szCs w:val="22"/>
              </w:rPr>
              <w:t>tane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Pô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7912E1">
              <w:rPr>
                <w:rFonts w:ascii="Arial" w:hAnsi="Arial" w:cs="Arial"/>
                <w:sz w:val="22"/>
                <w:szCs w:val="22"/>
              </w:rPr>
              <w:t>ičky a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7912E1">
              <w:rPr>
                <w:rFonts w:ascii="Arial" w:hAnsi="Arial" w:cs="Arial"/>
                <w:sz w:val="22"/>
                <w:szCs w:val="22"/>
              </w:rPr>
              <w:t>úv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9878BC" w:rsidRPr="007912E1">
        <w:tc>
          <w:tcPr>
            <w:tcW w:w="4843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D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riv</w:t>
            </w:r>
            <w:r w:rsidRPr="007912E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7912E1">
              <w:rPr>
                <w:rFonts w:ascii="Arial" w:hAnsi="Arial" w:cs="Arial"/>
                <w:sz w:val="22"/>
                <w:szCs w:val="22"/>
              </w:rPr>
              <w:t>to</w:t>
            </w:r>
            <w:r w:rsidRPr="007912E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7912E1">
              <w:rPr>
                <w:rFonts w:ascii="Arial" w:hAnsi="Arial" w:cs="Arial"/>
                <w:sz w:val="22"/>
                <w:szCs w:val="22"/>
              </w:rPr>
              <w:t>op</w:t>
            </w:r>
            <w:r w:rsidRPr="007912E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7912E1">
              <w:rPr>
                <w:rFonts w:ascii="Arial" w:hAnsi="Arial" w:cs="Arial"/>
                <w:sz w:val="22"/>
                <w:szCs w:val="22"/>
              </w:rPr>
              <w:t>rá</w:t>
            </w:r>
            <w:r w:rsidRPr="007912E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7912E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9878BC" w:rsidRPr="007912E1" w:rsidRDefault="009878BC" w:rsidP="007912E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7912E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>
        <w:rPr>
          <w:rFonts w:ascii="Arial" w:hAnsi="Arial" w:cs="Arial"/>
          <w:sz w:val="22"/>
          <w:szCs w:val="22"/>
        </w:rPr>
        <w:t>Nakupovaný dlhodobý hmotný majetok sa oceňuje obstarávacou cenou, ktorá zahrňuje cenu obstarania a náklady súvisiace s obstaraním ( prepravu, montáž a pod. )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Súčasťou obstarávacej ceny DHM nie sú úroky z cudzích zdrojov ani realizované kurzové rozdiely, ktoré vznikli do momentu uvedenia dlhodobého majetku do 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Odpisy dlhodobého nehmotného majetku sú stanovené vychádzajúc z predpokladanej doby jeho používania a predpokladaného priebehu jeho opotrebenia. Odpisovať sa začína prvým dňom mesiaca nasledujúceho po uvedení DM do používania.</w:t>
      </w: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Drobný dlhodobý nehmotný  majetok, ktorého obstarávacia cena ( resp. vlastné náklady ) je 2 400 EUR a nižšia, sa odpisuje jednorázovo pri uvedení do používania.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Pr="00A55E63">
        <w:rPr>
          <w:rFonts w:ascii="Arial" w:hAnsi="Arial" w:cs="Arial"/>
          <w:sz w:val="22"/>
          <w:szCs w:val="22"/>
          <w:u w:val="single"/>
        </w:rPr>
        <w:t>me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y</w:t>
      </w:r>
      <w:r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metód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uv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ním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dôv</w:t>
      </w:r>
      <w:r w:rsidRPr="00A55E63">
        <w:rPr>
          <w:rFonts w:ascii="Arial" w:hAnsi="Arial" w:cs="Arial"/>
          <w:spacing w:val="-3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 xml:space="preserve">du </w:t>
      </w:r>
      <w:r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hto </w:t>
      </w:r>
      <w:r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mi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ísl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ním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vp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vu </w:t>
      </w:r>
      <w:r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na </w:t>
      </w:r>
      <w:r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nú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hodnotu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tku, </w:t>
      </w:r>
      <w:r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kov,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-3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ladn</w:t>
      </w:r>
      <w:r w:rsidRPr="00A55E63">
        <w:rPr>
          <w:rFonts w:ascii="Arial" w:hAnsi="Arial" w:cs="Arial"/>
          <w:spacing w:val="-2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nia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sled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 w:rsidRPr="00A55E63">
        <w:rPr>
          <w:rFonts w:ascii="Arial" w:hAnsi="Arial" w:cs="Arial"/>
          <w:sz w:val="22"/>
          <w:szCs w:val="22"/>
        </w:rPr>
        <w:t>u hospod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 xml:space="preserve"> účtovná jednotky takéto zmeny nemala.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dotá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a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ich o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ňov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 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íctv</w:t>
      </w:r>
      <w:r w:rsidRPr="00A55E63">
        <w:rPr>
          <w:rFonts w:ascii="Arial" w:hAnsi="Arial" w:cs="Arial"/>
          <w:spacing w:val="-1"/>
          <w:sz w:val="22"/>
          <w:szCs w:val="22"/>
        </w:rPr>
        <w:t>e:</w:t>
      </w:r>
      <w:r>
        <w:rPr>
          <w:rFonts w:ascii="Arial" w:hAnsi="Arial" w:cs="Arial"/>
          <w:spacing w:val="-1"/>
          <w:sz w:val="22"/>
          <w:szCs w:val="22"/>
        </w:rPr>
        <w:t xml:space="preserve"> Spoločnosť neúčtovala o dotáciách.</w:t>
      </w:r>
    </w:p>
    <w:p w:rsidR="009878BC" w:rsidRPr="00A55E63" w:rsidRDefault="009878B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tovaní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opr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b</w:t>
      </w:r>
      <w:r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minu</w:t>
      </w:r>
      <w:r w:rsidRPr="00A55E63">
        <w:rPr>
          <w:rFonts w:ascii="Arial" w:hAnsi="Arial" w:cs="Arial"/>
          <w:spacing w:val="2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</w:t>
      </w:r>
      <w:r w:rsidRPr="00A55E63">
        <w:rPr>
          <w:rFonts w:ascii="Arial" w:hAnsi="Arial" w:cs="Arial"/>
          <w:spacing w:val="5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z w:val="22"/>
          <w:szCs w:val="22"/>
        </w:rPr>
        <w:t>:</w:t>
      </w:r>
      <w:r w:rsidRPr="00A55E63">
        <w:rPr>
          <w:rFonts w:ascii="Arial" w:hAnsi="Arial" w:cs="Arial"/>
          <w:spacing w:val="53"/>
          <w:sz w:val="22"/>
          <w:szCs w:val="22"/>
        </w:rPr>
        <w:t xml:space="preserve"> </w:t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  <w:r>
        <w:rPr>
          <w:rFonts w:ascii="Arial" w:hAnsi="Arial" w:cs="Arial"/>
          <w:spacing w:val="53"/>
          <w:sz w:val="22"/>
          <w:szCs w:val="22"/>
        </w:rPr>
        <w:tab/>
      </w:r>
    </w:p>
    <w:p w:rsidR="009878BC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53"/>
          <w:sz w:val="22"/>
          <w:szCs w:val="22"/>
        </w:rPr>
      </w:pPr>
    </w:p>
    <w:p w:rsidR="009878BC" w:rsidRPr="00A55E63" w:rsidRDefault="009878BC" w:rsidP="00DF211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</w:rPr>
      </w:pPr>
    </w:p>
    <w:p w:rsidR="009878BC" w:rsidRPr="00A55E63" w:rsidRDefault="009878BC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9878BC" w:rsidRPr="00A55E63" w:rsidRDefault="009878BC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9878BC" w:rsidRPr="00A55E63" w:rsidRDefault="009878BC" w:rsidP="00AD749D">
      <w:pPr>
        <w:spacing w:before="11" w:line="260" w:lineRule="exact"/>
        <w:jc w:val="both"/>
        <w:rPr>
          <w:rFonts w:ascii="Arial" w:hAnsi="Arial" w:cs="Arial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1. 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 sume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ô</w:t>
      </w:r>
      <w:r w:rsidRPr="00A55E63">
        <w:rPr>
          <w:rFonts w:ascii="Arial" w:hAnsi="Arial" w:cs="Arial"/>
          <w:sz w:val="22"/>
          <w:szCs w:val="22"/>
        </w:rPr>
        <w:t>vodo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niku jednotli</w:t>
      </w:r>
      <w:r w:rsidRPr="00A55E63">
        <w:rPr>
          <w:rFonts w:ascii="Arial" w:hAnsi="Arial" w:cs="Arial"/>
          <w:spacing w:val="-3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</w:t>
      </w:r>
      <w:r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z w:val="22"/>
          <w:szCs w:val="22"/>
        </w:rPr>
        <w:t>n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á</w:t>
      </w:r>
      <w:r w:rsidRPr="00A55E63">
        <w:rPr>
          <w:rFonts w:ascii="Arial" w:hAnsi="Arial" w:cs="Arial"/>
          <w:b/>
          <w:bCs/>
          <w:sz w:val="22"/>
          <w:szCs w:val="22"/>
        </w:rPr>
        <w:t>kladov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-1"/>
          <w:sz w:val="22"/>
          <w:szCs w:val="22"/>
        </w:rPr>
        <w:t>a</w:t>
      </w:r>
      <w:r w:rsidRPr="00A55E63">
        <w:rPr>
          <w:rFonts w:ascii="Arial" w:hAnsi="Arial" w:cs="Arial"/>
          <w:b/>
          <w:bCs/>
          <w:sz w:val="22"/>
          <w:szCs w:val="22"/>
        </w:rPr>
        <w:t>lebo</w:t>
      </w:r>
      <w:r w:rsidRPr="00A55E63">
        <w:rPr>
          <w:rFonts w:ascii="Arial" w:hAnsi="Arial" w:cs="Arial"/>
          <w:b/>
          <w:bCs/>
          <w:spacing w:val="59"/>
          <w:sz w:val="22"/>
          <w:szCs w:val="22"/>
        </w:rPr>
        <w:t xml:space="preserve"> </w:t>
      </w:r>
      <w:r w:rsidRPr="00A55E63">
        <w:rPr>
          <w:rFonts w:ascii="Arial" w:hAnsi="Arial" w:cs="Arial"/>
          <w:b/>
          <w:bCs/>
          <w:spacing w:val="2"/>
          <w:sz w:val="22"/>
          <w:szCs w:val="22"/>
        </w:rPr>
        <w:t>v</w:t>
      </w:r>
      <w:r w:rsidRPr="00A55E63">
        <w:rPr>
          <w:rFonts w:ascii="Arial" w:hAnsi="Arial" w:cs="Arial"/>
          <w:b/>
          <w:bCs/>
          <w:spacing w:val="-5"/>
          <w:sz w:val="22"/>
          <w:szCs w:val="22"/>
        </w:rPr>
        <w:t>ý</w:t>
      </w:r>
      <w:r w:rsidRPr="00A55E63">
        <w:rPr>
          <w:rFonts w:ascii="Arial" w:hAnsi="Arial" w:cs="Arial"/>
          <w:b/>
          <w:bCs/>
          <w:sz w:val="22"/>
          <w:szCs w:val="22"/>
        </w:rPr>
        <w:t>nosov</w:t>
      </w:r>
      <w:r w:rsidRPr="00A55E63">
        <w:rPr>
          <w:rFonts w:ascii="Arial" w:hAnsi="Arial" w:cs="Arial"/>
          <w:sz w:val="22"/>
          <w:szCs w:val="22"/>
        </w:rPr>
        <w:t>, ktoré</w:t>
      </w:r>
      <w:r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majú</w:t>
      </w:r>
      <w:r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nimo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rozs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lebo</w:t>
      </w:r>
      <w:r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z w:val="22"/>
          <w:szCs w:val="22"/>
          <w:u w:val="single"/>
        </w:rPr>
        <w:t>s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: netýka sa účtovnej jednotky</w:t>
      </w:r>
      <w:r w:rsidRPr="00A55E63">
        <w:rPr>
          <w:rFonts w:ascii="Arial" w:hAnsi="Arial" w:cs="Arial"/>
          <w:spacing w:val="48"/>
          <w:sz w:val="22"/>
          <w:szCs w:val="22"/>
        </w:rPr>
        <w:t xml:space="preserve"> 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48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ko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kov so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ostatkovou dobou sp</w:t>
      </w:r>
      <w:r w:rsidRPr="00A55E63">
        <w:rPr>
          <w:rFonts w:ascii="Arial" w:hAnsi="Arial" w:cs="Arial"/>
          <w:spacing w:val="-2"/>
          <w:sz w:val="22"/>
          <w:szCs w:val="22"/>
        </w:rPr>
        <w:t>l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 xml:space="preserve">tnosti dlhšou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ko p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z w:val="22"/>
          <w:szCs w:val="22"/>
        </w:rPr>
        <w:t>ť rokov:</w:t>
      </w:r>
      <w:r>
        <w:rPr>
          <w:rFonts w:ascii="Arial" w:hAnsi="Arial" w:cs="Arial"/>
          <w:sz w:val="22"/>
          <w:szCs w:val="22"/>
        </w:rPr>
        <w:t xml:space="preserve"> ako dlhodobý záväzok spoločnosť nevykazuje.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>- ce</w:t>
      </w:r>
      <w:r w:rsidRPr="00A55E63">
        <w:rPr>
          <w:rFonts w:ascii="Arial" w:hAnsi="Arial" w:cs="Arial"/>
          <w:sz w:val="22"/>
          <w:szCs w:val="22"/>
        </w:rPr>
        <w:t>lkovej sume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če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opis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spôso</w:t>
      </w:r>
      <w:r w:rsidRPr="00A55E63">
        <w:rPr>
          <w:rFonts w:ascii="Arial" w:hAnsi="Arial" w:cs="Arial"/>
          <w:spacing w:val="2"/>
          <w:sz w:val="22"/>
          <w:szCs w:val="22"/>
        </w:rPr>
        <w:t>b</w:t>
      </w:r>
      <w:r w:rsidRPr="00A55E63">
        <w:rPr>
          <w:rFonts w:ascii="Arial" w:hAnsi="Arial" w:cs="Arial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nia 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1"/>
          <w:sz w:val="22"/>
          <w:szCs w:val="22"/>
        </w:rPr>
        <w:t>äz</w:t>
      </w:r>
      <w:r w:rsidRPr="00A55E63">
        <w:rPr>
          <w:rFonts w:ascii="Arial" w:hAnsi="Arial" w:cs="Arial"/>
          <w:sz w:val="22"/>
          <w:szCs w:val="22"/>
        </w:rPr>
        <w:t>kov:</w:t>
      </w: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D73E2E">
      <w:pPr>
        <w:pStyle w:val="Zkladntext"/>
      </w:pPr>
      <w:r>
        <w:t>Štruktúra záväzkov (okrem bankových úverov) podľa zostatkovej doby splatnosti je uvedená v nasledujúcej tabuľke:</w:t>
      </w:r>
    </w:p>
    <w:p w:rsidR="009878BC" w:rsidRDefault="009878BC" w:rsidP="00D73E2E">
      <w:pPr>
        <w:pStyle w:val="Zkladntext"/>
      </w:pPr>
    </w:p>
    <w:bookmarkStart w:id="0" w:name="_MON_1122806993"/>
    <w:bookmarkStart w:id="1" w:name="_MON_1122807033"/>
    <w:bookmarkStart w:id="2" w:name="_MON_1122807093"/>
    <w:bookmarkStart w:id="3" w:name="_MON_1122807166"/>
    <w:bookmarkStart w:id="4" w:name="_MON_1122807248"/>
    <w:bookmarkStart w:id="5" w:name="_MON_1122807352"/>
    <w:bookmarkStart w:id="6" w:name="_MON_1122807396"/>
    <w:bookmarkStart w:id="7" w:name="_MON_1122807476"/>
    <w:bookmarkStart w:id="8" w:name="_MON_1122813253"/>
    <w:bookmarkStart w:id="9" w:name="_MON_1122980316"/>
    <w:bookmarkStart w:id="10" w:name="_MON_1123059830"/>
    <w:bookmarkStart w:id="11" w:name="_MON_1127127032"/>
    <w:bookmarkStart w:id="12" w:name="_MON_1147163468"/>
    <w:bookmarkStart w:id="13" w:name="_MON_1149588206"/>
    <w:bookmarkStart w:id="14" w:name="_MON_1149596352"/>
    <w:bookmarkStart w:id="15" w:name="_MON_1173074028"/>
    <w:bookmarkStart w:id="16" w:name="_MON_1204451273"/>
    <w:bookmarkStart w:id="17" w:name="_MON_1204454172"/>
    <w:bookmarkStart w:id="18" w:name="_MON_1204457398"/>
    <w:bookmarkStart w:id="19" w:name="_MON_1235976169"/>
    <w:bookmarkStart w:id="20" w:name="_MON_1266649066"/>
    <w:bookmarkStart w:id="21" w:name="_MON_1266727864"/>
    <w:bookmarkStart w:id="22" w:name="_MON_1298094233"/>
    <w:bookmarkStart w:id="23" w:name="_MON_1298881162"/>
    <w:bookmarkStart w:id="24" w:name="_MON_1298885607"/>
    <w:bookmarkStart w:id="25" w:name="_MON_1298885668"/>
    <w:bookmarkStart w:id="26" w:name="_MON_1328604312"/>
    <w:bookmarkStart w:id="27" w:name="_MON_1329284205"/>
    <w:bookmarkStart w:id="28" w:name="_MON_1360558565"/>
    <w:bookmarkStart w:id="29" w:name="_MON_1391251903"/>
    <w:bookmarkStart w:id="30" w:name="_MON_1391252359"/>
    <w:bookmarkStart w:id="31" w:name="_MON_1391852452"/>
    <w:bookmarkStart w:id="32" w:name="_MON_1394460903"/>
    <w:bookmarkStart w:id="33" w:name="_MON_1394462824"/>
    <w:bookmarkStart w:id="34" w:name="_MON_1394462847"/>
    <w:bookmarkStart w:id="35" w:name="_MON_1394462959"/>
    <w:bookmarkStart w:id="36" w:name="_MON_1394463064"/>
    <w:bookmarkStart w:id="37" w:name="_MON_1394463158"/>
    <w:bookmarkStart w:id="38" w:name="_MON_1425970184"/>
    <w:bookmarkStart w:id="39" w:name="_MON_1066740374"/>
    <w:bookmarkStart w:id="40" w:name="_MON_1066740566"/>
    <w:bookmarkStart w:id="41" w:name="_MON_1066740580"/>
    <w:bookmarkStart w:id="42" w:name="_MON_1066752673"/>
    <w:bookmarkStart w:id="43" w:name="_MON_1066752698"/>
    <w:bookmarkStart w:id="44" w:name="_MON_1094480283"/>
    <w:bookmarkStart w:id="45" w:name="_MON_1122704895"/>
    <w:bookmarkStart w:id="46" w:name="_MON_1122804198"/>
    <w:bookmarkStart w:id="47" w:name="_MON_1122806900"/>
    <w:bookmarkStart w:id="48" w:name="_MON_1122806971"/>
    <w:bookmarkEnd w:id="0"/>
    <w:bookmarkEnd w:id="1"/>
    <w:bookmarkEnd w:id="2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End w:id="25"/>
    <w:bookmarkEnd w:id="26"/>
    <w:bookmarkEnd w:id="27"/>
    <w:bookmarkEnd w:id="28"/>
    <w:bookmarkEnd w:id="29"/>
    <w:bookmarkEnd w:id="30"/>
    <w:bookmarkEnd w:id="31"/>
    <w:bookmarkEnd w:id="32"/>
    <w:bookmarkEnd w:id="33"/>
    <w:bookmarkEnd w:id="34"/>
    <w:bookmarkEnd w:id="35"/>
    <w:bookmarkEnd w:id="36"/>
    <w:bookmarkEnd w:id="37"/>
    <w:bookmarkEnd w:id="38"/>
    <w:bookmarkEnd w:id="39"/>
    <w:bookmarkEnd w:id="40"/>
    <w:bookmarkEnd w:id="41"/>
    <w:bookmarkEnd w:id="42"/>
    <w:bookmarkEnd w:id="43"/>
    <w:bookmarkEnd w:id="44"/>
    <w:bookmarkEnd w:id="45"/>
    <w:bookmarkEnd w:id="46"/>
    <w:bookmarkEnd w:id="47"/>
    <w:bookmarkEnd w:id="48"/>
    <w:p w:rsidR="009878BC" w:rsidRDefault="007A0406" w:rsidP="00D73E2E">
      <w:pPr>
        <w:pStyle w:val="Zkladntext"/>
        <w:rPr>
          <w:rFonts w:cs="Calibri"/>
        </w:rPr>
      </w:pPr>
      <w:r w:rsidRPr="003007F7">
        <w:rPr>
          <w:rFonts w:cs="Calibri"/>
        </w:rPr>
        <w:object w:dxaOrig="8707" w:dyaOrig="241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5pt;height:119.25pt" o:ole="">
            <v:imagedata r:id="rId7" o:title=""/>
          </v:shape>
          <o:OLEObject Type="Embed" ProgID="Excel.Sheet.8" ShapeID="_x0000_i1025" DrawAspect="Content" ObjectID="_1749615425" r:id="rId8"/>
        </w:objec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vlast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iá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  <w:u w:val="single"/>
        </w:rPr>
        <w:t xml:space="preserve">: </w:t>
      </w:r>
      <w:r w:rsidRPr="00A55E63"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z w:val="22"/>
          <w:szCs w:val="22"/>
        </w:rPr>
        <w:t xml:space="preserve">netýka sa spoločnosti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o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z w:val="22"/>
          <w:szCs w:val="22"/>
          <w:u w:val="single"/>
        </w:rPr>
        <w:t>tovnej jednot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 to:</w:t>
      </w:r>
      <w:r>
        <w:rPr>
          <w:rFonts w:ascii="Arial" w:hAnsi="Arial" w:cs="Arial"/>
          <w:sz w:val="22"/>
          <w:szCs w:val="22"/>
        </w:rPr>
        <w:t xml:space="preserve"> Spoločnosť neposkytla orgánom účtovnej jednotky žiadne pôžičky ani záruky, zabezpečenia a plnenia na súkromné účely. </w:t>
      </w:r>
    </w:p>
    <w:p w:rsidR="009878BC" w:rsidRPr="00A55E63" w:rsidRDefault="009878BC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Pr="00A55E63">
        <w:rPr>
          <w:rFonts w:ascii="Arial" w:hAnsi="Arial" w:cs="Arial"/>
          <w:sz w:val="22"/>
          <w:szCs w:val="22"/>
          <w:u w:val="single"/>
        </w:rPr>
        <w:t>fo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má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Pr="00A55E63">
        <w:rPr>
          <w:rFonts w:ascii="Arial" w:hAnsi="Arial" w:cs="Arial"/>
          <w:sz w:val="22"/>
          <w:szCs w:val="22"/>
          <w:u w:val="single"/>
        </w:rPr>
        <w:t>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o povinnosti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 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tovnej jednot</w:t>
      </w:r>
      <w:r w:rsidRPr="00A55E63">
        <w:rPr>
          <w:rFonts w:ascii="Arial" w:hAnsi="Arial" w:cs="Arial"/>
          <w:spacing w:val="4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, a </w:t>
      </w:r>
      <w:r w:rsidRPr="00A55E63">
        <w:rPr>
          <w:rFonts w:ascii="Arial" w:hAnsi="Arial" w:cs="Arial"/>
          <w:spacing w:val="2"/>
          <w:sz w:val="22"/>
          <w:szCs w:val="22"/>
        </w:rPr>
        <w:t>to:</w:t>
      </w: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9878BC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1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lastRenderedPageBreak/>
        <w:t>Spoločnosť neeviduje finančné povinnosti, ktoré sa neevidujú v súvahe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</w:p>
    <w:p w:rsidR="009878BC" w:rsidRPr="00D73E2E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neeviduje podmienené záväzky</w:t>
      </w:r>
    </w:p>
    <w:p w:rsidR="009878BC" w:rsidRPr="00A55E63" w:rsidRDefault="009878BC" w:rsidP="00D73E2E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Spoločnosť neposkytla účasť na dôchodkových programoch zamestnancov.</w:t>
      </w:r>
    </w:p>
    <w:p w:rsidR="009878BC" w:rsidRPr="00451ED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878BC" w:rsidRPr="00A55E63" w:rsidRDefault="009878B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z w:val="22"/>
          <w:szCs w:val="22"/>
        </w:rPr>
        <w:t>nformácie o udelení výlučného práva alebo osobitného práva</w:t>
      </w:r>
      <w:r>
        <w:rPr>
          <w:rFonts w:ascii="Arial" w:hAnsi="Arial" w:cs="Arial"/>
          <w:sz w:val="22"/>
          <w:szCs w:val="22"/>
        </w:rPr>
        <w:t>: Spoločnosti nie je udelené výlučné právo alebo osobitné právo, ktorým by sa jej udelilo právo poskytovať služby vo verejnom záujme, pričom by prijímala náhradu za túto činnosť v akejkoľvek forme.</w:t>
      </w:r>
      <w:bookmarkStart w:id="49" w:name="_GoBack"/>
      <w:bookmarkEnd w:id="49"/>
      <w:r w:rsidRPr="00A55E63">
        <w:rPr>
          <w:rFonts w:ascii="Arial" w:hAnsi="Arial" w:cs="Arial"/>
          <w:sz w:val="22"/>
          <w:szCs w:val="22"/>
        </w:rPr>
        <w:t xml:space="preserve"> </w:t>
      </w:r>
    </w:p>
    <w:sectPr w:rsidR="009878BC" w:rsidRPr="00A55E63" w:rsidSect="00420BC7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E2DCC" w:rsidRDefault="00FE2DCC">
      <w:r>
        <w:separator/>
      </w:r>
    </w:p>
  </w:endnote>
  <w:endnote w:type="continuationSeparator" w:id="1">
    <w:p w:rsidR="00FE2DCC" w:rsidRDefault="00FE2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5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C21591">
    <w:pPr>
      <w:spacing w:line="200" w:lineRule="exact"/>
      <w:rPr>
        <w:sz w:val="20"/>
        <w:szCs w:val="20"/>
      </w:rPr>
    </w:pPr>
    <w:r w:rsidRPr="00C21591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9878BC" w:rsidRDefault="009878BC">
                <w:pPr>
                  <w:pStyle w:val="Zkladntext"/>
                  <w:spacing w:line="265" w:lineRule="exact"/>
                  <w:ind w:left="20" w:firstLine="0"/>
                  <w:rPr>
                    <w:rFonts w:cs="Calibri"/>
                  </w:rPr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443666">
                    <w:rPr>
                      <w:noProof/>
                    </w:rPr>
                    <w:t>3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E2DCC" w:rsidRDefault="00FE2DCC">
      <w:r>
        <w:separator/>
      </w:r>
    </w:p>
  </w:footnote>
  <w:footnote w:type="continuationSeparator" w:id="1">
    <w:p w:rsidR="00FE2DCC" w:rsidRDefault="00FE2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>
    <w:pPr>
      <w:pStyle w:val="Hlavika"/>
    </w:pPr>
  </w:p>
  <w:p w:rsidR="009878BC" w:rsidRDefault="009878BC" w:rsidP="00443666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43666">
      <w:rPr>
        <w:rFonts w:ascii="Arial" w:hAnsi="Arial" w:cs="Arial"/>
        <w:sz w:val="22"/>
        <w:szCs w:val="22"/>
        <w:bdr w:val="single" w:sz="4" w:space="0" w:color="auto"/>
      </w:rPr>
      <w:t>47210486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43666">
      <w:rPr>
        <w:rFonts w:ascii="Arial" w:hAnsi="Arial" w:cs="Arial"/>
        <w:sz w:val="22"/>
        <w:szCs w:val="22"/>
        <w:bdr w:val="single" w:sz="4" w:space="0" w:color="auto"/>
      </w:rPr>
      <w:t>2023800053</w:t>
    </w:r>
  </w:p>
  <w:p w:rsidR="009878BC" w:rsidRDefault="009878BC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66F18FA"/>
    <w:multiLevelType w:val="hybridMultilevel"/>
    <w:tmpl w:val="9474B6EE"/>
    <w:lvl w:ilvl="0" w:tplc="FF5E7914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181" w:hanging="360"/>
      </w:pPr>
    </w:lvl>
    <w:lvl w:ilvl="2" w:tplc="041B001B">
      <w:start w:val="1"/>
      <w:numFmt w:val="lowerRoman"/>
      <w:lvlText w:val="%3."/>
      <w:lvlJc w:val="right"/>
      <w:pPr>
        <w:ind w:left="1901" w:hanging="180"/>
      </w:pPr>
    </w:lvl>
    <w:lvl w:ilvl="3" w:tplc="041B000F">
      <w:start w:val="1"/>
      <w:numFmt w:val="decimal"/>
      <w:lvlText w:val="%4."/>
      <w:lvlJc w:val="left"/>
      <w:pPr>
        <w:ind w:left="2621" w:hanging="360"/>
      </w:pPr>
    </w:lvl>
    <w:lvl w:ilvl="4" w:tplc="041B0019">
      <w:start w:val="1"/>
      <w:numFmt w:val="lowerLetter"/>
      <w:lvlText w:val="%5."/>
      <w:lvlJc w:val="left"/>
      <w:pPr>
        <w:ind w:left="3341" w:hanging="360"/>
      </w:pPr>
    </w:lvl>
    <w:lvl w:ilvl="5" w:tplc="041B001B">
      <w:start w:val="1"/>
      <w:numFmt w:val="lowerRoman"/>
      <w:lvlText w:val="%6."/>
      <w:lvlJc w:val="right"/>
      <w:pPr>
        <w:ind w:left="4061" w:hanging="180"/>
      </w:pPr>
    </w:lvl>
    <w:lvl w:ilvl="6" w:tplc="041B000F">
      <w:start w:val="1"/>
      <w:numFmt w:val="decimal"/>
      <w:lvlText w:val="%7."/>
      <w:lvlJc w:val="left"/>
      <w:pPr>
        <w:ind w:left="4781" w:hanging="360"/>
      </w:pPr>
    </w:lvl>
    <w:lvl w:ilvl="7" w:tplc="041B0019">
      <w:start w:val="1"/>
      <w:numFmt w:val="lowerLetter"/>
      <w:lvlText w:val="%8."/>
      <w:lvlJc w:val="left"/>
      <w:pPr>
        <w:ind w:left="5501" w:hanging="360"/>
      </w:pPr>
    </w:lvl>
    <w:lvl w:ilvl="8" w:tplc="041B001B">
      <w:start w:val="1"/>
      <w:numFmt w:val="lowerRoman"/>
      <w:lvlText w:val="%9."/>
      <w:lvlJc w:val="right"/>
      <w:pPr>
        <w:ind w:left="6221" w:hanging="180"/>
      </w:pPr>
    </w:lvl>
  </w:abstractNum>
  <w:abstractNum w:abstractNumId="2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3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4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>
      <w:start w:val="1"/>
      <w:numFmt w:val="lowerLetter"/>
      <w:lvlText w:val="%2."/>
      <w:lvlJc w:val="left"/>
      <w:pPr>
        <w:ind w:left="1541" w:hanging="360"/>
      </w:pPr>
    </w:lvl>
    <w:lvl w:ilvl="2" w:tplc="041B001B">
      <w:start w:val="1"/>
      <w:numFmt w:val="lowerRoman"/>
      <w:lvlText w:val="%3."/>
      <w:lvlJc w:val="right"/>
      <w:pPr>
        <w:ind w:left="2261" w:hanging="180"/>
      </w:pPr>
    </w:lvl>
    <w:lvl w:ilvl="3" w:tplc="041B000F">
      <w:start w:val="1"/>
      <w:numFmt w:val="decimal"/>
      <w:lvlText w:val="%4."/>
      <w:lvlJc w:val="left"/>
      <w:pPr>
        <w:ind w:left="2981" w:hanging="360"/>
      </w:pPr>
    </w:lvl>
    <w:lvl w:ilvl="4" w:tplc="041B0019">
      <w:start w:val="1"/>
      <w:numFmt w:val="lowerLetter"/>
      <w:lvlText w:val="%5."/>
      <w:lvlJc w:val="left"/>
      <w:pPr>
        <w:ind w:left="3701" w:hanging="360"/>
      </w:pPr>
    </w:lvl>
    <w:lvl w:ilvl="5" w:tplc="041B001B">
      <w:start w:val="1"/>
      <w:numFmt w:val="lowerRoman"/>
      <w:lvlText w:val="%6."/>
      <w:lvlJc w:val="right"/>
      <w:pPr>
        <w:ind w:left="4421" w:hanging="180"/>
      </w:pPr>
    </w:lvl>
    <w:lvl w:ilvl="6" w:tplc="041B000F">
      <w:start w:val="1"/>
      <w:numFmt w:val="decimal"/>
      <w:lvlText w:val="%7."/>
      <w:lvlJc w:val="left"/>
      <w:pPr>
        <w:ind w:left="5141" w:hanging="360"/>
      </w:pPr>
    </w:lvl>
    <w:lvl w:ilvl="7" w:tplc="041B0019">
      <w:start w:val="1"/>
      <w:numFmt w:val="lowerLetter"/>
      <w:lvlText w:val="%8."/>
      <w:lvlJc w:val="left"/>
      <w:pPr>
        <w:ind w:left="5861" w:hanging="360"/>
      </w:pPr>
    </w:lvl>
    <w:lvl w:ilvl="8" w:tplc="041B001B">
      <w:start w:val="1"/>
      <w:numFmt w:val="lowerRoman"/>
      <w:lvlText w:val="%9."/>
      <w:lvlJc w:val="right"/>
      <w:pPr>
        <w:ind w:left="6581" w:hanging="180"/>
      </w:pPr>
    </w:lvl>
  </w:abstractNum>
  <w:abstractNum w:abstractNumId="5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1901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ind w:left="2621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061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ind w:left="4781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221" w:hanging="360"/>
      </w:pPr>
      <w:rPr>
        <w:rFonts w:ascii="Wingdings" w:hAnsi="Wingdings" w:cs="Wingdings" w:hint="default"/>
      </w:rPr>
    </w:lvl>
  </w:abstractNum>
  <w:abstractNum w:abstractNumId="6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2"/>
  </w:num>
  <w:num w:numId="5">
    <w:abstractNumId w:val="5"/>
  </w:num>
  <w:num w:numId="6">
    <w:abstractNumId w:val="3"/>
  </w:num>
  <w:num w:numId="7">
    <w:abstractNumId w:val="4"/>
  </w:num>
  <w:num w:numId="8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284"/>
  <w:hyphenationZone w:val="425"/>
  <w:doNotHyphenateCaps/>
  <w:drawingGridHorizontalSpacing w:val="110"/>
  <w:displayHorizontalDrawingGridEvery w:val="2"/>
  <w:characterSpacingControl w:val="doNotCompress"/>
  <w:doNotValidateAgainstSchema/>
  <w:doNotDemarcateInvalidXml/>
  <w:hdrShapeDefaults>
    <o:shapedefaults v:ext="edit" spidmax="1433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/>
  <w:rsids>
    <w:rsidRoot w:val="00F404E8"/>
    <w:rsid w:val="00053775"/>
    <w:rsid w:val="000B5776"/>
    <w:rsid w:val="000C4281"/>
    <w:rsid w:val="000E383B"/>
    <w:rsid w:val="001406AD"/>
    <w:rsid w:val="0017125C"/>
    <w:rsid w:val="001A04C5"/>
    <w:rsid w:val="001A1B05"/>
    <w:rsid w:val="001B6E8A"/>
    <w:rsid w:val="002401F1"/>
    <w:rsid w:val="002C12B4"/>
    <w:rsid w:val="002D7E6D"/>
    <w:rsid w:val="003007F7"/>
    <w:rsid w:val="00321632"/>
    <w:rsid w:val="00364EFD"/>
    <w:rsid w:val="003657F5"/>
    <w:rsid w:val="00373635"/>
    <w:rsid w:val="00391214"/>
    <w:rsid w:val="003B51DB"/>
    <w:rsid w:val="003D056F"/>
    <w:rsid w:val="003E787A"/>
    <w:rsid w:val="00401155"/>
    <w:rsid w:val="00404779"/>
    <w:rsid w:val="00420BC7"/>
    <w:rsid w:val="00431102"/>
    <w:rsid w:val="00443666"/>
    <w:rsid w:val="00451ED3"/>
    <w:rsid w:val="004A2BF3"/>
    <w:rsid w:val="004C012C"/>
    <w:rsid w:val="0055784D"/>
    <w:rsid w:val="00560DB1"/>
    <w:rsid w:val="00561B13"/>
    <w:rsid w:val="00611340"/>
    <w:rsid w:val="00623868"/>
    <w:rsid w:val="00637F73"/>
    <w:rsid w:val="00676DB4"/>
    <w:rsid w:val="006831DF"/>
    <w:rsid w:val="006942DC"/>
    <w:rsid w:val="006A7181"/>
    <w:rsid w:val="006D0B2E"/>
    <w:rsid w:val="00745818"/>
    <w:rsid w:val="00751E01"/>
    <w:rsid w:val="007912E1"/>
    <w:rsid w:val="0079769A"/>
    <w:rsid w:val="007A0406"/>
    <w:rsid w:val="007A0B96"/>
    <w:rsid w:val="008227FF"/>
    <w:rsid w:val="00861175"/>
    <w:rsid w:val="00867B61"/>
    <w:rsid w:val="008771A6"/>
    <w:rsid w:val="00881CB4"/>
    <w:rsid w:val="00892488"/>
    <w:rsid w:val="008A77EB"/>
    <w:rsid w:val="00913435"/>
    <w:rsid w:val="00916772"/>
    <w:rsid w:val="009804A1"/>
    <w:rsid w:val="009878BC"/>
    <w:rsid w:val="00991B48"/>
    <w:rsid w:val="009A27D0"/>
    <w:rsid w:val="009D4F05"/>
    <w:rsid w:val="009D5C84"/>
    <w:rsid w:val="009F1058"/>
    <w:rsid w:val="00A55E63"/>
    <w:rsid w:val="00A82108"/>
    <w:rsid w:val="00AA11BC"/>
    <w:rsid w:val="00AD6C8A"/>
    <w:rsid w:val="00AD749D"/>
    <w:rsid w:val="00B15E67"/>
    <w:rsid w:val="00B7440A"/>
    <w:rsid w:val="00BD533F"/>
    <w:rsid w:val="00C01CB7"/>
    <w:rsid w:val="00C21591"/>
    <w:rsid w:val="00C71636"/>
    <w:rsid w:val="00C72918"/>
    <w:rsid w:val="00CB327D"/>
    <w:rsid w:val="00CC3205"/>
    <w:rsid w:val="00CC5F2B"/>
    <w:rsid w:val="00CD545D"/>
    <w:rsid w:val="00D007FA"/>
    <w:rsid w:val="00D23C30"/>
    <w:rsid w:val="00D73E2E"/>
    <w:rsid w:val="00DF211F"/>
    <w:rsid w:val="00E00F9D"/>
    <w:rsid w:val="00E1750C"/>
    <w:rsid w:val="00E42ED4"/>
    <w:rsid w:val="00E532AD"/>
    <w:rsid w:val="00E70F0E"/>
    <w:rsid w:val="00EB4798"/>
    <w:rsid w:val="00EB55FA"/>
    <w:rsid w:val="00EE5474"/>
    <w:rsid w:val="00F404E8"/>
    <w:rsid w:val="00F817B0"/>
    <w:rsid w:val="00F81FEC"/>
    <w:rsid w:val="00F944E2"/>
    <w:rsid w:val="00FE2941"/>
    <w:rsid w:val="00FE2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20BC7"/>
    <w:pPr>
      <w:widowControl w:val="0"/>
    </w:pPr>
    <w:rPr>
      <w:rFonts w:cs="Calibri"/>
      <w:sz w:val="22"/>
      <w:szCs w:val="22"/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20BC7"/>
    <w:pPr>
      <w:outlineLvl w:val="0"/>
    </w:pPr>
    <w:rPr>
      <w:rFonts w:ascii="Times New Roman" w:eastAsia="Times New Roman" w:hAnsi="Times New Roman" w:cs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3007F7"/>
    <w:rPr>
      <w:rFonts w:ascii="Cambria" w:hAnsi="Cambria" w:cs="Cambria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20BC7"/>
    <w:pPr>
      <w:widowControl w:val="0"/>
    </w:pPr>
    <w:rPr>
      <w:rFonts w:cs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20BC7"/>
    <w:pPr>
      <w:ind w:left="668" w:hanging="567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007F7"/>
    <w:rPr>
      <w:lang w:eastAsia="en-US"/>
    </w:rPr>
  </w:style>
  <w:style w:type="paragraph" w:styleId="Odsekzoznamu">
    <w:name w:val="List Paragraph"/>
    <w:basedOn w:val="Normlny"/>
    <w:uiPriority w:val="99"/>
    <w:qFormat/>
    <w:rsid w:val="00420BC7"/>
  </w:style>
  <w:style w:type="paragraph" w:customStyle="1" w:styleId="TableParagraph">
    <w:name w:val="Table Paragraph"/>
    <w:basedOn w:val="Normlny"/>
    <w:uiPriority w:val="99"/>
    <w:rsid w:val="00420BC7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</w:style>
  <w:style w:type="table" w:styleId="Mriekatabuky">
    <w:name w:val="Table Grid"/>
    <w:basedOn w:val="Normlnatabuka"/>
    <w:uiPriority w:val="99"/>
    <w:rsid w:val="002D7E6D"/>
    <w:rPr>
      <w:rFonts w:cs="Calibr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345417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417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Pracovn__h_rok_programu_Microsoft_Office_Excel_97-20031.xls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657</Words>
  <Characters>3745</Characters>
  <Application>Microsoft Office Word</Application>
  <DocSecurity>0</DocSecurity>
  <Lines>31</Lines>
  <Paragraphs>8</Paragraphs>
  <ScaleCrop>false</ScaleCrop>
  <Company>PKF Slovensko s.r.o.</Company>
  <LinksUpToDate>false</LinksUpToDate>
  <CharactersWithSpaces>4394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4</cp:revision>
  <dcterms:created xsi:type="dcterms:W3CDTF">2023-06-30T05:27:00Z</dcterms:created>
  <dcterms:modified xsi:type="dcterms:W3CDTF">2023-06-30T05:31:00Z</dcterms:modified>
</cp:coreProperties>
</file>