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9781"/>
        </w:tabs>
        <w:ind w:left="3679" w:right="4485"/>
        <w:jc w:val="both"/>
        <w:rPr>
          <w:b/>
        </w:rPr>
      </w:pPr>
    </w:p>
    <w:p>
      <w:pPr>
        <w:tabs>
          <w:tab w:val="left" w:pos="9781"/>
        </w:tabs>
        <w:ind w:left="3679" w:right="4485"/>
        <w:jc w:val="both"/>
        <w:rPr>
          <w:b/>
        </w:rPr>
      </w:pPr>
    </w:p>
    <w:p>
      <w:pPr>
        <w:tabs>
          <w:tab w:val="left" w:pos="9781"/>
        </w:tabs>
        <w:ind w:left="3679" w:right="4485"/>
        <w:jc w:val="both"/>
        <w:rPr>
          <w:b/>
        </w:rPr>
      </w:pPr>
    </w:p>
    <w:p>
      <w:pPr>
        <w:tabs>
          <w:tab w:val="left" w:pos="9781"/>
        </w:tabs>
        <w:ind w:left="3679" w:right="4485"/>
        <w:jc w:val="both"/>
        <w:rPr>
          <w:b/>
        </w:rPr>
      </w:pPr>
    </w:p>
    <w:p>
      <w:pPr>
        <w:tabs>
          <w:tab w:val="left" w:pos="9781"/>
        </w:tabs>
        <w:ind w:left="3679" w:right="4485"/>
        <w:jc w:val="both"/>
        <w:rPr>
          <w:b/>
        </w:rPr>
      </w:pPr>
    </w:p>
    <w:p>
      <w:pPr>
        <w:tabs>
          <w:tab w:val="left" w:pos="9781"/>
        </w:tabs>
        <w:ind w:right="9"/>
        <w:jc w:val="center"/>
        <w:rPr>
          <w:b/>
          <w:sz w:val="24"/>
        </w:rPr>
      </w:pPr>
      <w:r>
        <w:rPr>
          <w:b/>
          <w:sz w:val="24"/>
        </w:rPr>
        <w:t xml:space="preserve">POZNÁMKY </w:t>
      </w:r>
    </w:p>
    <w:p>
      <w:pPr>
        <w:tabs>
          <w:tab w:val="left" w:pos="9781"/>
        </w:tabs>
        <w:ind w:right="9"/>
        <w:jc w:val="center"/>
        <w:rPr>
          <w:rFonts w:hint="default"/>
          <w:b/>
          <w:lang w:val="sk-SK"/>
        </w:rPr>
      </w:pPr>
      <w:r>
        <w:rPr>
          <w:b/>
        </w:rPr>
        <w:t>K 31.12.202</w:t>
      </w:r>
      <w:r>
        <w:rPr>
          <w:rFonts w:hint="default"/>
          <w:b/>
          <w:lang w:val="sk-SK"/>
        </w:rPr>
        <w:t>2</w:t>
      </w:r>
    </w:p>
    <w:p>
      <w:pPr>
        <w:pStyle w:val="14"/>
        <w:tabs>
          <w:tab w:val="left" w:pos="9781"/>
        </w:tabs>
        <w:jc w:val="center"/>
        <w:rPr>
          <w:rFonts w:ascii="Arial Narrow" w:hAnsi="Arial Narrow"/>
          <w:b/>
          <w:bCs/>
          <w:color w:val="000000" w:themeColor="text1"/>
          <w:szCs w:val="22"/>
          <w14:textFill>
            <w14:solidFill>
              <w14:schemeClr w14:val="tx1"/>
            </w14:solidFill>
          </w14:textFill>
        </w:rPr>
      </w:pPr>
      <w:r>
        <w:rPr>
          <w:rFonts w:ascii="Arial Narrow" w:hAnsi="Arial Narrow"/>
          <w:b/>
          <w:bCs/>
          <w:color w:val="000000" w:themeColor="text1"/>
          <w:szCs w:val="22"/>
          <w14:textFill>
            <w14:solidFill>
              <w14:schemeClr w14:val="tx1"/>
            </w14:solidFill>
          </w14:textFill>
        </w:rPr>
        <w:t>Výročná správa registrovaného sociálneho podniku</w:t>
      </w:r>
    </w:p>
    <w:p>
      <w:pPr>
        <w:pStyle w:val="5"/>
        <w:tabs>
          <w:tab w:val="left" w:pos="9781"/>
        </w:tabs>
        <w:jc w:val="both"/>
        <w:rPr>
          <w:b/>
          <w:color w:val="000000" w:themeColor="text1"/>
          <w:sz w:val="24"/>
          <w14:textFill>
            <w14:solidFill>
              <w14:schemeClr w14:val="tx1"/>
            </w14:solidFill>
          </w14:textFill>
        </w:rPr>
      </w:pPr>
    </w:p>
    <w:p>
      <w:pPr>
        <w:pStyle w:val="5"/>
        <w:tabs>
          <w:tab w:val="left" w:pos="9781"/>
        </w:tabs>
        <w:jc w:val="both"/>
        <w:rPr>
          <w:b/>
          <w:sz w:val="20"/>
        </w:rPr>
      </w:pPr>
    </w:p>
    <w:p>
      <w:pPr>
        <w:pStyle w:val="2"/>
        <w:numPr>
          <w:ilvl w:val="0"/>
          <w:numId w:val="1"/>
        </w:numPr>
        <w:tabs>
          <w:tab w:val="left" w:pos="9781"/>
        </w:tabs>
        <w:ind w:left="284"/>
        <w:jc w:val="both"/>
        <w:rPr>
          <w:sz w:val="24"/>
        </w:rPr>
      </w:pPr>
      <w:r>
        <w:rPr>
          <w:sz w:val="24"/>
        </w:rPr>
        <w:t>Poznámky obsahujú tieto informácie o účtovnej jednotke:</w:t>
      </w:r>
    </w:p>
    <w:p>
      <w:pPr>
        <w:pStyle w:val="5"/>
        <w:tabs>
          <w:tab w:val="left" w:pos="9781"/>
        </w:tabs>
        <w:spacing w:before="11"/>
        <w:jc w:val="both"/>
        <w:rPr>
          <w:b/>
          <w:sz w:val="21"/>
        </w:rPr>
      </w:pPr>
    </w:p>
    <w:p>
      <w:pPr>
        <w:pStyle w:val="10"/>
        <w:numPr>
          <w:ilvl w:val="1"/>
          <w:numId w:val="1"/>
        </w:numPr>
        <w:tabs>
          <w:tab w:val="left" w:pos="9781"/>
        </w:tabs>
        <w:ind w:left="426"/>
        <w:jc w:val="both"/>
      </w:pPr>
      <w:r>
        <w:t>obchodné meno a sídlo účtovnej jednotky, dátum jej založenia a dátum jej</w:t>
      </w:r>
      <w:r>
        <w:rPr>
          <w:spacing w:val="-6"/>
        </w:rPr>
        <w:t xml:space="preserve"> </w:t>
      </w:r>
      <w:r>
        <w:t>vzniku</w:t>
      </w:r>
    </w:p>
    <w:p>
      <w:pPr>
        <w:pStyle w:val="14"/>
        <w:tabs>
          <w:tab w:val="left" w:pos="9781"/>
        </w:tabs>
        <w:spacing w:before="120"/>
        <w:ind w:left="426"/>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 xml:space="preserve">Názov spoločnosti: HPSW, s.r.o. </w:t>
      </w:r>
      <w:r>
        <w:rPr>
          <w:rFonts w:ascii="Arial Narrow" w:hAnsi="Arial Narrow"/>
          <w:color w:val="000000" w:themeColor="text1"/>
          <w:sz w:val="22"/>
          <w:szCs w:val="22"/>
          <w14:textFill>
            <w14:solidFill>
              <w14:schemeClr w14:val="tx1"/>
            </w14:solidFill>
          </w14:textFill>
        </w:rPr>
        <w:t>..........................................................................................................................................................................................</w:t>
      </w:r>
    </w:p>
    <w:p>
      <w:pPr>
        <w:pStyle w:val="14"/>
        <w:tabs>
          <w:tab w:val="left" w:pos="9781"/>
        </w:tabs>
        <w:spacing w:before="12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Dátum vzniku (zápisu do príslušného registra): 27.07.2021.............................................................................................</w:t>
      </w:r>
    </w:p>
    <w:p>
      <w:pPr>
        <w:pStyle w:val="14"/>
        <w:tabs>
          <w:tab w:val="left" w:pos="9781"/>
        </w:tabs>
        <w:spacing w:before="12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Sídlo: Kolačkov 188, 065 11 Kolačkov.............................................................................................................................</w:t>
      </w:r>
    </w:p>
    <w:p>
      <w:pPr>
        <w:pStyle w:val="14"/>
        <w:tabs>
          <w:tab w:val="left" w:pos="9781"/>
        </w:tabs>
        <w:spacing w:before="60"/>
        <w:ind w:left="426"/>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Adresa prevádzkarne zapísanej v živnostenskom registri: .....................................---.....................................................</w:t>
      </w:r>
    </w:p>
    <w:p>
      <w:pPr>
        <w:pStyle w:val="14"/>
        <w:tabs>
          <w:tab w:val="left" w:pos="9781"/>
        </w:tabs>
        <w:spacing w:before="60"/>
        <w:ind w:left="426"/>
        <w:rPr>
          <w:rFonts w:ascii="Arial Narrow" w:hAnsi="Arial Narrow"/>
          <w:b/>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Spoločnosť</w:t>
      </w:r>
      <w:r>
        <w:rPr>
          <w:rFonts w:ascii="Arial Narrow" w:hAnsi="Arial Narrow"/>
          <w:b/>
          <w:color w:val="000000" w:themeColor="text1"/>
          <w:sz w:val="22"/>
          <w:szCs w:val="22"/>
          <w14:textFill>
            <w14:solidFill>
              <w14:schemeClr w14:val="tx1"/>
            </w14:solidFill>
          </w14:textFill>
        </w:rPr>
        <w:t xml:space="preserve"> </w:t>
      </w:r>
      <w:r>
        <w:rPr>
          <w:rFonts w:ascii="Arial Narrow" w:hAnsi="Arial Narrow"/>
          <w:color w:val="000000" w:themeColor="text1"/>
          <w:sz w:val="22"/>
          <w:szCs w:val="22"/>
          <w14:textFill>
            <w14:solidFill>
              <w14:schemeClr w14:val="tx1"/>
            </w14:solidFill>
          </w14:textFill>
        </w:rPr>
        <w:t>vyhlasuje, že</w:t>
      </w:r>
      <w:r>
        <w:rPr>
          <w:rFonts w:ascii="Arial Narrow" w:hAnsi="Arial Narrow"/>
          <w:b/>
          <w:color w:val="000000" w:themeColor="text1"/>
          <w:sz w:val="22"/>
          <w:szCs w:val="22"/>
          <w14:textFill>
            <w14:solidFill>
              <w14:schemeClr w14:val="tx1"/>
            </w14:solidFill>
          </w14:textFill>
        </w:rPr>
        <w:t xml:space="preserve"> </w:t>
      </w:r>
      <w:r>
        <w:rPr>
          <w:rFonts w:ascii="Arial Narrow" w:hAnsi="Arial Narrow"/>
          <w:color w:val="000000" w:themeColor="text1"/>
          <w:sz w:val="22"/>
          <w:szCs w:val="22"/>
          <w14:textFill>
            <w14:solidFill>
              <w14:schemeClr w14:val="tx1"/>
            </w14:solidFill>
          </w14:textFill>
        </w:rPr>
        <w:t xml:space="preserve">v období, za ktoré je zostavená účtovná závierka, </w:t>
      </w:r>
      <w:r>
        <w:rPr>
          <w:rFonts w:ascii="Arial Narrow" w:hAnsi="Arial Narrow"/>
          <w:b/>
          <w:color w:val="000000" w:themeColor="text1"/>
          <w:sz w:val="22"/>
          <w:szCs w:val="22"/>
          <w14:textFill>
            <w14:solidFill>
              <w14:schemeClr w14:val="tx1"/>
            </w14:solidFill>
          </w14:textFill>
        </w:rPr>
        <w:t xml:space="preserve">zmenila / </w:t>
      </w:r>
      <w:r>
        <w:rPr>
          <w:rFonts w:ascii="Arial Narrow" w:hAnsi="Arial Narrow"/>
          <w:b/>
          <w:color w:val="000000" w:themeColor="text1"/>
          <w:sz w:val="22"/>
          <w:szCs w:val="22"/>
          <w:u w:val="single"/>
          <w14:textFill>
            <w14:solidFill>
              <w14:schemeClr w14:val="tx1"/>
            </w14:solidFill>
          </w14:textFill>
        </w:rPr>
        <w:t>nezmenila</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w:t>
      </w:r>
      <w:r>
        <w:rPr>
          <w:rFonts w:ascii="Arial Narrow" w:hAnsi="Arial Narrow"/>
          <w:color w:val="000000" w:themeColor="text1"/>
          <w:sz w:val="22"/>
          <w:szCs w:val="22"/>
          <w:u w:val="single"/>
          <w14:textFill>
            <w14:solidFill>
              <w14:schemeClr w14:val="tx1"/>
            </w14:solidFill>
          </w14:textFill>
        </w:rPr>
        <w:t>adresu prevádzkarne</w:t>
      </w:r>
      <w:r>
        <w:rPr>
          <w:rFonts w:ascii="Arial Narrow" w:hAnsi="Arial Narrow"/>
          <w:color w:val="000000" w:themeColor="text1"/>
          <w:sz w:val="22"/>
          <w:szCs w:val="22"/>
          <w14:textFill>
            <w14:solidFill>
              <w14:schemeClr w14:val="tx1"/>
            </w14:solidFill>
          </w14:textFill>
        </w:rPr>
        <w:t>, ktorá nie je zapísaná v zákonom ustanovenej evidencii.</w:t>
      </w:r>
    </w:p>
    <w:p>
      <w:pPr>
        <w:pStyle w:val="14"/>
        <w:tabs>
          <w:tab w:val="left" w:pos="709"/>
          <w:tab w:val="left" w:pos="5954"/>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Druh</w:t>
      </w:r>
      <w:r>
        <w:rPr>
          <w:rFonts w:ascii="Arial Narrow" w:hAnsi="Arial Narrow"/>
          <w:color w:val="000000" w:themeColor="text1"/>
          <w:sz w:val="22"/>
          <w:szCs w:val="22"/>
          <w14:textFill>
            <w14:solidFill>
              <w14:schemeClr w14:val="tx1"/>
            </w14:solidFill>
          </w14:textFill>
        </w:rPr>
        <w:t xml:space="preserve"> </w:t>
      </w:r>
      <w:r>
        <w:rPr>
          <w:rFonts w:ascii="Arial Narrow" w:hAnsi="Arial Narrow"/>
          <w:b/>
          <w:color w:val="000000" w:themeColor="text1"/>
          <w:sz w:val="22"/>
          <w:szCs w:val="22"/>
          <w14:textFill>
            <w14:solidFill>
              <w14:schemeClr w14:val="tx1"/>
            </w14:solidFill>
          </w14:textFill>
        </w:rPr>
        <w:t>registrovaného sociálneho podniku (RSP)</w:t>
      </w:r>
      <w:r>
        <w:rPr>
          <w:rFonts w:ascii="Arial Narrow" w:hAnsi="Arial Narrow"/>
          <w:color w:val="000000" w:themeColor="text1"/>
          <w:sz w:val="22"/>
          <w:szCs w:val="22"/>
          <w14:textFill>
            <w14:solidFill>
              <w14:schemeClr w14:val="tx1"/>
            </w14:solidFill>
          </w14:textFill>
        </w:rPr>
        <w:t xml:space="preserve">: </w:t>
      </w:r>
      <w:r>
        <w:rPr>
          <w:rFonts w:ascii="Arial Narrow" w:hAnsi="Arial Narrow"/>
          <w:b/>
          <w:color w:val="000000" w:themeColor="text1"/>
          <w:sz w:val="22"/>
          <w:szCs w:val="22"/>
          <w14:textFill>
            <w14:solidFill>
              <w14:schemeClr w14:val="tx1"/>
            </w14:solidFill>
          </w14:textFill>
        </w:rPr>
        <w:t>integračný podnik</w:t>
      </w:r>
      <w:r>
        <w:rPr>
          <w:rFonts w:ascii="Arial Narrow" w:hAnsi="Arial Narrow"/>
          <w:color w:val="000000" w:themeColor="text1"/>
          <w:sz w:val="22"/>
          <w:szCs w:val="22"/>
          <w14:textFill>
            <w14:solidFill>
              <w14:schemeClr w14:val="tx1"/>
            </w14:solidFill>
          </w14:textFill>
        </w:rPr>
        <w:tab/>
      </w:r>
    </w:p>
    <w:p>
      <w:pPr>
        <w:pStyle w:val="14"/>
        <w:tabs>
          <w:tab w:val="left" w:pos="709"/>
          <w:tab w:val="left" w:pos="5954"/>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Dátum priznania štatútu: ...........22.11.2021........................</w:t>
      </w:r>
    </w:p>
    <w:p>
      <w:pPr>
        <w:pStyle w:val="14"/>
        <w:tabs>
          <w:tab w:val="left" w:pos="709"/>
          <w:tab w:val="left" w:pos="5954"/>
          <w:tab w:val="left" w:pos="9781"/>
        </w:tabs>
        <w:spacing w:before="60"/>
        <w:ind w:left="426"/>
        <w:jc w:val="both"/>
        <w:rPr>
          <w:rFonts w:ascii="Arial Narrow" w:hAnsi="Arial Narrow"/>
          <w:i/>
          <w:color w:val="000000" w:themeColor="text1"/>
          <w:sz w:val="20"/>
          <w:szCs w:val="20"/>
          <w14:textFill>
            <w14:solidFill>
              <w14:schemeClr w14:val="tx1"/>
            </w14:solidFill>
          </w14:textFill>
        </w:rPr>
      </w:pPr>
      <w:r>
        <w:rPr>
          <w:rFonts w:ascii="Arial Narrow" w:hAnsi="Arial Narrow"/>
          <w:i/>
          <w:color w:val="000000" w:themeColor="text1"/>
          <w:sz w:val="20"/>
          <w:szCs w:val="20"/>
          <w14:textFill>
            <w14:solidFill>
              <w14:schemeClr w14:val="tx1"/>
            </w14:solidFill>
          </w14:textFill>
        </w:rPr>
        <w:t xml:space="preserve">V prípade, ak príslušný register </w:t>
      </w:r>
      <w:r>
        <w:rPr>
          <w:rFonts w:ascii="Arial Narrow" w:hAnsi="Arial Narrow"/>
          <w:b/>
          <w:i/>
          <w:color w:val="000000" w:themeColor="text1"/>
          <w:sz w:val="20"/>
          <w:szCs w:val="20"/>
          <w14:textFill>
            <w14:solidFill>
              <w14:schemeClr w14:val="tx1"/>
            </w14:solidFill>
          </w14:textFill>
        </w:rPr>
        <w:t>odmietol</w:t>
      </w:r>
      <w:r>
        <w:rPr>
          <w:rFonts w:ascii="Arial Narrow" w:hAnsi="Arial Narrow"/>
          <w:i/>
          <w:color w:val="000000" w:themeColor="text1"/>
          <w:sz w:val="20"/>
          <w:szCs w:val="20"/>
          <w14:textFill>
            <w14:solidFill>
              <w14:schemeClr w14:val="tx1"/>
            </w14:solidFill>
          </w14:textFill>
        </w:rPr>
        <w:t xml:space="preserve"> zápis označenia „registrovaný sociálny podnik“ alebo skratky „r.s.p.“:</w:t>
      </w:r>
    </w:p>
    <w:p>
      <w:pPr>
        <w:pStyle w:val="14"/>
        <w:tabs>
          <w:tab w:val="left" w:pos="709"/>
          <w:tab w:val="left" w:pos="5954"/>
          <w:tab w:val="left" w:pos="9781"/>
        </w:tabs>
        <w:spacing w:before="60"/>
        <w:ind w:left="426"/>
        <w:jc w:val="both"/>
        <w:rPr>
          <w:rFonts w:ascii="Arial Narrow" w:hAnsi="Arial Narrow"/>
          <w:color w:val="000000" w:themeColor="text1"/>
          <w:sz w:val="20"/>
          <w:szCs w:val="20"/>
          <w14:textFill>
            <w14:solidFill>
              <w14:schemeClr w14:val="tx1"/>
            </w14:solidFill>
          </w14:textFill>
        </w:rPr>
      </w:pPr>
      <w:r>
        <w:rPr>
          <w:rFonts w:ascii="Arial Narrow" w:hAnsi="Arial Narrow"/>
          <w:b/>
          <w:color w:val="000000" w:themeColor="text1"/>
          <w:sz w:val="20"/>
          <w:szCs w:val="20"/>
          <w14:textFill>
            <w14:solidFill>
              <w14:schemeClr w14:val="tx1"/>
            </w14:solidFill>
          </w14:textFill>
        </w:rPr>
        <w:t>RSP</w:t>
      </w:r>
      <w:r>
        <w:rPr>
          <w:rFonts w:ascii="Arial Narrow" w:hAnsi="Arial Narrow"/>
          <w:color w:val="000000" w:themeColor="text1"/>
          <w:sz w:val="20"/>
          <w:szCs w:val="20"/>
          <w14:textFill>
            <w14:solidFill>
              <w14:schemeClr w14:val="tx1"/>
            </w14:solidFill>
          </w14:textFill>
        </w:rPr>
        <w:t xml:space="preserve"> podal dňa ..................... návrh na zápis označenia </w:t>
      </w:r>
      <w:r>
        <w:rPr>
          <w:rFonts w:ascii="Arial Narrow" w:hAnsi="Arial Narrow"/>
          <w:b/>
          <w:color w:val="000000" w:themeColor="text1"/>
          <w:sz w:val="20"/>
          <w:szCs w:val="20"/>
          <w14:textFill>
            <w14:solidFill>
              <w14:schemeClr w14:val="tx1"/>
            </w14:solidFill>
          </w14:textFill>
        </w:rPr>
        <w:t>„registrovaný sociálny podnik</w:t>
      </w:r>
      <w:r>
        <w:rPr>
          <w:rFonts w:ascii="Arial Narrow" w:hAnsi="Arial Narrow"/>
          <w:color w:val="000000" w:themeColor="text1"/>
          <w:sz w:val="20"/>
          <w:szCs w:val="20"/>
          <w14:textFill>
            <w14:solidFill>
              <w14:schemeClr w14:val="tx1"/>
            </w14:solidFill>
          </w14:textFill>
        </w:rPr>
        <w:t xml:space="preserve">“ </w:t>
      </w:r>
      <w:r>
        <w:rPr>
          <w:rFonts w:ascii="Arial Narrow" w:hAnsi="Arial Narrow"/>
          <w:b/>
          <w:color w:val="000000" w:themeColor="text1"/>
          <w:sz w:val="20"/>
          <w:szCs w:val="20"/>
          <w14:textFill>
            <w14:solidFill>
              <w14:schemeClr w14:val="tx1"/>
            </w14:solidFill>
          </w14:textFill>
        </w:rPr>
        <w:t xml:space="preserve">/ skratky „r.s.p.“ * </w:t>
      </w:r>
      <w:r>
        <w:rPr>
          <w:rFonts w:ascii="Arial Narrow" w:hAnsi="Arial Narrow"/>
          <w:color w:val="000000" w:themeColor="text1"/>
          <w:sz w:val="20"/>
          <w:szCs w:val="20"/>
          <w14:textFill>
            <w14:solidFill>
              <w14:schemeClr w14:val="tx1"/>
            </w14:solidFill>
          </w14:textFill>
        </w:rPr>
        <w:t>do registra ................................., ktorý tento zápis dňa ........................ odmietol.</w:t>
      </w:r>
    </w:p>
    <w:p>
      <w:pPr>
        <w:pStyle w:val="14"/>
        <w:tabs>
          <w:tab w:val="left" w:pos="709"/>
          <w:tab w:val="left" w:pos="5954"/>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 xml:space="preserve">§ podľa </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Spôsob zapájania zainteresovaných osôb do správy RSP v zmysle základného dokumentu spoločnosti:     </w:t>
      </w:r>
    </w:p>
    <w:p>
      <w:pPr>
        <w:pStyle w:val="14"/>
        <w:tabs>
          <w:tab w:val="left" w:pos="9781"/>
        </w:tabs>
        <w:spacing w:before="60"/>
        <w:ind w:left="426"/>
        <w:jc w:val="center"/>
        <w:rPr>
          <w:rFonts w:ascii="Arial Narrow" w:hAnsi="Arial Narrow"/>
          <w:b/>
          <w:color w:val="000000" w:themeColor="text1"/>
          <w:sz w:val="22"/>
          <w:szCs w:val="22"/>
          <w14:textFill>
            <w14:solidFill>
              <w14:schemeClr w14:val="tx1"/>
            </w14:solidFill>
          </w14:textFill>
        </w:rPr>
      </w:pPr>
      <w:r>
        <w:rPr>
          <w:rFonts w:ascii="Arial Narrow" w:hAnsi="Arial Narrow"/>
          <w:b/>
          <w:color w:val="000000" w:themeColor="text1"/>
          <w:sz w:val="22"/>
          <w:szCs w:val="22"/>
          <w:u w:val="single"/>
          <w14:textFill>
            <w14:solidFill>
              <w14:schemeClr w14:val="tx1"/>
            </w14:solidFill>
          </w14:textFill>
        </w:rPr>
        <w:t>poradný výbor</w:t>
      </w:r>
      <w:r>
        <w:rPr>
          <w:rFonts w:ascii="Arial Narrow" w:hAnsi="Arial Narrow"/>
          <w:b/>
          <w:color w:val="000000" w:themeColor="text1"/>
          <w:sz w:val="22"/>
          <w:szCs w:val="22"/>
          <w14:textFill>
            <w14:solidFill>
              <w14:schemeClr w14:val="tx1"/>
            </w14:solidFill>
          </w14:textFill>
        </w:rPr>
        <w:t xml:space="preserve"> / demokratická správa*</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Dátum zriadenia poradného výboru / demokratickej správy - splnenie povinnosti v zmysle § 6 ods. 1 písm. b) zákona č. 112/2018 Z.z. o sociálnej ekonomike a sociálnych podnikoch v platnom znení (zákon o SE): .................---..............</w:t>
      </w:r>
      <w:r>
        <w:rPr>
          <w:rFonts w:ascii="Arial Narrow" w:hAnsi="Arial Narrow"/>
          <w:color w:val="000000" w:themeColor="text1"/>
          <w:sz w:val="22"/>
          <w:szCs w:val="22"/>
          <w14:textFill>
            <w14:solidFill>
              <w14:schemeClr w14:val="tx1"/>
            </w14:solidFill>
          </w14:textFill>
        </w:rPr>
        <w:tab/>
      </w:r>
      <w:r>
        <w:rPr>
          <w:rFonts w:ascii="Arial Narrow" w:hAnsi="Arial Narrow"/>
          <w:color w:val="000000" w:themeColor="text1"/>
          <w:sz w:val="22"/>
          <w:szCs w:val="22"/>
          <w14:textFill>
            <w14:solidFill>
              <w14:schemeClr w14:val="tx1"/>
            </w14:solidFill>
          </w14:textFill>
        </w:rPr>
        <w:tab/>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Spôsob kreovania poradného výboru: </w:t>
      </w:r>
      <w:r>
        <w:rPr>
          <w:rFonts w:ascii="Arial Narrow" w:hAnsi="Arial Narrow"/>
          <w:b/>
          <w:color w:val="000000" w:themeColor="text1"/>
          <w:sz w:val="22"/>
          <w:szCs w:val="22"/>
          <w14:textFill>
            <w14:solidFill>
              <w14:schemeClr w14:val="tx1"/>
            </w14:solidFill>
          </w14:textFill>
        </w:rPr>
        <w:t xml:space="preserve">dočasné menovanie / </w:t>
      </w:r>
      <w:r>
        <w:rPr>
          <w:rFonts w:ascii="Arial Narrow" w:hAnsi="Arial Narrow"/>
          <w:b/>
          <w:color w:val="000000" w:themeColor="text1"/>
          <w:sz w:val="22"/>
          <w:szCs w:val="22"/>
          <w:u w:val="single"/>
          <w14:textFill>
            <w14:solidFill>
              <w14:schemeClr w14:val="tx1"/>
            </w14:solidFill>
          </w14:textFill>
        </w:rPr>
        <w:t>voľby</w:t>
      </w:r>
      <w:r>
        <w:rPr>
          <w:rFonts w:ascii="Arial Narrow" w:hAnsi="Arial Narrow"/>
          <w:b/>
          <w:color w:val="000000" w:themeColor="text1"/>
          <w:sz w:val="22"/>
          <w:szCs w:val="22"/>
          <w14:textFill>
            <w14:solidFill>
              <w14:schemeClr w14:val="tx1"/>
            </w14:solidFill>
          </w14:textFill>
        </w:rPr>
        <w:t xml:space="preserve">* </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RSP </w:t>
      </w:r>
      <w:r>
        <w:rPr>
          <w:rFonts w:ascii="Arial Narrow" w:hAnsi="Arial Narrow"/>
          <w:b/>
          <w:color w:val="000000" w:themeColor="text1"/>
          <w:sz w:val="22"/>
          <w:szCs w:val="22"/>
          <w14:textFill>
            <w14:solidFill>
              <w14:schemeClr w14:val="tx1"/>
            </w14:solidFill>
          </w14:textFill>
        </w:rPr>
        <w:t xml:space="preserve">má / </w:t>
      </w:r>
      <w:r>
        <w:rPr>
          <w:rFonts w:ascii="Arial Narrow" w:hAnsi="Arial Narrow"/>
          <w:b/>
          <w:color w:val="000000" w:themeColor="text1"/>
          <w:sz w:val="22"/>
          <w:szCs w:val="22"/>
          <w:u w:val="single"/>
          <w14:textFill>
            <w14:solidFill>
              <w14:schemeClr w14:val="tx1"/>
            </w14:solidFill>
          </w14:textFill>
        </w:rPr>
        <w:t>nemá</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vypracovaný interný dokument pre poradný výbor.</w:t>
      </w:r>
    </w:p>
    <w:p>
      <w:pPr>
        <w:pStyle w:val="14"/>
        <w:tabs>
          <w:tab w:val="left" w:pos="9781"/>
        </w:tabs>
        <w:spacing w:before="60"/>
        <w:ind w:left="426" w:right="9"/>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Dátumy zasadnutí poradného výboru v období, za ktoré je zostavená účtovná závierka: ....................</w:t>
      </w:r>
      <w:r>
        <w:rPr>
          <w:rFonts w:hint="default" w:ascii="Arial Narrow" w:hAnsi="Arial Narrow"/>
          <w:color w:val="000000" w:themeColor="text1"/>
          <w:sz w:val="22"/>
          <w:szCs w:val="22"/>
          <w:lang w:val="sk-SK"/>
          <w14:textFill>
            <w14:solidFill>
              <w14:schemeClr w14:val="tx1"/>
            </w14:solidFill>
          </w14:textFill>
        </w:rPr>
        <w:t>03.11.2022</w:t>
      </w:r>
      <w:r>
        <w:rPr>
          <w:rFonts w:ascii="Arial Narrow" w:hAnsi="Arial Narrow"/>
          <w:color w:val="000000" w:themeColor="text1"/>
          <w:sz w:val="22"/>
          <w:szCs w:val="22"/>
          <w14:textFill>
            <w14:solidFill>
              <w14:schemeClr w14:val="tx1"/>
            </w14:solidFill>
          </w14:textFill>
        </w:rPr>
        <w:t>.........</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RSP </w:t>
      </w:r>
      <w:r>
        <w:rPr>
          <w:rFonts w:ascii="Arial Narrow" w:hAnsi="Arial Narrow"/>
          <w:b/>
          <w:color w:val="000000" w:themeColor="text1"/>
          <w:sz w:val="22"/>
          <w:szCs w:val="22"/>
          <w:u w:val="single"/>
          <w14:textFill>
            <w14:solidFill>
              <w14:schemeClr w14:val="tx1"/>
            </w14:solidFill>
          </w14:textFill>
        </w:rPr>
        <w:t>má</w:t>
      </w:r>
      <w:r>
        <w:rPr>
          <w:rFonts w:ascii="Arial Narrow" w:hAnsi="Arial Narrow"/>
          <w:b/>
          <w:color w:val="000000" w:themeColor="text1"/>
          <w:sz w:val="22"/>
          <w:szCs w:val="22"/>
          <w14:textFill>
            <w14:solidFill>
              <w14:schemeClr w14:val="tx1"/>
            </w14:solidFill>
          </w14:textFill>
        </w:rPr>
        <w:t xml:space="preserve"> / nemá*</w:t>
      </w:r>
      <w:r>
        <w:rPr>
          <w:rFonts w:ascii="Arial Narrow" w:hAnsi="Arial Narrow"/>
          <w:color w:val="000000" w:themeColor="text1"/>
          <w:sz w:val="22"/>
          <w:szCs w:val="22"/>
          <w14:textFill>
            <w14:solidFill>
              <w14:schemeClr w14:val="tx1"/>
            </w14:solidFill>
          </w14:textFill>
        </w:rPr>
        <w:t xml:space="preserve"> vypracované zápisnice zo všetkých zasadnutí poradného výboru</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Počet členov poradného výboru k 31.12.202</w:t>
      </w:r>
      <w:r>
        <w:rPr>
          <w:rFonts w:hint="default" w:ascii="Arial Narrow" w:hAnsi="Arial Narrow"/>
          <w:color w:val="000000" w:themeColor="text1"/>
          <w:sz w:val="22"/>
          <w:szCs w:val="22"/>
          <w:lang w:val="sk-SK"/>
          <w14:textFill>
            <w14:solidFill>
              <w14:schemeClr w14:val="tx1"/>
            </w14:solidFill>
          </w14:textFill>
        </w:rPr>
        <w:t>2</w:t>
      </w:r>
      <w:r>
        <w:rPr>
          <w:rFonts w:ascii="Arial Narrow" w:hAnsi="Arial Narrow"/>
          <w:color w:val="000000" w:themeColor="text1"/>
          <w:sz w:val="22"/>
          <w:szCs w:val="22"/>
          <w14:textFill>
            <w14:solidFill>
              <w14:schemeClr w14:val="tx1"/>
            </w14:solidFill>
          </w14:textFill>
        </w:rPr>
        <w:t xml:space="preserve"> ...............</w:t>
      </w:r>
      <w:r>
        <w:rPr>
          <w:rFonts w:hint="default" w:ascii="Arial Narrow" w:hAnsi="Arial Narrow"/>
          <w:color w:val="000000" w:themeColor="text1"/>
          <w:sz w:val="22"/>
          <w:szCs w:val="22"/>
          <w:lang w:val="sk-SK"/>
          <w14:textFill>
            <w14:solidFill>
              <w14:schemeClr w14:val="tx1"/>
            </w14:solidFill>
          </w14:textFill>
        </w:rPr>
        <w:t>3</w:t>
      </w:r>
      <w:r>
        <w:rPr>
          <w:rFonts w:ascii="Arial Narrow" w:hAnsi="Arial Narrow"/>
          <w:color w:val="000000" w:themeColor="text1"/>
          <w:sz w:val="22"/>
          <w:szCs w:val="22"/>
          <w14:textFill>
            <w14:solidFill>
              <w14:schemeClr w14:val="tx1"/>
            </w14:solidFill>
          </w14:textFill>
        </w:rPr>
        <w:t>............</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Druh a počet zainteresovaných osôb – členov poradného výboru k 31.12.202</w:t>
      </w:r>
      <w:r>
        <w:rPr>
          <w:rFonts w:hint="default" w:ascii="Arial Narrow" w:hAnsi="Arial Narrow"/>
          <w:color w:val="000000" w:themeColor="text1"/>
          <w:sz w:val="22"/>
          <w:szCs w:val="22"/>
          <w:lang w:val="sk-SK"/>
          <w14:textFill>
            <w14:solidFill>
              <w14:schemeClr w14:val="tx1"/>
            </w14:solidFill>
          </w14:textFill>
        </w:rPr>
        <w:t>2</w:t>
      </w:r>
      <w:r>
        <w:rPr>
          <w:rFonts w:ascii="Arial Narrow" w:hAnsi="Arial Narrow"/>
          <w:color w:val="000000" w:themeColor="text1"/>
          <w:sz w:val="22"/>
          <w:szCs w:val="22"/>
          <w14:textFill>
            <w14:solidFill>
              <w14:schemeClr w14:val="tx1"/>
            </w14:solidFill>
          </w14:textFill>
        </w:rPr>
        <w:t>:</w:t>
      </w:r>
    </w:p>
    <w:p>
      <w:pPr>
        <w:pStyle w:val="14"/>
        <w:numPr>
          <w:ilvl w:val="0"/>
          <w:numId w:val="2"/>
        </w:numPr>
        <w:tabs>
          <w:tab w:val="left" w:pos="9781"/>
        </w:tabs>
        <w:ind w:left="782"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r>
        <w:rPr>
          <w:rFonts w:hint="default" w:ascii="Arial Narrow" w:hAnsi="Arial Narrow"/>
          <w:color w:val="000000" w:themeColor="text1"/>
          <w:sz w:val="22"/>
          <w:szCs w:val="22"/>
          <w:lang w:val="sk-SK"/>
          <w14:textFill>
            <w14:solidFill>
              <w14:schemeClr w14:val="tx1"/>
            </w14:solidFill>
          </w14:textFill>
        </w:rPr>
        <w:t>Alena Kopčáková - člen poradného výboru</w:t>
      </w:r>
      <w:r>
        <w:rPr>
          <w:rFonts w:ascii="Arial Narrow" w:hAnsi="Arial Narrow"/>
          <w:color w:val="000000" w:themeColor="text1"/>
          <w:sz w:val="22"/>
          <w:szCs w:val="22"/>
          <w14:textFill>
            <w14:solidFill>
              <w14:schemeClr w14:val="tx1"/>
            </w14:solidFill>
          </w14:textFill>
        </w:rPr>
        <w:t xml:space="preserve">............. </w:t>
      </w:r>
    </w:p>
    <w:p>
      <w:pPr>
        <w:pStyle w:val="14"/>
        <w:numPr>
          <w:ilvl w:val="0"/>
          <w:numId w:val="2"/>
        </w:numPr>
        <w:tabs>
          <w:tab w:val="left" w:pos="9781"/>
        </w:tabs>
        <w:ind w:left="782"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r>
        <w:rPr>
          <w:rFonts w:hint="default" w:ascii="Arial Narrow" w:hAnsi="Arial Narrow"/>
          <w:color w:val="000000" w:themeColor="text1"/>
          <w:sz w:val="22"/>
          <w:szCs w:val="22"/>
          <w:lang w:val="sk-SK"/>
          <w14:textFill>
            <w14:solidFill>
              <w14:schemeClr w14:val="tx1"/>
            </w14:solidFill>
          </w14:textFill>
        </w:rPr>
        <w:t>Terézia Reľovská - člen poradného výboru</w:t>
      </w:r>
      <w:r>
        <w:rPr>
          <w:rFonts w:ascii="Arial Narrow" w:hAnsi="Arial Narrow"/>
          <w:color w:val="000000" w:themeColor="text1"/>
          <w:sz w:val="22"/>
          <w:szCs w:val="22"/>
          <w14:textFill>
            <w14:solidFill>
              <w14:schemeClr w14:val="tx1"/>
            </w14:solidFill>
          </w14:textFill>
        </w:rPr>
        <w:t>.............</w:t>
      </w:r>
    </w:p>
    <w:p>
      <w:pPr>
        <w:pStyle w:val="14"/>
        <w:numPr>
          <w:ilvl w:val="0"/>
          <w:numId w:val="2"/>
        </w:numPr>
        <w:tabs>
          <w:tab w:val="left" w:pos="9781"/>
        </w:tabs>
        <w:ind w:left="782"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r>
        <w:rPr>
          <w:rFonts w:hint="default" w:ascii="Arial Narrow" w:hAnsi="Arial Narrow"/>
          <w:color w:val="000000" w:themeColor="text1"/>
          <w:sz w:val="22"/>
          <w:szCs w:val="22"/>
          <w:lang w:val="sk-SK"/>
          <w14:textFill>
            <w14:solidFill>
              <w14:schemeClr w14:val="tx1"/>
            </w14:solidFill>
          </w14:textFill>
        </w:rPr>
        <w:t>Pavol Lorek - člen poradného výboru</w:t>
      </w:r>
      <w:r>
        <w:rPr>
          <w:rFonts w:ascii="Arial Narrow" w:hAnsi="Arial Narrow"/>
          <w:color w:val="000000" w:themeColor="text1"/>
          <w:sz w:val="22"/>
          <w:szCs w:val="22"/>
          <w14:textFill>
            <w14:solidFill>
              <w14:schemeClr w14:val="tx1"/>
            </w14:solidFill>
          </w14:textFill>
        </w:rPr>
        <w:t>.............</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Zloženie </w:t>
      </w:r>
      <w:r>
        <w:rPr>
          <w:rFonts w:ascii="Arial Narrow" w:hAnsi="Arial Narrow"/>
          <w:b/>
          <w:color w:val="000000" w:themeColor="text1"/>
          <w:sz w:val="22"/>
          <w:szCs w:val="22"/>
          <w14:textFill>
            <w14:solidFill>
              <w14:schemeClr w14:val="tx1"/>
            </w14:solidFill>
          </w14:textFill>
        </w:rPr>
        <w:t>orgánov RSP</w:t>
      </w:r>
      <w:r>
        <w:rPr>
          <w:rFonts w:ascii="Arial Narrow" w:hAnsi="Arial Narrow"/>
          <w:color w:val="000000" w:themeColor="text1"/>
          <w:sz w:val="22"/>
          <w:szCs w:val="22"/>
          <w14:textFill>
            <w14:solidFill>
              <w14:schemeClr w14:val="tx1"/>
            </w14:solidFill>
          </w14:textFill>
        </w:rPr>
        <w:t>:</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 xml:space="preserve">RPS </w:t>
      </w:r>
      <w:r>
        <w:rPr>
          <w:rFonts w:ascii="Arial Narrow" w:hAnsi="Arial Narrow"/>
          <w:color w:val="000000" w:themeColor="text1"/>
          <w:sz w:val="22"/>
          <w:szCs w:val="22"/>
          <w14:textFill>
            <w14:solidFill>
              <w14:schemeClr w14:val="tx1"/>
            </w14:solidFill>
          </w14:textFill>
        </w:rPr>
        <w:t xml:space="preserve">vyhlasuje, že počas obdobia, za ktoré je účtovná závierka zostavená, </w:t>
      </w:r>
      <w:r>
        <w:rPr>
          <w:rFonts w:ascii="Arial Narrow" w:hAnsi="Arial Narrow"/>
          <w:b/>
          <w:color w:val="000000" w:themeColor="text1"/>
          <w:sz w:val="22"/>
          <w:szCs w:val="22"/>
          <w14:textFill>
            <w14:solidFill>
              <w14:schemeClr w14:val="tx1"/>
            </w14:solidFill>
          </w14:textFill>
        </w:rPr>
        <w:t xml:space="preserve">nastali / </w:t>
      </w:r>
      <w:r>
        <w:rPr>
          <w:rFonts w:ascii="Arial Narrow" w:hAnsi="Arial Narrow"/>
          <w:b/>
          <w:color w:val="000000" w:themeColor="text1"/>
          <w:sz w:val="22"/>
          <w:szCs w:val="22"/>
          <w:u w:val="single"/>
          <w14:textFill>
            <w14:solidFill>
              <w14:schemeClr w14:val="tx1"/>
            </w14:solidFill>
          </w14:textFill>
        </w:rPr>
        <w:t>nenastali</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nasledujúce zmeny v zložení jeho orgánov:</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RSP</w:t>
      </w:r>
      <w:r>
        <w:rPr>
          <w:rFonts w:ascii="Arial Narrow" w:hAnsi="Arial Narrow"/>
          <w:color w:val="000000" w:themeColor="text1"/>
          <w:sz w:val="22"/>
          <w:szCs w:val="22"/>
          <w14:textFill>
            <w14:solidFill>
              <w14:schemeClr w14:val="tx1"/>
            </w14:solidFill>
          </w14:textFill>
        </w:rPr>
        <w:t xml:space="preserve"> vyhlasuje, že počas obdobia, za ktoré je účtovná závierka zostavená, </w:t>
      </w:r>
      <w:r>
        <w:rPr>
          <w:rFonts w:ascii="Arial Narrow" w:hAnsi="Arial Narrow"/>
          <w:b/>
          <w:color w:val="000000" w:themeColor="text1"/>
          <w:sz w:val="22"/>
          <w:szCs w:val="22"/>
          <w14:textFill>
            <w14:solidFill>
              <w14:schemeClr w14:val="tx1"/>
            </w14:solidFill>
          </w14:textFill>
        </w:rPr>
        <w:t xml:space="preserve">mal / </w:t>
      </w:r>
      <w:r>
        <w:rPr>
          <w:rFonts w:ascii="Arial Narrow" w:hAnsi="Arial Narrow"/>
          <w:b/>
          <w:color w:val="000000" w:themeColor="text1"/>
          <w:sz w:val="22"/>
          <w:szCs w:val="22"/>
          <w:u w:val="single"/>
          <w14:textFill>
            <w14:solidFill>
              <w14:schemeClr w14:val="tx1"/>
            </w14:solidFill>
          </w14:textFill>
        </w:rPr>
        <w:t>nemal</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vyhlásený konkurz na majetok, </w:t>
      </w:r>
      <w:r>
        <w:rPr>
          <w:rFonts w:ascii="Arial Narrow" w:hAnsi="Arial Narrow"/>
          <w:b/>
          <w:color w:val="000000" w:themeColor="text1"/>
          <w:sz w:val="22"/>
          <w:szCs w:val="22"/>
          <w14:textFill>
            <w14:solidFill>
              <w14:schemeClr w14:val="tx1"/>
            </w14:solidFill>
          </w14:textFill>
        </w:rPr>
        <w:t xml:space="preserve">bolo / </w:t>
      </w:r>
      <w:r>
        <w:rPr>
          <w:rFonts w:ascii="Arial Narrow" w:hAnsi="Arial Narrow"/>
          <w:b/>
          <w:color w:val="000000" w:themeColor="text1"/>
          <w:sz w:val="22"/>
          <w:szCs w:val="22"/>
          <w:u w:val="single"/>
          <w14:textFill>
            <w14:solidFill>
              <w14:schemeClr w14:val="tx1"/>
            </w14:solidFill>
          </w14:textFill>
        </w:rPr>
        <w:t>nebolo</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voči nemu zastavené konkurzné konanie pre nedostatok majetku alebo </w:t>
      </w:r>
      <w:r>
        <w:rPr>
          <w:rFonts w:ascii="Arial Narrow" w:hAnsi="Arial Narrow"/>
          <w:b/>
          <w:color w:val="000000" w:themeColor="text1"/>
          <w:sz w:val="22"/>
          <w:szCs w:val="22"/>
          <w14:textFill>
            <w14:solidFill>
              <w14:schemeClr w14:val="tx1"/>
            </w14:solidFill>
          </w14:textFill>
        </w:rPr>
        <w:t xml:space="preserve">bol / </w:t>
      </w:r>
      <w:r>
        <w:rPr>
          <w:rFonts w:ascii="Arial Narrow" w:hAnsi="Arial Narrow"/>
          <w:b/>
          <w:color w:val="000000" w:themeColor="text1"/>
          <w:sz w:val="22"/>
          <w:szCs w:val="22"/>
          <w:u w:val="single"/>
          <w14:textFill>
            <w14:solidFill>
              <w14:schemeClr w14:val="tx1"/>
            </w14:solidFill>
          </w14:textFill>
        </w:rPr>
        <w:t>nebol*</w:t>
      </w:r>
      <w:r>
        <w:rPr>
          <w:rFonts w:ascii="Arial Narrow" w:hAnsi="Arial Narrow"/>
          <w:color w:val="000000" w:themeColor="text1"/>
          <w:sz w:val="22"/>
          <w:szCs w:val="22"/>
          <w14:textFill>
            <w14:solidFill>
              <w14:schemeClr w14:val="tx1"/>
            </w14:solidFill>
          </w14:textFill>
        </w:rPr>
        <w:t xml:space="preserve"> zrušený konkurz pre nedostatok majetku. </w:t>
      </w:r>
      <w:r>
        <w:rPr>
          <w:rFonts w:ascii="Arial Narrow" w:hAnsi="Arial Narrow"/>
          <w:b/>
          <w:color w:val="000000" w:themeColor="text1"/>
          <w:sz w:val="22"/>
          <w:szCs w:val="22"/>
          <w14:textFill>
            <w14:solidFill>
              <w14:schemeClr w14:val="tx1"/>
            </w14:solidFill>
          </w14:textFill>
        </w:rPr>
        <w:t>RSP</w:t>
      </w:r>
      <w:r>
        <w:rPr>
          <w:rFonts w:ascii="Arial Narrow" w:hAnsi="Arial Narrow"/>
          <w:color w:val="000000" w:themeColor="text1"/>
          <w:sz w:val="22"/>
          <w:szCs w:val="22"/>
          <w14:textFill>
            <w14:solidFill>
              <w14:schemeClr w14:val="tx1"/>
            </w14:solidFill>
          </w14:textFill>
        </w:rPr>
        <w:t xml:space="preserve"> zároveň vyhlasuje, že ku dňu zostavenia účtovnej závierky </w:t>
      </w:r>
      <w:r>
        <w:rPr>
          <w:rFonts w:ascii="Arial Narrow" w:hAnsi="Arial Narrow"/>
          <w:b/>
          <w:color w:val="000000" w:themeColor="text1"/>
          <w:sz w:val="22"/>
          <w:szCs w:val="22"/>
          <w14:textFill>
            <w14:solidFill>
              <w14:schemeClr w14:val="tx1"/>
            </w14:solidFill>
          </w14:textFill>
        </w:rPr>
        <w:t xml:space="preserve">je / </w:t>
      </w:r>
      <w:r>
        <w:rPr>
          <w:rFonts w:ascii="Arial Narrow" w:hAnsi="Arial Narrow"/>
          <w:b/>
          <w:color w:val="000000" w:themeColor="text1"/>
          <w:sz w:val="22"/>
          <w:szCs w:val="22"/>
          <w:u w:val="single"/>
          <w14:textFill>
            <w14:solidFill>
              <w14:schemeClr w14:val="tx1"/>
            </w14:solidFill>
          </w14:textFill>
        </w:rPr>
        <w:t>nie je*</w:t>
      </w:r>
      <w:r>
        <w:rPr>
          <w:rFonts w:ascii="Arial Narrow" w:hAnsi="Arial Narrow"/>
          <w:color w:val="000000" w:themeColor="text1"/>
          <w:sz w:val="22"/>
          <w:szCs w:val="22"/>
          <w14:textFill>
            <w14:solidFill>
              <w14:schemeClr w14:val="tx1"/>
            </w14:solidFill>
          </w14:textFill>
        </w:rPr>
        <w:t xml:space="preserve"> v reštrukturalizácii a </w:t>
      </w:r>
      <w:r>
        <w:rPr>
          <w:rFonts w:ascii="Arial Narrow" w:hAnsi="Arial Narrow"/>
          <w:b/>
          <w:color w:val="000000" w:themeColor="text1"/>
          <w:sz w:val="22"/>
          <w:szCs w:val="22"/>
          <w14:textFill>
            <w14:solidFill>
              <w14:schemeClr w14:val="tx1"/>
            </w14:solidFill>
          </w14:textFill>
        </w:rPr>
        <w:t xml:space="preserve">je / </w:t>
      </w:r>
      <w:r>
        <w:rPr>
          <w:rFonts w:ascii="Arial Narrow" w:hAnsi="Arial Narrow"/>
          <w:b/>
          <w:color w:val="000000" w:themeColor="text1"/>
          <w:sz w:val="22"/>
          <w:szCs w:val="22"/>
          <w:u w:val="single"/>
          <w14:textFill>
            <w14:solidFill>
              <w14:schemeClr w14:val="tx1"/>
            </w14:solidFill>
          </w14:textFill>
        </w:rPr>
        <w:t>nie je</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v likvidácii.</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 xml:space="preserve">RSP </w:t>
      </w:r>
      <w:r>
        <w:rPr>
          <w:rFonts w:ascii="Arial Narrow" w:hAnsi="Arial Narrow"/>
          <w:color w:val="000000" w:themeColor="text1"/>
          <w:sz w:val="22"/>
          <w:szCs w:val="22"/>
          <w14:textFill>
            <w14:solidFill>
              <w14:schemeClr w14:val="tx1"/>
            </w14:solidFill>
          </w14:textFill>
        </w:rPr>
        <w:t xml:space="preserve">vyhlasuje, že v období, za ktoré je zostavená účtovná závierka, </w:t>
      </w:r>
      <w:r>
        <w:rPr>
          <w:rFonts w:ascii="Arial Narrow" w:hAnsi="Arial Narrow"/>
          <w:b/>
          <w:color w:val="000000" w:themeColor="text1"/>
          <w:sz w:val="22"/>
          <w:szCs w:val="22"/>
          <w14:textFill>
            <w14:solidFill>
              <w14:schemeClr w14:val="tx1"/>
            </w14:solidFill>
          </w14:textFill>
        </w:rPr>
        <w:t xml:space="preserve">splynul / </w:t>
      </w:r>
      <w:r>
        <w:rPr>
          <w:rFonts w:ascii="Arial Narrow" w:hAnsi="Arial Narrow"/>
          <w:b/>
          <w:color w:val="000000" w:themeColor="text1"/>
          <w:sz w:val="22"/>
          <w:szCs w:val="22"/>
          <w:u w:val="single"/>
          <w14:textFill>
            <w14:solidFill>
              <w14:schemeClr w14:val="tx1"/>
            </w14:solidFill>
          </w14:textFill>
        </w:rPr>
        <w:t>nesplynul</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alebo </w:t>
      </w:r>
      <w:r>
        <w:rPr>
          <w:rFonts w:ascii="Arial Narrow" w:hAnsi="Arial Narrow"/>
          <w:b/>
          <w:color w:val="000000" w:themeColor="text1"/>
          <w:sz w:val="22"/>
          <w:szCs w:val="22"/>
          <w14:textFill>
            <w14:solidFill>
              <w14:schemeClr w14:val="tx1"/>
            </w14:solidFill>
          </w14:textFill>
        </w:rPr>
        <w:t xml:space="preserve">sa zlúčil / </w:t>
      </w:r>
      <w:r>
        <w:rPr>
          <w:rFonts w:ascii="Arial Narrow" w:hAnsi="Arial Narrow"/>
          <w:b/>
          <w:color w:val="000000" w:themeColor="text1"/>
          <w:sz w:val="22"/>
          <w:szCs w:val="22"/>
          <w:u w:val="single"/>
          <w14:textFill>
            <w14:solidFill>
              <w14:schemeClr w14:val="tx1"/>
            </w14:solidFill>
          </w14:textFill>
        </w:rPr>
        <w:t>nezlúčil</w:t>
      </w:r>
      <w:r>
        <w:rPr>
          <w:rFonts w:ascii="Arial Narrow" w:hAnsi="Arial Narrow"/>
          <w:b/>
          <w:color w:val="000000" w:themeColor="text1"/>
          <w:sz w:val="22"/>
          <w:szCs w:val="22"/>
          <w14:textFill>
            <w14:solidFill>
              <w14:schemeClr w14:val="tx1"/>
            </w14:solidFill>
          </w14:textFill>
        </w:rPr>
        <w:t xml:space="preserve">* </w:t>
      </w:r>
      <w:r>
        <w:rPr>
          <w:rFonts w:ascii="Arial Narrow" w:hAnsi="Arial Narrow"/>
          <w:color w:val="000000" w:themeColor="text1"/>
          <w:sz w:val="22"/>
          <w:szCs w:val="22"/>
          <w:u w:val="single"/>
          <w14:textFill>
            <w14:solidFill>
              <w14:schemeClr w14:val="tx1"/>
            </w14:solidFill>
          </w14:textFill>
        </w:rPr>
        <w:t>s inou osobou, ktorá nebola registrovaným sociálnym podnikom</w:t>
      </w:r>
      <w:r>
        <w:rPr>
          <w:rFonts w:ascii="Arial Narrow" w:hAnsi="Arial Narrow"/>
          <w:color w:val="000000" w:themeColor="text1"/>
          <w:sz w:val="22"/>
          <w:szCs w:val="22"/>
          <w14:textFill>
            <w14:solidFill>
              <w14:schemeClr w14:val="tx1"/>
            </w14:solidFill>
          </w14:textFill>
        </w:rPr>
        <w:t xml:space="preserve">. </w:t>
      </w:r>
      <w:r>
        <w:rPr>
          <w:rFonts w:ascii="Arial Narrow" w:hAnsi="Arial Narrow"/>
          <w:b/>
          <w:color w:val="000000" w:themeColor="text1"/>
          <w:sz w:val="22"/>
          <w:szCs w:val="22"/>
          <w14:textFill>
            <w14:solidFill>
              <w14:schemeClr w14:val="tx1"/>
            </w14:solidFill>
          </w14:textFill>
        </w:rPr>
        <w:t xml:space="preserve">RSP </w:t>
      </w:r>
      <w:r>
        <w:rPr>
          <w:rFonts w:ascii="Arial Narrow" w:hAnsi="Arial Narrow"/>
          <w:color w:val="000000" w:themeColor="text1"/>
          <w:sz w:val="22"/>
          <w:szCs w:val="22"/>
          <w14:textFill>
            <w14:solidFill>
              <w14:schemeClr w14:val="tx1"/>
            </w14:solidFill>
          </w14:textFill>
        </w:rPr>
        <w:t xml:space="preserve">zároveň vyhlasuje, že v období, za ktoré je zostavená účtovná závierka, sa </w:t>
      </w:r>
      <w:r>
        <w:rPr>
          <w:rFonts w:ascii="Arial Narrow" w:hAnsi="Arial Narrow"/>
          <w:b/>
          <w:color w:val="000000" w:themeColor="text1"/>
          <w:sz w:val="22"/>
          <w:szCs w:val="22"/>
          <w14:textFill>
            <w14:solidFill>
              <w14:schemeClr w14:val="tx1"/>
            </w14:solidFill>
          </w14:textFill>
        </w:rPr>
        <w:t xml:space="preserve">rozdelil </w:t>
      </w:r>
      <w:r>
        <w:rPr>
          <w:rFonts w:ascii="Arial Narrow" w:hAnsi="Arial Narrow"/>
          <w:b/>
          <w:color w:val="000000" w:themeColor="text1"/>
          <w:sz w:val="22"/>
          <w:szCs w:val="22"/>
          <w:u w:val="single"/>
          <w14:textFill>
            <w14:solidFill>
              <w14:schemeClr w14:val="tx1"/>
            </w14:solidFill>
          </w14:textFill>
        </w:rPr>
        <w:t>/ nerozdelil</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V prípade rozdelenia RSP, osoby, na ktoré prešlo imanie RSP </w:t>
      </w:r>
      <w:r>
        <w:rPr>
          <w:rFonts w:ascii="Arial Narrow" w:hAnsi="Arial Narrow"/>
          <w:b/>
          <w:color w:val="000000" w:themeColor="text1"/>
          <w:sz w:val="22"/>
          <w:szCs w:val="22"/>
          <w14:textFill>
            <w14:solidFill>
              <w14:schemeClr w14:val="tx1"/>
            </w14:solidFill>
          </w14:textFill>
        </w:rPr>
        <w:t xml:space="preserve">boli / </w:t>
      </w:r>
      <w:r>
        <w:rPr>
          <w:rFonts w:ascii="Arial Narrow" w:hAnsi="Arial Narrow"/>
          <w:b/>
          <w:color w:val="000000" w:themeColor="text1"/>
          <w:sz w:val="22"/>
          <w:szCs w:val="22"/>
          <w:u w:val="single"/>
          <w14:textFill>
            <w14:solidFill>
              <w14:schemeClr w14:val="tx1"/>
            </w14:solidFill>
          </w14:textFill>
        </w:rPr>
        <w:t>neboli</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registrovanými sociálnymi podnikmi.</w:t>
      </w:r>
    </w:p>
    <w:p>
      <w:pPr>
        <w:pStyle w:val="14"/>
        <w:tabs>
          <w:tab w:val="left" w:pos="9781"/>
        </w:tabs>
        <w:ind w:left="709"/>
        <w:jc w:val="both"/>
        <w:rPr>
          <w:rFonts w:ascii="Arial Narrow" w:hAnsi="Arial Narrow"/>
          <w:color w:val="000000" w:themeColor="text1"/>
          <w:sz w:val="22"/>
          <w:szCs w:val="22"/>
          <w14:textFill>
            <w14:solidFill>
              <w14:schemeClr w14:val="tx1"/>
            </w14:solidFill>
          </w14:textFill>
        </w:rPr>
      </w:pPr>
    </w:p>
    <w:p>
      <w:pPr>
        <w:pStyle w:val="10"/>
        <w:numPr>
          <w:ilvl w:val="1"/>
          <w:numId w:val="1"/>
        </w:numPr>
        <w:tabs>
          <w:tab w:val="left" w:pos="9781"/>
        </w:tabs>
        <w:ind w:left="426"/>
        <w:jc w:val="both"/>
        <w:rPr>
          <w:color w:val="000000" w:themeColor="text1"/>
          <w14:textFill>
            <w14:solidFill>
              <w14:schemeClr w14:val="tx1"/>
            </w14:solidFill>
          </w14:textFill>
        </w:rPr>
      </w:pPr>
      <w:r>
        <w:rPr>
          <w:color w:val="000000" w:themeColor="text1"/>
          <w14:textFill>
            <w14:solidFill>
              <w14:schemeClr w14:val="tx1"/>
            </w14:solidFill>
          </w14:textFill>
        </w:rPr>
        <w:t>opis hospodárskej činnosti účtovnej jednotky</w:t>
      </w:r>
    </w:p>
    <w:p>
      <w:pPr>
        <w:pStyle w:val="14"/>
        <w:tabs>
          <w:tab w:val="left" w:pos="9781"/>
        </w:tabs>
        <w:spacing w:before="120"/>
        <w:ind w:left="284"/>
        <w:jc w:val="both"/>
        <w:rPr>
          <w:rFonts w:hint="default" w:ascii="Arial Narrow" w:hAnsi="Arial Narrow"/>
          <w:b/>
          <w:color w:val="000000" w:themeColor="text1"/>
          <w:sz w:val="22"/>
          <w:szCs w:val="22"/>
          <w:lang w:val="sk-SK"/>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Predmety činnosti RSP:</w:t>
      </w:r>
      <w:r>
        <w:rPr>
          <w:rFonts w:hint="default" w:ascii="Arial Narrow" w:hAnsi="Arial Narrow"/>
          <w:b/>
          <w:color w:val="000000" w:themeColor="text1"/>
          <w:sz w:val="22"/>
          <w:szCs w:val="22"/>
          <w:lang w:val="sk-SK"/>
          <w14:textFill>
            <w14:solidFill>
              <w14:schemeClr w14:val="tx1"/>
            </w14:solidFill>
          </w14:textFill>
        </w:rPr>
        <w:t xml:space="preserve"> Kombinované administratívno - kancelárske činnosti</w:t>
      </w:r>
    </w:p>
    <w:p>
      <w:pPr>
        <w:pStyle w:val="14"/>
        <w:tabs>
          <w:tab w:val="left" w:pos="9781"/>
        </w:tabs>
        <w:spacing w:before="60"/>
        <w:ind w:left="284"/>
        <w:jc w:val="both"/>
        <w:rPr>
          <w:rFonts w:ascii="Arial Narrow" w:hAnsi="Arial Narrow"/>
          <w:b/>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p>
      <w:pPr>
        <w:pStyle w:val="14"/>
        <w:tabs>
          <w:tab w:val="left" w:pos="9781"/>
        </w:tabs>
        <w:spacing w:before="120"/>
        <w:ind w:left="284"/>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RSP</w:t>
      </w:r>
      <w:r>
        <w:rPr>
          <w:rFonts w:ascii="Arial Narrow" w:hAnsi="Arial Narrow"/>
          <w:color w:val="000000" w:themeColor="text1"/>
          <w:sz w:val="22"/>
          <w:szCs w:val="22"/>
          <w14:textFill>
            <w14:solidFill>
              <w14:schemeClr w14:val="tx1"/>
            </w14:solidFill>
          </w14:textFill>
        </w:rPr>
        <w:t xml:space="preserve"> v období, za ktoré je zostavená účtovná závierka, </w:t>
      </w:r>
      <w:r>
        <w:rPr>
          <w:rFonts w:ascii="Arial Narrow" w:hAnsi="Arial Narrow"/>
          <w:b/>
          <w:color w:val="000000" w:themeColor="text1"/>
          <w:sz w:val="22"/>
          <w:szCs w:val="22"/>
          <w14:textFill>
            <w14:solidFill>
              <w14:schemeClr w14:val="tx1"/>
            </w14:solidFill>
          </w14:textFill>
        </w:rPr>
        <w:t xml:space="preserve">menil / </w:t>
      </w:r>
      <w:r>
        <w:rPr>
          <w:rFonts w:ascii="Arial Narrow" w:hAnsi="Arial Narrow"/>
          <w:b/>
          <w:color w:val="000000" w:themeColor="text1"/>
          <w:sz w:val="22"/>
          <w:szCs w:val="22"/>
          <w:u w:val="single"/>
          <w14:textFill>
            <w14:solidFill>
              <w14:schemeClr w14:val="tx1"/>
            </w14:solidFill>
          </w14:textFill>
        </w:rPr>
        <w:t>nemenil</w:t>
      </w:r>
      <w:r>
        <w:rPr>
          <w:rFonts w:ascii="Arial Narrow" w:hAnsi="Arial Narrow"/>
          <w:color w:val="000000" w:themeColor="text1"/>
          <w:sz w:val="22"/>
          <w:szCs w:val="22"/>
          <w14:textFill>
            <w14:solidFill>
              <w14:schemeClr w14:val="tx1"/>
            </w14:solidFill>
          </w14:textFill>
        </w:rPr>
        <w:t>* predmety činnosti.    § 27a ods. 2 písm. e)</w:t>
      </w:r>
    </w:p>
    <w:p>
      <w:pPr>
        <w:pStyle w:val="14"/>
        <w:tabs>
          <w:tab w:val="left" w:pos="9781"/>
        </w:tabs>
        <w:spacing w:before="120"/>
        <w:ind w:left="284"/>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Predmetom podnikania spoločnosti je:</w:t>
      </w:r>
    </w:p>
    <w:p>
      <w:pPr>
        <w:pStyle w:val="14"/>
        <w:numPr>
          <w:ilvl w:val="0"/>
          <w:numId w:val="3"/>
        </w:numPr>
        <w:tabs>
          <w:tab w:val="left" w:pos="9781"/>
        </w:tabs>
        <w:ind w:left="1003"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Dokončovacie stavebné práce pri realizácii exteriérov a interiérov</w:t>
      </w:r>
    </w:p>
    <w:p>
      <w:pPr>
        <w:pStyle w:val="14"/>
        <w:numPr>
          <w:ilvl w:val="0"/>
          <w:numId w:val="3"/>
        </w:numPr>
        <w:tabs>
          <w:tab w:val="left" w:pos="9781"/>
        </w:tabs>
        <w:ind w:left="1003"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Sprostredkovateľská činnosť v oblasti obchodu, služieb, výroby</w:t>
      </w:r>
    </w:p>
    <w:p>
      <w:pPr>
        <w:pStyle w:val="14"/>
        <w:numPr>
          <w:ilvl w:val="0"/>
          <w:numId w:val="3"/>
        </w:numPr>
        <w:tabs>
          <w:tab w:val="left" w:pos="9781"/>
        </w:tabs>
        <w:ind w:left="1003"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Kúpa tovaru na účely jeho predaja konečnému spotrebiteľovi (maloobchod) alebo iným prevádzkovateľom živnosti (veľkoobchod)</w:t>
      </w:r>
    </w:p>
    <w:p>
      <w:pPr>
        <w:pStyle w:val="14"/>
        <w:numPr>
          <w:ilvl w:val="0"/>
          <w:numId w:val="3"/>
        </w:numPr>
        <w:tabs>
          <w:tab w:val="left" w:pos="9781"/>
        </w:tabs>
        <w:ind w:left="1003"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Nákladná cestná doprava vykonávaná vozidlami s celkovou hmotnosťou do 3,5t vrátane prípojného vozidla</w:t>
      </w:r>
    </w:p>
    <w:p>
      <w:pPr>
        <w:pStyle w:val="14"/>
        <w:numPr>
          <w:ilvl w:val="0"/>
          <w:numId w:val="3"/>
        </w:numPr>
        <w:tabs>
          <w:tab w:val="left" w:pos="9781"/>
        </w:tabs>
        <w:ind w:left="1003"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Počítačové služby a služby súvisiace s počítačovým spracovaním údajov</w:t>
      </w:r>
    </w:p>
    <w:p>
      <w:pPr>
        <w:pStyle w:val="14"/>
        <w:numPr>
          <w:ilvl w:val="0"/>
          <w:numId w:val="3"/>
        </w:numPr>
        <w:tabs>
          <w:tab w:val="left" w:pos="9781"/>
        </w:tabs>
        <w:ind w:left="1003"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Prenájom hnuteľných vecí</w:t>
      </w:r>
    </w:p>
    <w:p>
      <w:pPr>
        <w:pStyle w:val="14"/>
        <w:numPr>
          <w:ilvl w:val="0"/>
          <w:numId w:val="3"/>
        </w:numPr>
        <w:tabs>
          <w:tab w:val="left" w:pos="9781"/>
        </w:tabs>
        <w:ind w:left="1003"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Čistiace a upratovacie služby</w:t>
      </w:r>
    </w:p>
    <w:p>
      <w:pPr>
        <w:pStyle w:val="14"/>
        <w:numPr>
          <w:ilvl w:val="0"/>
          <w:numId w:val="3"/>
        </w:numPr>
        <w:tabs>
          <w:tab w:val="left" w:pos="9781"/>
        </w:tabs>
        <w:ind w:left="1003"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Vedenie účtovníctva</w:t>
      </w:r>
    </w:p>
    <w:p>
      <w:pPr>
        <w:pStyle w:val="14"/>
        <w:numPr>
          <w:ilvl w:val="0"/>
          <w:numId w:val="3"/>
        </w:numPr>
        <w:tabs>
          <w:tab w:val="left" w:pos="9781"/>
        </w:tabs>
        <w:ind w:left="1003"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Ubytovacie služby bez poskytovania pohostinských činností</w:t>
      </w:r>
    </w:p>
    <w:p>
      <w:pPr>
        <w:pStyle w:val="14"/>
        <w:numPr>
          <w:ilvl w:val="0"/>
          <w:numId w:val="3"/>
        </w:numPr>
        <w:tabs>
          <w:tab w:val="left" w:pos="9781"/>
        </w:tabs>
        <w:ind w:left="1003"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Poskytovanie služieb v poľnohospodárstve a záhradníctve</w:t>
      </w:r>
    </w:p>
    <w:p>
      <w:pPr>
        <w:pStyle w:val="14"/>
        <w:numPr>
          <w:ilvl w:val="0"/>
          <w:numId w:val="3"/>
        </w:numPr>
        <w:tabs>
          <w:tab w:val="left" w:pos="9781"/>
        </w:tabs>
        <w:ind w:left="1003" w:hanging="35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Výroba pekárskych a cukrárskych výrobkov</w:t>
      </w:r>
    </w:p>
    <w:p>
      <w:pPr>
        <w:pStyle w:val="14"/>
        <w:tabs>
          <w:tab w:val="left" w:pos="9781"/>
        </w:tabs>
        <w:spacing w:before="60"/>
        <w:ind w:left="284"/>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Činnosť, ktorou spoločnosť dosahuje pozitívny sociálny vplyv v zmysle základného dokumentu  spoločnosti je najmä: ...............</w:t>
      </w:r>
      <w:r>
        <w:rPr>
          <w:rFonts w:hint="default" w:ascii="Arial Narrow" w:hAnsi="Arial Narrow"/>
          <w:b/>
          <w:color w:val="000000" w:themeColor="text1"/>
          <w:sz w:val="22"/>
          <w:szCs w:val="22"/>
          <w:lang w:val="sk-SK"/>
          <w14:textFill>
            <w14:solidFill>
              <w14:schemeClr w14:val="tx1"/>
            </w14:solidFill>
          </w14:textFill>
        </w:rPr>
        <w:t>Kombinované administratívno - kancelárske činnosti, vedenie účtovníctva</w:t>
      </w:r>
      <w:r>
        <w:rPr>
          <w:rFonts w:ascii="Arial Narrow" w:hAnsi="Arial Narrow"/>
          <w:color w:val="000000" w:themeColor="text1"/>
          <w:sz w:val="22"/>
          <w:szCs w:val="22"/>
          <w14:textFill>
            <w14:solidFill>
              <w14:schemeClr w14:val="tx1"/>
            </w14:solidFill>
          </w14:textFill>
        </w:rPr>
        <w:t>.................................................................................................</w:t>
      </w:r>
    </w:p>
    <w:p>
      <w:pPr>
        <w:pStyle w:val="14"/>
        <w:tabs>
          <w:tab w:val="left" w:pos="9781"/>
        </w:tabs>
        <w:spacing w:before="60"/>
        <w:ind w:left="284"/>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Spôsob merania pozitívneho sociálneho vplyvu v zmysle základného dokumentu:</w:t>
      </w:r>
    </w:p>
    <w:p>
      <w:pPr>
        <w:pStyle w:val="14"/>
        <w:tabs>
          <w:tab w:val="left" w:pos="9781"/>
        </w:tabs>
        <w:spacing w:before="60"/>
        <w:ind w:left="284"/>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p>
      <w:pPr>
        <w:pStyle w:val="14"/>
        <w:tabs>
          <w:tab w:val="left" w:pos="9781"/>
        </w:tabs>
        <w:spacing w:before="60"/>
        <w:ind w:left="284"/>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 xml:space="preserve">RSP </w:t>
      </w:r>
      <w:r>
        <w:rPr>
          <w:rFonts w:ascii="Arial Narrow" w:hAnsi="Arial Narrow"/>
          <w:color w:val="000000" w:themeColor="text1"/>
          <w:sz w:val="22"/>
          <w:szCs w:val="22"/>
          <w14:textFill>
            <w14:solidFill>
              <w14:schemeClr w14:val="tx1"/>
            </w14:solidFill>
          </w14:textFill>
        </w:rPr>
        <w:t xml:space="preserve">v období, za ktoré je zostavená účtovná závierka, </w:t>
      </w:r>
      <w:r>
        <w:rPr>
          <w:rFonts w:ascii="Arial Narrow" w:hAnsi="Arial Narrow"/>
          <w:b/>
          <w:color w:val="000000" w:themeColor="text1"/>
          <w:sz w:val="22"/>
          <w:szCs w:val="22"/>
          <w14:textFill>
            <w14:solidFill>
              <w14:schemeClr w14:val="tx1"/>
            </w14:solidFill>
          </w14:textFill>
        </w:rPr>
        <w:t xml:space="preserve">zmenil / </w:t>
      </w:r>
      <w:r>
        <w:rPr>
          <w:rFonts w:ascii="Arial Narrow" w:hAnsi="Arial Narrow"/>
          <w:b/>
          <w:color w:val="000000" w:themeColor="text1"/>
          <w:sz w:val="22"/>
          <w:szCs w:val="22"/>
          <w:u w:val="single"/>
          <w14:textFill>
            <w14:solidFill>
              <w14:schemeClr w14:val="tx1"/>
            </w14:solidFill>
          </w14:textFill>
        </w:rPr>
        <w:t>nezmenil</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merateľný pozitívny sociálny vplyv.</w:t>
      </w:r>
    </w:p>
    <w:p>
      <w:pPr>
        <w:pStyle w:val="14"/>
        <w:tabs>
          <w:tab w:val="left" w:pos="9781"/>
        </w:tabs>
        <w:spacing w:before="60"/>
        <w:ind w:left="284"/>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u w:val="single"/>
          <w14:textFill>
            <w14:solidFill>
              <w14:schemeClr w14:val="tx1"/>
            </w14:solidFill>
          </w14:textFill>
        </w:rPr>
        <w:t>V prípade integračného podniku</w:t>
      </w:r>
      <w:r>
        <w:rPr>
          <w:rFonts w:ascii="Arial Narrow" w:hAnsi="Arial Narrow"/>
          <w:color w:val="000000" w:themeColor="text1"/>
          <w:sz w:val="22"/>
          <w:szCs w:val="22"/>
          <w14:textFill>
            <w14:solidFill>
              <w14:schemeClr w14:val="tx1"/>
            </w14:solidFill>
          </w14:textFill>
        </w:rPr>
        <w:t>:</w:t>
      </w:r>
    </w:p>
    <w:p>
      <w:pPr>
        <w:pStyle w:val="14"/>
        <w:tabs>
          <w:tab w:val="left" w:pos="9781"/>
        </w:tabs>
        <w:spacing w:before="60"/>
        <w:ind w:left="567" w:hanging="283"/>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 </w:t>
      </w:r>
      <w:r>
        <w:rPr>
          <w:rFonts w:ascii="Arial Narrow" w:hAnsi="Arial Narrow"/>
          <w:color w:val="000000" w:themeColor="text1"/>
          <w:sz w:val="22"/>
          <w:szCs w:val="22"/>
          <w14:textFill>
            <w14:solidFill>
              <w14:schemeClr w14:val="tx1"/>
            </w14:solidFill>
          </w14:textFill>
        </w:rPr>
        <w:tab/>
      </w:r>
      <w:r>
        <w:rPr>
          <w:rFonts w:ascii="Arial Narrow" w:hAnsi="Arial Narrow"/>
          <w:color w:val="000000" w:themeColor="text1"/>
          <w:sz w:val="22"/>
          <w:szCs w:val="22"/>
          <w14:textFill>
            <w14:solidFill>
              <w14:schemeClr w14:val="tx1"/>
            </w14:solidFill>
          </w14:textFill>
        </w:rPr>
        <w:t xml:space="preserve">percentom zamestnaných znevýhodnených osôb a/alebo zraniteľných osôb z celkového počtu zamestnancov spoločnosti v zmysle príslušných ustanovení zákona o SE. Pozitívny sociálny vplyv sa považuje za dosiahnutý, ak Spoločnosť zamestnáva príslušné percento zraniteľných a/alebo znevýhodnených osôb v zmysle príslušných ustanovení zákona o SE, </w:t>
      </w:r>
    </w:p>
    <w:p>
      <w:pPr>
        <w:pStyle w:val="14"/>
        <w:tabs>
          <w:tab w:val="left" w:pos="9781"/>
        </w:tabs>
        <w:spacing w:before="60"/>
        <w:ind w:left="284"/>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resp. znenie v zmysle základného dokumentu, ak je % záväzok vyšší ako stanovuje zákon o SE v § 12 ods. 2.</w:t>
      </w:r>
    </w:p>
    <w:p>
      <w:pPr>
        <w:pStyle w:val="14"/>
        <w:tabs>
          <w:tab w:val="left" w:pos="9781"/>
        </w:tabs>
        <w:spacing w:before="60"/>
        <w:ind w:left="284"/>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Záver</w:t>
      </w:r>
      <w:r>
        <w:rPr>
          <w:rFonts w:ascii="Arial Narrow" w:hAnsi="Arial Narrow"/>
          <w:color w:val="000000" w:themeColor="text1"/>
          <w:sz w:val="22"/>
          <w:szCs w:val="22"/>
          <w14:textFill>
            <w14:solidFill>
              <w14:schemeClr w14:val="tx1"/>
            </w14:solidFill>
          </w14:textFill>
        </w:rPr>
        <w:t>:</w:t>
      </w:r>
    </w:p>
    <w:p>
      <w:pPr>
        <w:pStyle w:val="14"/>
        <w:tabs>
          <w:tab w:val="left" w:pos="9781"/>
        </w:tabs>
        <w:spacing w:before="60"/>
        <w:ind w:left="284"/>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RSP</w:t>
      </w:r>
      <w:r>
        <w:rPr>
          <w:rFonts w:ascii="Arial Narrow" w:hAnsi="Arial Narrow"/>
          <w:color w:val="000000" w:themeColor="text1"/>
          <w:sz w:val="22"/>
          <w:szCs w:val="22"/>
          <w14:textFill>
            <w14:solidFill>
              <w14:schemeClr w14:val="tx1"/>
            </w14:solidFill>
          </w14:textFill>
        </w:rPr>
        <w:t xml:space="preserve"> v období, za ktoré je zostavená účtovná závierka </w:t>
      </w:r>
      <w:r>
        <w:rPr>
          <w:rFonts w:ascii="Arial Narrow" w:hAnsi="Arial Narrow"/>
          <w:b/>
          <w:color w:val="000000" w:themeColor="text1"/>
          <w:sz w:val="22"/>
          <w:szCs w:val="22"/>
          <w:u w:val="single"/>
          <w14:textFill>
            <w14:solidFill>
              <w14:schemeClr w14:val="tx1"/>
            </w14:solidFill>
          </w14:textFill>
        </w:rPr>
        <w:t>splnil</w:t>
      </w:r>
      <w:r>
        <w:rPr>
          <w:rFonts w:ascii="Arial Narrow" w:hAnsi="Arial Narrow"/>
          <w:b/>
          <w:color w:val="000000" w:themeColor="text1"/>
          <w:sz w:val="22"/>
          <w:szCs w:val="22"/>
          <w14:textFill>
            <w14:solidFill>
              <w14:schemeClr w14:val="tx1"/>
            </w14:solidFill>
          </w14:textFill>
        </w:rPr>
        <w:t xml:space="preserve"> / </w:t>
      </w:r>
      <w:r>
        <w:rPr>
          <w:rFonts w:ascii="Arial Narrow" w:hAnsi="Arial Narrow"/>
          <w:b/>
          <w:color w:val="000000" w:themeColor="text1"/>
          <w:sz w:val="22"/>
          <w:szCs w:val="22"/>
          <w:u w:val="none"/>
          <w14:textFill>
            <w14:solidFill>
              <w14:schemeClr w14:val="tx1"/>
            </w14:solidFill>
          </w14:textFill>
        </w:rPr>
        <w:t>nesplnil</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hlavný cieľ, ktorým je dosahovanie merateľného pozitívneho sociálneho vplyvu (PSV).</w:t>
      </w:r>
    </w:p>
    <w:p>
      <w:pPr>
        <w:pStyle w:val="14"/>
        <w:tabs>
          <w:tab w:val="left" w:pos="9781"/>
        </w:tabs>
        <w:spacing w:before="60"/>
        <w:ind w:left="284"/>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Obdobie, druh PSV (v prípade viacerých merateľných PSV) a dôvod nesplnenia: ............................................................</w:t>
      </w:r>
    </w:p>
    <w:p>
      <w:pPr>
        <w:pStyle w:val="14"/>
        <w:numPr>
          <w:ilvl w:val="0"/>
          <w:numId w:val="4"/>
        </w:numPr>
        <w:tabs>
          <w:tab w:val="left" w:pos="9781"/>
        </w:tabs>
        <w:ind w:left="284" w:firstLine="0"/>
        <w:jc w:val="both"/>
        <w:rPr>
          <w:color w:val="000000" w:themeColor="text1"/>
          <w:sz w:val="22"/>
          <w:szCs w:val="22"/>
          <w14:textFill>
            <w14:solidFill>
              <w14:schemeClr w14:val="tx1"/>
            </w14:solidFill>
          </w14:textFill>
        </w:rPr>
      </w:pPr>
    </w:p>
    <w:p>
      <w:pPr>
        <w:pStyle w:val="14"/>
        <w:tabs>
          <w:tab w:val="left" w:pos="9781"/>
        </w:tabs>
        <w:ind w:left="284"/>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u w:val="single"/>
          <w14:textFill>
            <w14:solidFill>
              <w14:schemeClr w14:val="tx1"/>
            </w14:solidFill>
          </w14:textFill>
        </w:rPr>
        <w:t>Príklad</w:t>
      </w:r>
      <w:r>
        <w:rPr>
          <w:rFonts w:ascii="Arial Narrow" w:hAnsi="Arial Narrow"/>
          <w:color w:val="000000" w:themeColor="text1"/>
          <w:sz w:val="22"/>
          <w:szCs w:val="22"/>
          <w14:textFill>
            <w14:solidFill>
              <w14:schemeClr w14:val="tx1"/>
            </w14:solidFill>
          </w14:textFill>
        </w:rPr>
        <w:t>:</w:t>
      </w:r>
    </w:p>
    <w:p>
      <w:pPr>
        <w:pStyle w:val="14"/>
        <w:tabs>
          <w:tab w:val="left" w:pos="9781"/>
        </w:tabs>
        <w:ind w:left="56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V prípade integračného podniku - prehľad o vývoji zamestnávania znevýhodnených a/alebo zraniteľných osôb </w:t>
      </w:r>
    </w:p>
    <w:p>
      <w:pPr>
        <w:pStyle w:val="14"/>
        <w:numPr>
          <w:ilvl w:val="0"/>
          <w:numId w:val="4"/>
        </w:numPr>
        <w:tabs>
          <w:tab w:val="left" w:pos="9781"/>
        </w:tabs>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ab/>
      </w:r>
    </w:p>
    <w:tbl>
      <w:tblPr>
        <w:tblStyle w:val="8"/>
        <w:tblW w:w="0" w:type="auto"/>
        <w:tblInd w:w="6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52"/>
        <w:gridCol w:w="3260"/>
        <w:gridCol w:w="3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1 - 12 mesiac</w:t>
            </w:r>
          </w:p>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stav ku koncu mesiaca</w:t>
            </w:r>
          </w:p>
        </w:tc>
        <w:tc>
          <w:tcPr>
            <w:tcW w:w="3260"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zamestnaných znevýhodnených osôb a/alebo zraniteľných osôb z celkového počtu zamestnancov v TPP</w:t>
            </w:r>
          </w:p>
        </w:tc>
        <w:tc>
          <w:tcPr>
            <w:tcW w:w="3260" w:type="dxa"/>
          </w:tcPr>
          <w:p>
            <w:pPr>
              <w:pStyle w:val="14"/>
              <w:tabs>
                <w:tab w:val="left" w:pos="9781"/>
              </w:tabs>
              <w:autoSpaceDE/>
              <w:autoSpaceDN/>
              <w:jc w:val="both"/>
              <w:rPr>
                <w:rFonts w:ascii="Arial Narrow" w:hAnsi="Arial Narrow"/>
                <w:strike/>
                <w:color w:val="000000" w:themeColor="text1"/>
                <w:sz w:val="22"/>
                <w:szCs w:val="22"/>
                <w14:textFill>
                  <w14:solidFill>
                    <w14:schemeClr w14:val="tx1"/>
                  </w14:solidFill>
                </w14:textFill>
              </w:rPr>
            </w:pPr>
            <w:r>
              <w:rPr>
                <w:rFonts w:ascii="Arial Narrow" w:hAnsi="Arial Narrow"/>
                <w:strike/>
                <w:color w:val="000000" w:themeColor="text1"/>
                <w:sz w:val="22"/>
                <w:szCs w:val="22"/>
                <w14:textFill>
                  <w14:solidFill>
                    <w14:schemeClr w14:val="tx1"/>
                  </w14:solidFill>
                </w14:textFill>
              </w:rPr>
              <w:t xml:space="preserve">% záväzku, ktorým RSP integračný meria dosiahnutie hlavného cieľa </w:t>
            </w:r>
            <w:r>
              <w:rPr>
                <w:rFonts w:ascii="Arial Narrow" w:hAnsi="Arial Narrow"/>
                <w:color w:val="000000" w:themeColor="text1"/>
                <w:sz w:val="22"/>
                <w:szCs w:val="22"/>
                <w14:textFill>
                  <w14:solidFill>
                    <w14:schemeClr w14:val="tx1"/>
                  </w14:solidFill>
                </w14:textFill>
              </w:rPr>
              <w:t>merateľný PSV splnený / nesplnený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1</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2</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3</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4</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5</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6</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7</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8</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9</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10</w:t>
            </w:r>
          </w:p>
        </w:tc>
        <w:tc>
          <w:tcPr>
            <w:tcW w:w="3260" w:type="dxa"/>
          </w:tcPr>
          <w:p>
            <w:pPr>
              <w:pStyle w:val="14"/>
              <w:tabs>
                <w:tab w:val="left" w:pos="9781"/>
              </w:tabs>
              <w:autoSpaceDE/>
              <w:autoSpaceDN/>
              <w:jc w:val="center"/>
              <w:rPr>
                <w:rFonts w:hint="default" w:ascii="Arial Narrow" w:hAnsi="Arial Narrow"/>
                <w:color w:val="000000" w:themeColor="text1"/>
                <w:sz w:val="22"/>
                <w:szCs w:val="22"/>
                <w:lang w:val="sk-SK"/>
                <w14:textFill>
                  <w14:solidFill>
                    <w14:schemeClr w14:val="tx1"/>
                  </w14:solidFill>
                </w14:textFill>
              </w:rPr>
            </w:pPr>
            <w:r>
              <w:rPr>
                <w:rFonts w:hint="default" w:ascii="Arial Narrow" w:hAnsi="Arial Narrow"/>
                <w:color w:val="000000" w:themeColor="text1"/>
                <w:sz w:val="22"/>
                <w:szCs w:val="22"/>
                <w:lang w:val="sk-SK"/>
                <w14:textFill>
                  <w14:solidFill>
                    <w14:schemeClr w14:val="tx1"/>
                  </w14:solidFill>
                </w14:textFill>
              </w:rPr>
              <w:t>2</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11</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52" w:type="dxa"/>
          </w:tcPr>
          <w:p>
            <w:pPr>
              <w:pStyle w:val="14"/>
              <w:tabs>
                <w:tab w:val="left" w:pos="9781"/>
              </w:tabs>
              <w:autoSpaceDE/>
              <w:autoSpaceDN/>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12</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c>
          <w:tcPr>
            <w:tcW w:w="3260" w:type="dxa"/>
          </w:tcPr>
          <w:p>
            <w:pPr>
              <w:pStyle w:val="14"/>
              <w:tabs>
                <w:tab w:val="left" w:pos="9781"/>
              </w:tabs>
              <w:autoSpaceDE/>
              <w:autoSpaceDN/>
              <w:jc w:val="center"/>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w:t>
            </w:r>
          </w:p>
        </w:tc>
      </w:tr>
    </w:tbl>
    <w:p>
      <w:pPr>
        <w:pStyle w:val="14"/>
        <w:tabs>
          <w:tab w:val="left" w:pos="9781"/>
        </w:tabs>
        <w:jc w:val="both"/>
        <w:rPr>
          <w:color w:val="000000" w:themeColor="text1"/>
          <w:sz w:val="22"/>
          <w:szCs w:val="22"/>
          <w14:textFill>
            <w14:solidFill>
              <w14:schemeClr w14:val="tx1"/>
            </w14:solidFill>
          </w14:textFill>
        </w:rPr>
      </w:pPr>
      <w:r>
        <w:rPr>
          <w:color w:val="000000" w:themeColor="text1"/>
          <w:sz w:val="22"/>
          <w:szCs w:val="22"/>
          <w14:textFill>
            <w14:solidFill>
              <w14:schemeClr w14:val="tx1"/>
            </w14:solidFill>
          </w14:textFill>
        </w:rPr>
        <w:t xml:space="preserve">     </w:t>
      </w:r>
    </w:p>
    <w:p>
      <w:pPr>
        <w:pStyle w:val="14"/>
        <w:tabs>
          <w:tab w:val="left" w:pos="9781"/>
        </w:tabs>
        <w:ind w:left="56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Záver: </w:t>
      </w:r>
    </w:p>
    <w:p>
      <w:pPr>
        <w:pStyle w:val="14"/>
        <w:tabs>
          <w:tab w:val="left" w:pos="9781"/>
        </w:tabs>
        <w:ind w:left="567"/>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RSP ako integračný podnik </w:t>
      </w:r>
      <w:r>
        <w:rPr>
          <w:rFonts w:ascii="Arial Narrow" w:hAnsi="Arial Narrow"/>
          <w:b/>
          <w:color w:val="000000" w:themeColor="text1"/>
          <w:sz w:val="22"/>
          <w:szCs w:val="22"/>
          <w14:textFill>
            <w14:solidFill>
              <w14:schemeClr w14:val="tx1"/>
            </w14:solidFill>
          </w14:textFill>
        </w:rPr>
        <w:t>splnil</w:t>
      </w:r>
      <w:r>
        <w:rPr>
          <w:rFonts w:ascii="Arial Narrow" w:hAnsi="Arial Narrow"/>
          <w:color w:val="000000" w:themeColor="text1"/>
          <w:sz w:val="22"/>
          <w:szCs w:val="22"/>
          <w14:textFill>
            <w14:solidFill>
              <w14:schemeClr w14:val="tx1"/>
            </w14:solidFill>
          </w14:textFill>
        </w:rPr>
        <w:t xml:space="preserve"> merateľný PSV v období, za ktoré je zostavená účtovná závierka.   </w:t>
      </w:r>
      <w:r>
        <w:rPr>
          <w:rFonts w:ascii="Arial Narrow" w:hAnsi="Arial Narrow"/>
          <w:b/>
          <w:color w:val="000000" w:themeColor="text1"/>
          <w:sz w:val="22"/>
          <w:szCs w:val="22"/>
          <w14:textFill>
            <w14:solidFill>
              <w14:schemeClr w14:val="tx1"/>
            </w14:solidFill>
          </w14:textFill>
        </w:rPr>
        <w:t>alebo</w:t>
      </w:r>
    </w:p>
    <w:p>
      <w:pPr>
        <w:pStyle w:val="14"/>
        <w:tabs>
          <w:tab w:val="left" w:pos="9781"/>
        </w:tabs>
        <w:ind w:left="567"/>
        <w:jc w:val="both"/>
        <w:rPr>
          <w:rFonts w:ascii="Arial Narrow" w:hAnsi="Arial Narrow"/>
          <w:b/>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RSP ako integračný podnik </w:t>
      </w:r>
      <w:r>
        <w:rPr>
          <w:rFonts w:ascii="Arial Narrow" w:hAnsi="Arial Narrow"/>
          <w:b/>
          <w:color w:val="000000" w:themeColor="text1"/>
          <w:sz w:val="22"/>
          <w:szCs w:val="22"/>
          <w14:textFill>
            <w14:solidFill>
              <w14:schemeClr w14:val="tx1"/>
            </w14:solidFill>
          </w14:textFill>
        </w:rPr>
        <w:t>nesplnil</w:t>
      </w:r>
      <w:r>
        <w:rPr>
          <w:rFonts w:ascii="Arial Narrow" w:hAnsi="Arial Narrow"/>
          <w:color w:val="000000" w:themeColor="text1"/>
          <w:sz w:val="22"/>
          <w:szCs w:val="22"/>
          <w14:textFill>
            <w14:solidFill>
              <w14:schemeClr w14:val="tx1"/>
            </w14:solidFill>
          </w14:textFill>
        </w:rPr>
        <w:t xml:space="preserve"> merateľný PSV </w:t>
      </w:r>
      <w:r>
        <w:rPr>
          <w:rFonts w:ascii="Arial Narrow" w:hAnsi="Arial Narrow"/>
          <w:b/>
          <w:color w:val="000000" w:themeColor="text1"/>
          <w:sz w:val="22"/>
          <w:szCs w:val="22"/>
          <w14:textFill>
            <w14:solidFill>
              <w14:schemeClr w14:val="tx1"/>
            </w14:solidFill>
          </w14:textFill>
        </w:rPr>
        <w:t>v období</w:t>
      </w:r>
      <w:r>
        <w:rPr>
          <w:rFonts w:ascii="Arial Narrow" w:hAnsi="Arial Narrow"/>
          <w:color w:val="000000" w:themeColor="text1"/>
          <w:sz w:val="22"/>
          <w:szCs w:val="22"/>
          <w14:textFill>
            <w14:solidFill>
              <w14:schemeClr w14:val="tx1"/>
            </w14:solidFill>
          </w14:textFill>
        </w:rPr>
        <w:t xml:space="preserve"> od .......--........... do .....--............ </w:t>
      </w:r>
      <w:r>
        <w:rPr>
          <w:rFonts w:ascii="Arial Narrow" w:hAnsi="Arial Narrow"/>
          <w:i/>
          <w:color w:val="000000" w:themeColor="text1"/>
          <w:sz w:val="22"/>
          <w:szCs w:val="22"/>
          <w14:textFill>
            <w14:solidFill>
              <w14:schemeClr w14:val="tx1"/>
            </w14:solidFill>
          </w14:textFill>
        </w:rPr>
        <w:t>(obdobie musí byť v tomto prípade kratšie ako 6 mesiacov ! )</w:t>
      </w:r>
      <w:r>
        <w:rPr>
          <w:rFonts w:ascii="Arial Narrow" w:hAnsi="Arial Narrow"/>
          <w:color w:val="000000" w:themeColor="text1"/>
          <w:sz w:val="22"/>
          <w:szCs w:val="22"/>
          <w14:textFill>
            <w14:solidFill>
              <w14:schemeClr w14:val="tx1"/>
            </w14:solidFill>
          </w14:textFill>
        </w:rPr>
        <w:t xml:space="preserve"> z dôvodu </w:t>
      </w:r>
      <w:r>
        <w:rPr>
          <w:rFonts w:ascii="Arial Narrow" w:hAnsi="Arial Narrow"/>
          <w:b/>
          <w:color w:val="000000" w:themeColor="text1"/>
          <w:sz w:val="22"/>
          <w:szCs w:val="22"/>
          <w14:textFill>
            <w14:solidFill>
              <w14:schemeClr w14:val="tx1"/>
            </w14:solidFill>
          </w14:textFill>
        </w:rPr>
        <w:t>skončenia pracovného pomeru / z dôvodu uplynutia lehoty podľa § 12 odsek 3 zákona o SE / z dôvodu zvýšenia počtu zamestnancov v nadväznosti na investíciu, ktorá sa týka založenia novej prevádzkarne, rozšírenia výroby, diverzifikácie výroby alebo zásadnej zmeny výrobného procesu.*</w:t>
      </w:r>
    </w:p>
    <w:p>
      <w:pPr>
        <w:pStyle w:val="14"/>
        <w:tabs>
          <w:tab w:val="left" w:pos="9781"/>
        </w:tabs>
        <w:ind w:left="709"/>
        <w:jc w:val="both"/>
        <w:rPr>
          <w:rFonts w:ascii="Arial Narrow" w:hAnsi="Arial Narrow"/>
          <w:color w:val="000000" w:themeColor="text1"/>
          <w:sz w:val="22"/>
          <w:szCs w:val="22"/>
          <w:u w:val="single"/>
          <w14:textFill>
            <w14:solidFill>
              <w14:schemeClr w14:val="tx1"/>
            </w14:solidFill>
          </w14:textFill>
        </w:rPr>
      </w:pPr>
    </w:p>
    <w:p>
      <w:pPr>
        <w:pStyle w:val="10"/>
        <w:numPr>
          <w:ilvl w:val="1"/>
          <w:numId w:val="1"/>
        </w:numPr>
        <w:tabs>
          <w:tab w:val="left" w:pos="9781"/>
        </w:tabs>
        <w:ind w:left="426"/>
        <w:jc w:val="both"/>
        <w:rPr>
          <w:color w:val="000000" w:themeColor="text1"/>
          <w14:textFill>
            <w14:solidFill>
              <w14:schemeClr w14:val="tx1"/>
            </w14:solidFill>
          </w14:textFill>
        </w:rPr>
      </w:pPr>
      <w:r>
        <w:rPr>
          <w:color w:val="000000" w:themeColor="text1"/>
          <w14:textFill>
            <w14:solidFill>
              <w14:schemeClr w14:val="tx1"/>
            </w14:solidFill>
          </w14:textFill>
        </w:rPr>
        <w:t xml:space="preserve">počet zamestnancov účtovnej jednotky </w:t>
      </w:r>
    </w:p>
    <w:p>
      <w:pPr>
        <w:pStyle w:val="10"/>
        <w:tabs>
          <w:tab w:val="left" w:pos="9781"/>
        </w:tabs>
        <w:ind w:left="777"/>
        <w:jc w:val="both"/>
        <w:rPr>
          <w:color w:val="000000" w:themeColor="text1"/>
          <w14:textFill>
            <w14:solidFill>
              <w14:schemeClr w14:val="tx1"/>
            </w14:solidFill>
          </w14:textFill>
        </w:rPr>
      </w:pPr>
      <w:r>
        <w:rPr>
          <w:color w:val="000000" w:themeColor="text1"/>
          <w14:textFill>
            <w14:solidFill>
              <w14:schemeClr w14:val="tx1"/>
            </w14:solidFill>
          </w14:textFill>
        </w:rPr>
        <w:t>1. priemerný prepočítaný počet zamestnancov účtovnej jednotky počas účtovného obdobia: ..............</w:t>
      </w:r>
      <w:r>
        <w:rPr>
          <w:rFonts w:hint="default"/>
          <w:color w:val="000000" w:themeColor="text1"/>
          <w:lang w:val="sk-SK"/>
          <w14:textFill>
            <w14:solidFill>
              <w14:schemeClr w14:val="tx1"/>
            </w14:solidFill>
          </w14:textFill>
        </w:rPr>
        <w:t>2</w:t>
      </w:r>
      <w:r>
        <w:rPr>
          <w:color w:val="000000" w:themeColor="text1"/>
          <w14:textFill>
            <w14:solidFill>
              <w14:schemeClr w14:val="tx1"/>
            </w14:solidFill>
          </w14:textFill>
        </w:rPr>
        <w:t>......................</w:t>
      </w:r>
    </w:p>
    <w:p>
      <w:pPr>
        <w:pStyle w:val="10"/>
        <w:tabs>
          <w:tab w:val="left" w:pos="9781"/>
        </w:tabs>
        <w:ind w:left="777"/>
        <w:jc w:val="both"/>
        <w:rPr>
          <w:color w:val="000000" w:themeColor="text1"/>
          <w14:textFill>
            <w14:solidFill>
              <w14:schemeClr w14:val="tx1"/>
            </w14:solidFill>
          </w14:textFill>
        </w:rPr>
      </w:pPr>
      <w:r>
        <w:rPr>
          <w:color w:val="000000" w:themeColor="text1"/>
          <w14:textFill>
            <w14:solidFill>
              <w14:schemeClr w14:val="tx1"/>
            </w14:solidFill>
          </w14:textFill>
        </w:rPr>
        <w:t>2. počet zamestnancov účtovnej jednotky ku dňu, ku ktorému sa zostavuje účtovná závierka: ..............</w:t>
      </w:r>
      <w:r>
        <w:rPr>
          <w:rFonts w:hint="default"/>
          <w:color w:val="000000" w:themeColor="text1"/>
          <w:lang w:val="sk-SK"/>
          <w14:textFill>
            <w14:solidFill>
              <w14:schemeClr w14:val="tx1"/>
            </w14:solidFill>
          </w14:textFill>
        </w:rPr>
        <w:t>2</w:t>
      </w:r>
      <w:r>
        <w:rPr>
          <w:color w:val="000000" w:themeColor="text1"/>
          <w14:textFill>
            <w14:solidFill>
              <w14:schemeClr w14:val="tx1"/>
            </w14:solidFill>
          </w14:textFill>
        </w:rPr>
        <w:t>....................</w:t>
      </w:r>
    </w:p>
    <w:p>
      <w:pPr>
        <w:tabs>
          <w:tab w:val="left" w:pos="9781"/>
        </w:tabs>
        <w:ind w:left="993" w:hanging="284"/>
        <w:jc w:val="both"/>
        <w:rPr>
          <w:color w:val="000000" w:themeColor="text1"/>
          <w14:textFill>
            <w14:solidFill>
              <w14:schemeClr w14:val="tx1"/>
            </w14:solidFill>
          </w14:textFill>
        </w:rPr>
      </w:pPr>
      <w:r>
        <w:rPr>
          <w:color w:val="000000" w:themeColor="text1"/>
          <w14:textFill>
            <w14:solidFill>
              <w14:schemeClr w14:val="tx1"/>
            </w14:solidFill>
          </w14:textFill>
        </w:rPr>
        <w:t xml:space="preserve">- </w:t>
      </w:r>
      <w:r>
        <w:rPr>
          <w:color w:val="000000" w:themeColor="text1"/>
          <w14:textFill>
            <w14:solidFill>
              <w14:schemeClr w14:val="tx1"/>
            </w14:solidFill>
          </w14:textFill>
        </w:rPr>
        <w:tab/>
      </w:r>
      <w:r>
        <w:rPr>
          <w:color w:val="000000" w:themeColor="text1"/>
          <w14:textFill>
            <w14:solidFill>
              <w14:schemeClr w14:val="tx1"/>
            </w14:solidFill>
          </w14:textFill>
        </w:rPr>
        <w:t>z toho počet vedúcich zamestnancov, ktorými sa rozumejú vedúci zamestnanci v priamej riadiacej pôsobnosti štatutárneho orgánu alebo člena štatutárneho orgánu a vedúci zamestnanci, ktorí sú v priamej riadiacej pôsobnosti tohto vedúceho zamestnanca: ..................0.....................</w:t>
      </w:r>
    </w:p>
    <w:p>
      <w:pPr>
        <w:pStyle w:val="14"/>
        <w:tabs>
          <w:tab w:val="left" w:pos="709"/>
          <w:tab w:val="left" w:pos="9781"/>
        </w:tabs>
        <w:ind w:left="709" w:hanging="709"/>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ab/>
      </w:r>
      <w:r>
        <w:rPr>
          <w:rFonts w:ascii="Arial Narrow" w:hAnsi="Arial Narrow"/>
          <w:color w:val="000000" w:themeColor="text1"/>
          <w:sz w:val="22"/>
          <w:szCs w:val="22"/>
          <w14:textFill>
            <w14:solidFill>
              <w14:schemeClr w14:val="tx1"/>
            </w14:solidFill>
          </w14:textFill>
        </w:rPr>
        <w:t xml:space="preserve">V prípade </w:t>
      </w:r>
      <w:r>
        <w:rPr>
          <w:rFonts w:ascii="Arial Narrow" w:hAnsi="Arial Narrow"/>
          <w:b/>
          <w:color w:val="000000" w:themeColor="text1"/>
          <w:sz w:val="22"/>
          <w:szCs w:val="22"/>
          <w14:textFill>
            <w14:solidFill>
              <w14:schemeClr w14:val="tx1"/>
            </w14:solidFill>
          </w14:textFill>
        </w:rPr>
        <w:t>RSP</w:t>
      </w:r>
      <w:r>
        <w:rPr>
          <w:rFonts w:ascii="Arial Narrow" w:hAnsi="Arial Narrow"/>
          <w:color w:val="000000" w:themeColor="text1"/>
          <w:sz w:val="22"/>
          <w:szCs w:val="22"/>
          <w14:textFill>
            <w14:solidFill>
              <w14:schemeClr w14:val="tx1"/>
            </w14:solidFill>
          </w14:textFill>
        </w:rPr>
        <w:t xml:space="preserve">, ktorý je </w:t>
      </w:r>
      <w:r>
        <w:rPr>
          <w:rFonts w:ascii="Arial Narrow" w:hAnsi="Arial Narrow"/>
          <w:color w:val="000000" w:themeColor="text1"/>
          <w:sz w:val="22"/>
          <w:szCs w:val="22"/>
          <w:u w:val="single"/>
          <w14:textFill>
            <w14:solidFill>
              <w14:schemeClr w14:val="tx1"/>
            </w14:solidFill>
          </w14:textFill>
        </w:rPr>
        <w:t>obchodnou spoločnosťou alebo fyzickou osobou – podnikateľom</w:t>
      </w:r>
      <w:r>
        <w:rPr>
          <w:rFonts w:ascii="Arial Narrow" w:hAnsi="Arial Narrow"/>
          <w:color w:val="000000" w:themeColor="text1"/>
          <w:sz w:val="22"/>
          <w:szCs w:val="22"/>
          <w14:textFill>
            <w14:solidFill>
              <w14:schemeClr w14:val="tx1"/>
            </w14:solidFill>
          </w14:textFill>
        </w:rPr>
        <w:t xml:space="preserve">, RSP </w:t>
      </w:r>
      <w:r>
        <w:rPr>
          <w:rFonts w:ascii="Arial Narrow" w:hAnsi="Arial Narrow"/>
          <w:b/>
          <w:color w:val="000000" w:themeColor="text1"/>
          <w:sz w:val="22"/>
          <w:szCs w:val="22"/>
          <w14:textFill>
            <w14:solidFill>
              <w14:schemeClr w14:val="tx1"/>
            </w14:solidFill>
          </w14:textFill>
        </w:rPr>
        <w:t xml:space="preserve">plnil / </w:t>
      </w:r>
      <w:r>
        <w:rPr>
          <w:rFonts w:ascii="Arial Narrow" w:hAnsi="Arial Narrow"/>
          <w:b/>
          <w:color w:val="000000" w:themeColor="text1"/>
          <w:sz w:val="22"/>
          <w:szCs w:val="22"/>
          <w:u w:val="single"/>
          <w14:textFill>
            <w14:solidFill>
              <w14:schemeClr w14:val="tx1"/>
            </w14:solidFill>
          </w14:textFill>
        </w:rPr>
        <w:t>neplnil</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podmienku v zmysle §6 odsek 1, písm. h) zákona o SE o minimálnom počte zamestnancov a ich úväzkoch.</w:t>
      </w:r>
      <w:r>
        <w:rPr>
          <w:rFonts w:ascii="Arial Narrow" w:hAnsi="Arial Narrow"/>
          <w:color w:val="000000" w:themeColor="text1"/>
          <w:sz w:val="22"/>
          <w:szCs w:val="22"/>
          <w14:textFill>
            <w14:solidFill>
              <w14:schemeClr w14:val="tx1"/>
            </w14:solidFill>
          </w14:textFill>
        </w:rPr>
        <w:tab/>
      </w:r>
    </w:p>
    <w:p>
      <w:pPr>
        <w:pStyle w:val="10"/>
        <w:numPr>
          <w:ilvl w:val="1"/>
          <w:numId w:val="1"/>
        </w:numPr>
        <w:tabs>
          <w:tab w:val="left" w:pos="9781"/>
        </w:tabs>
        <w:spacing w:before="6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údaj či je účtovná jednotka neobmedzene ručiacim spoločníkom v iných účtovných jednotkách s uvedením obchodného mena a sídla takejto účtovnej jednotky; uvádzajú sa aj iné významné údaje týkajúce sa tohto ručenia</w:t>
      </w:r>
    </w:p>
    <w:p>
      <w:pPr>
        <w:pStyle w:val="10"/>
        <w:numPr>
          <w:ilvl w:val="1"/>
          <w:numId w:val="1"/>
        </w:numPr>
        <w:tabs>
          <w:tab w:val="left" w:pos="9781"/>
        </w:tabs>
        <w:spacing w:before="6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právny dôvod na zostavenie účtovnej závierky</w:t>
      </w:r>
    </w:p>
    <w:p>
      <w:pPr>
        <w:pStyle w:val="10"/>
        <w:numPr>
          <w:ilvl w:val="1"/>
          <w:numId w:val="1"/>
        </w:numPr>
        <w:tabs>
          <w:tab w:val="left" w:pos="9781"/>
        </w:tabs>
        <w:spacing w:before="6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dátum schválenia účtovnej závierky za bezprostredne predchádzajúce účtovné obdobie príslušným orgánom účtovnej jednotky</w:t>
      </w:r>
    </w:p>
    <w:p>
      <w:pPr>
        <w:pStyle w:val="5"/>
        <w:tabs>
          <w:tab w:val="left" w:pos="9781"/>
        </w:tabs>
        <w:spacing w:before="10"/>
        <w:jc w:val="both"/>
        <w:rPr>
          <w:color w:val="000000" w:themeColor="text1"/>
          <w:sz w:val="21"/>
          <w14:textFill>
            <w14:solidFill>
              <w14:schemeClr w14:val="tx1"/>
            </w14:solidFill>
          </w14:textFill>
        </w:rPr>
      </w:pPr>
    </w:p>
    <w:p>
      <w:pPr>
        <w:pStyle w:val="2"/>
        <w:numPr>
          <w:ilvl w:val="0"/>
          <w:numId w:val="1"/>
        </w:numPr>
        <w:tabs>
          <w:tab w:val="left" w:pos="9781"/>
        </w:tabs>
        <w:ind w:left="284"/>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Zrušené s účinnosťou od 31. decembra 2013.</w:t>
      </w:r>
    </w:p>
    <w:p>
      <w:pPr>
        <w:pStyle w:val="5"/>
        <w:tabs>
          <w:tab w:val="left" w:pos="9781"/>
        </w:tabs>
        <w:jc w:val="both"/>
        <w:rPr>
          <w:b/>
          <w:color w:val="000000" w:themeColor="text1"/>
          <w14:textFill>
            <w14:solidFill>
              <w14:schemeClr w14:val="tx1"/>
            </w14:solidFill>
          </w14:textFill>
        </w:rPr>
      </w:pPr>
    </w:p>
    <w:p>
      <w:pPr>
        <w:pStyle w:val="2"/>
        <w:numPr>
          <w:ilvl w:val="0"/>
          <w:numId w:val="1"/>
        </w:numPr>
        <w:tabs>
          <w:tab w:val="left" w:pos="9781"/>
        </w:tabs>
        <w:ind w:left="284"/>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Ak je účtovná jednotka súčasťou konsolidovaného celku poznámky obsahujú aj tieto informácie:</w:t>
      </w:r>
    </w:p>
    <w:p>
      <w:pPr>
        <w:pStyle w:val="5"/>
        <w:tabs>
          <w:tab w:val="left" w:pos="9781"/>
        </w:tabs>
        <w:spacing w:before="1"/>
        <w:jc w:val="both"/>
        <w:rPr>
          <w:b/>
          <w:color w:val="000000" w:themeColor="text1"/>
          <w14:textFill>
            <w14:solidFill>
              <w14:schemeClr w14:val="tx1"/>
            </w14:solidFill>
          </w14:textFill>
        </w:rPr>
      </w:pPr>
    </w:p>
    <w:p>
      <w:pPr>
        <w:pStyle w:val="10"/>
        <w:numPr>
          <w:ilvl w:val="1"/>
          <w:numId w:val="1"/>
        </w:numPr>
        <w:tabs>
          <w:tab w:val="left" w:pos="9781"/>
        </w:tabs>
        <w:ind w:left="426" w:right="553"/>
        <w:jc w:val="both"/>
        <w:rPr>
          <w:color w:val="000000" w:themeColor="text1"/>
          <w14:textFill>
            <w14:solidFill>
              <w14:schemeClr w14:val="tx1"/>
            </w14:solidFill>
          </w14:textFill>
        </w:rPr>
      </w:pPr>
      <w:r>
        <w:rPr>
          <w:color w:val="000000" w:themeColor="text1"/>
          <w14:textFill>
            <w14:solidFill>
              <w14:schemeClr w14:val="tx1"/>
            </w14:solidFill>
          </w14:textFill>
        </w:rPr>
        <w:t>obchodné meno a sídlo konsolidujúcej účtovnej jednotky, ktorá zostavuje konsolidovanú účtovnú závierku za všetky skupiny účtovných jednotiek konsolidovaného celku, pre ktorú je účtovná jednotka konsolidovanou účtovnou</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jednotkou,</w:t>
      </w:r>
    </w:p>
    <w:p>
      <w:pPr>
        <w:pStyle w:val="10"/>
        <w:numPr>
          <w:ilvl w:val="1"/>
          <w:numId w:val="1"/>
        </w:numPr>
        <w:tabs>
          <w:tab w:val="left" w:pos="9781"/>
        </w:tabs>
        <w:ind w:left="426" w:right="666"/>
        <w:jc w:val="both"/>
        <w:rPr>
          <w:color w:val="000000" w:themeColor="text1"/>
          <w14:textFill>
            <w14:solidFill>
              <w14:schemeClr w14:val="tx1"/>
            </w14:solidFill>
          </w14:textFill>
        </w:rPr>
      </w:pPr>
      <w:r>
        <w:rPr>
          <w:color w:val="000000" w:themeColor="text1"/>
          <w14:textFill>
            <w14:solidFill>
              <w14:schemeClr w14:val="tx1"/>
            </w14:solidFill>
          </w14:textFill>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jednotkou,</w:t>
      </w:r>
    </w:p>
    <w:p>
      <w:pPr>
        <w:pStyle w:val="10"/>
        <w:numPr>
          <w:ilvl w:val="1"/>
          <w:numId w:val="1"/>
        </w:numPr>
        <w:tabs>
          <w:tab w:val="left" w:pos="9781"/>
        </w:tabs>
        <w:ind w:left="426" w:right="552"/>
        <w:jc w:val="both"/>
        <w:rPr>
          <w:color w:val="000000" w:themeColor="text1"/>
          <w14:textFill>
            <w14:solidFill>
              <w14:schemeClr w14:val="tx1"/>
            </w14:solidFill>
          </w14:textFill>
        </w:rPr>
      </w:pPr>
      <w:r>
        <w:rPr>
          <w:color w:val="000000" w:themeColor="text1"/>
          <w14:textFill>
            <w14:solidFill>
              <w14:schemeClr w14:val="tx1"/>
            </w14:solidFill>
          </w14:textFill>
        </w:rPr>
        <w:t>obchodné meno a sídlo konsolidujúcej účtovnej jednotky, v ktorej sú prístupné konsolidované účtovné závierky a adresa príslušného registrového súdu, ktorý vedie obchodný register, v ktorom sa uložia tieto konsolidované účtovné</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závierky,</w:t>
      </w:r>
    </w:p>
    <w:p>
      <w:pPr>
        <w:pStyle w:val="10"/>
        <w:numPr>
          <w:ilvl w:val="1"/>
          <w:numId w:val="1"/>
        </w:numPr>
        <w:tabs>
          <w:tab w:val="left" w:pos="9781"/>
        </w:tabs>
        <w:spacing w:before="2"/>
        <w:ind w:left="426" w:right="987"/>
        <w:jc w:val="both"/>
        <w:rPr>
          <w:color w:val="000000" w:themeColor="text1"/>
          <w14:textFill>
            <w14:solidFill>
              <w14:schemeClr w14:val="tx1"/>
            </w14:solidFill>
          </w14:textFill>
        </w:rPr>
      </w:pPr>
      <w:r>
        <w:rPr>
          <w:color w:val="000000" w:themeColor="text1"/>
          <w14:textFill>
            <w14:solidFill>
              <w14:schemeClr w14:val="tx1"/>
            </w14:solidFill>
          </w14:textFill>
        </w:rPr>
        <w:t>údaj, či je materská účtovná jednotka oslobodená od povinnosti zostaviť konsolidovanú účtovnú závierku a konsolidovanú výročnú správu podľa § 22 zákona, pričom sa</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uvádza</w:t>
      </w:r>
    </w:p>
    <w:p>
      <w:pPr>
        <w:pStyle w:val="10"/>
        <w:numPr>
          <w:ilvl w:val="2"/>
          <w:numId w:val="1"/>
        </w:numPr>
        <w:tabs>
          <w:tab w:val="left" w:pos="9781"/>
        </w:tabs>
        <w:ind w:left="777" w:right="706" w:hanging="284"/>
        <w:jc w:val="both"/>
        <w:rPr>
          <w:color w:val="000000" w:themeColor="text1"/>
          <w14:textFill>
            <w14:solidFill>
              <w14:schemeClr w14:val="tx1"/>
            </w14:solidFill>
          </w14:textFill>
        </w:rPr>
      </w:pPr>
      <w:r>
        <w:rPr>
          <w:color w:val="000000" w:themeColor="text1"/>
          <w:spacing w:val="-1"/>
          <w14:textFill>
            <w14:solidFill>
              <w14:schemeClr w14:val="tx1"/>
            </w14:solidFill>
          </w14:textFill>
        </w:rPr>
        <w:t>pr</w:t>
      </w:r>
      <w:r>
        <w:rPr>
          <w:color w:val="000000" w:themeColor="text1"/>
          <w14:textFill>
            <w14:solidFill>
              <w14:schemeClr w14:val="tx1"/>
            </w14:solidFill>
          </w14:textFill>
        </w:rPr>
        <w:t xml:space="preserve">i </w:t>
      </w:r>
      <w:r>
        <w:rPr>
          <w:color w:val="000000" w:themeColor="text1"/>
          <w:spacing w:val="-2"/>
          <w14:textFill>
            <w14:solidFill>
              <w14:schemeClr w14:val="tx1"/>
            </w14:solidFill>
          </w14:textFill>
        </w:rPr>
        <w:t xml:space="preserve"> </w:t>
      </w:r>
      <w:r>
        <w:rPr>
          <w:color w:val="000000" w:themeColor="text1"/>
          <w:spacing w:val="-1"/>
          <w14:textFill>
            <w14:solidFill>
              <w14:schemeClr w14:val="tx1"/>
            </w14:solidFill>
          </w14:textFill>
        </w:rPr>
        <w:t>osl</w:t>
      </w:r>
      <w:r>
        <w:rPr>
          <w:color w:val="000000" w:themeColor="text1"/>
          <w:spacing w:val="-97"/>
          <w14:textFill>
            <w14:solidFill>
              <w14:schemeClr w14:val="tx1"/>
            </w14:solidFill>
          </w14:textFill>
        </w:rPr>
        <w:t>o</w:t>
      </w:r>
      <w:r>
        <w:rPr>
          <w:color w:val="000000" w:themeColor="text1"/>
          <w:spacing w:val="-1"/>
          <w14:textFill>
            <w14:solidFill>
              <w14:schemeClr w14:val="tx1"/>
            </w14:solidFill>
          </w14:textFill>
        </w:rPr>
        <w:t>boden</w:t>
      </w:r>
      <w:r>
        <w:rPr>
          <w:color w:val="000000" w:themeColor="text1"/>
          <w14:textFill>
            <w14:solidFill>
              <w14:schemeClr w14:val="tx1"/>
            </w14:solidFill>
          </w14:textFill>
        </w:rPr>
        <w:t xml:space="preserve">í </w:t>
      </w:r>
      <w:r>
        <w:rPr>
          <w:color w:val="000000" w:themeColor="text1"/>
          <w:spacing w:val="-1"/>
          <w14:textFill>
            <w14:solidFill>
              <w14:schemeClr w14:val="tx1"/>
            </w14:solidFill>
          </w14:textFill>
        </w:rPr>
        <w:t>podľ</w:t>
      </w:r>
      <w:r>
        <w:rPr>
          <w:color w:val="000000" w:themeColor="text1"/>
          <w14:textFill>
            <w14:solidFill>
              <w14:schemeClr w14:val="tx1"/>
            </w14:solidFill>
          </w14:textFill>
        </w:rPr>
        <w:t xml:space="preserve">a § </w:t>
      </w:r>
      <w:r>
        <w:rPr>
          <w:color w:val="000000" w:themeColor="text1"/>
          <w:spacing w:val="-1"/>
          <w14:textFill>
            <w14:solidFill>
              <w14:schemeClr w14:val="tx1"/>
            </w14:solidFill>
          </w14:textFill>
        </w:rPr>
        <w:t>2</w:t>
      </w:r>
      <w:r>
        <w:rPr>
          <w:color w:val="000000" w:themeColor="text1"/>
          <w14:textFill>
            <w14:solidFill>
              <w14:schemeClr w14:val="tx1"/>
            </w14:solidFill>
          </w14:textFill>
        </w:rPr>
        <w:t xml:space="preserve">2 </w:t>
      </w:r>
      <w:r>
        <w:rPr>
          <w:color w:val="000000" w:themeColor="text1"/>
          <w:spacing w:val="-1"/>
          <w14:textFill>
            <w14:solidFill>
              <w14:schemeClr w14:val="tx1"/>
            </w14:solidFill>
          </w14:textFill>
        </w:rPr>
        <w:t>ods</w:t>
      </w:r>
      <w:r>
        <w:rPr>
          <w:color w:val="000000" w:themeColor="text1"/>
          <w14:textFill>
            <w14:solidFill>
              <w14:schemeClr w14:val="tx1"/>
            </w14:solidFill>
          </w14:textFill>
        </w:rPr>
        <w:t xml:space="preserve">. 8 </w:t>
      </w:r>
      <w:r>
        <w:rPr>
          <w:color w:val="000000" w:themeColor="text1"/>
          <w:spacing w:val="-1"/>
          <w14:textFill>
            <w14:solidFill>
              <w14:schemeClr w14:val="tx1"/>
            </w14:solidFill>
          </w14:textFill>
        </w:rPr>
        <w:t>zákon</w:t>
      </w:r>
      <w:r>
        <w:rPr>
          <w:color w:val="000000" w:themeColor="text1"/>
          <w14:textFill>
            <w14:solidFill>
              <w14:schemeClr w14:val="tx1"/>
            </w14:solidFill>
          </w14:textFill>
        </w:rPr>
        <w:t xml:space="preserve">a </w:t>
      </w:r>
      <w:r>
        <w:rPr>
          <w:color w:val="000000" w:themeColor="text1"/>
          <w:spacing w:val="-1"/>
          <w14:textFill>
            <w14:solidFill>
              <w14:schemeClr w14:val="tx1"/>
            </w14:solidFill>
          </w14:textFill>
        </w:rPr>
        <w:t>obchodn</w:t>
      </w:r>
      <w:r>
        <w:rPr>
          <w:color w:val="000000" w:themeColor="text1"/>
          <w14:textFill>
            <w14:solidFill>
              <w14:schemeClr w14:val="tx1"/>
            </w14:solidFill>
          </w14:textFill>
        </w:rPr>
        <w:t xml:space="preserve">é </w:t>
      </w:r>
      <w:r>
        <w:rPr>
          <w:color w:val="000000" w:themeColor="text1"/>
          <w:spacing w:val="-1"/>
          <w14:textFill>
            <w14:solidFill>
              <w14:schemeClr w14:val="tx1"/>
            </w14:solidFill>
          </w14:textFill>
        </w:rPr>
        <w:t>men</w:t>
      </w:r>
      <w:r>
        <w:rPr>
          <w:color w:val="000000" w:themeColor="text1"/>
          <w14:textFill>
            <w14:solidFill>
              <w14:schemeClr w14:val="tx1"/>
            </w14:solidFill>
          </w14:textFill>
        </w:rPr>
        <w:t xml:space="preserve">o a </w:t>
      </w:r>
      <w:r>
        <w:rPr>
          <w:color w:val="000000" w:themeColor="text1"/>
          <w:spacing w:val="-1"/>
          <w14:textFill>
            <w14:solidFill>
              <w14:schemeClr w14:val="tx1"/>
            </w14:solidFill>
          </w14:textFill>
        </w:rPr>
        <w:t>sídl</w:t>
      </w:r>
      <w:r>
        <w:rPr>
          <w:color w:val="000000" w:themeColor="text1"/>
          <w14:textFill>
            <w14:solidFill>
              <w14:schemeClr w14:val="tx1"/>
            </w14:solidFill>
          </w14:textFill>
        </w:rPr>
        <w:t xml:space="preserve">o </w:t>
      </w:r>
      <w:r>
        <w:rPr>
          <w:color w:val="000000" w:themeColor="text1"/>
          <w:spacing w:val="-1"/>
          <w14:textFill>
            <w14:solidFill>
              <w14:schemeClr w14:val="tx1"/>
            </w14:solidFill>
          </w14:textFill>
        </w:rPr>
        <w:t>materske</w:t>
      </w:r>
      <w:r>
        <w:rPr>
          <w:color w:val="000000" w:themeColor="text1"/>
          <w14:textFill>
            <w14:solidFill>
              <w14:schemeClr w14:val="tx1"/>
            </w14:solidFill>
          </w14:textFill>
        </w:rPr>
        <w:t xml:space="preserve">j </w:t>
      </w:r>
      <w:r>
        <w:rPr>
          <w:color w:val="000000" w:themeColor="text1"/>
          <w:spacing w:val="-1"/>
          <w14:textFill>
            <w14:solidFill>
              <w14:schemeClr w14:val="tx1"/>
            </w14:solidFill>
          </w14:textFill>
        </w:rPr>
        <w:t xml:space="preserve">účtovnej </w:t>
      </w:r>
      <w:r>
        <w:rPr>
          <w:color w:val="000000" w:themeColor="text1"/>
          <w14:textFill>
            <w14:solidFill>
              <w14:schemeClr w14:val="tx1"/>
            </w14:solidFill>
          </w14:textFill>
        </w:rPr>
        <w:t>jednotky zostavujúcej konsolidovanú účtovnú závierku podľa osobitných predpisov</w:t>
      </w:r>
      <w:r>
        <w:rPr>
          <w:color w:val="000000" w:themeColor="text1"/>
          <w:position w:val="6"/>
          <w:sz w:val="14"/>
          <w14:textFill>
            <w14:solidFill>
              <w14:schemeClr w14:val="tx1"/>
            </w14:solidFill>
          </w14:textFill>
        </w:rPr>
        <w:t>1ca)</w:t>
      </w:r>
      <w:r>
        <w:rPr>
          <w:color w:val="000000" w:themeColor="text1"/>
          <w14:textFill>
            <w14:solidFill>
              <w14:schemeClr w14:val="tx1"/>
            </w14:solidFill>
          </w14:textFill>
        </w:rPr>
        <w:t>, do ktorej je zahrnovaná účtovná jednotka a všetky jej dcérske účtovné</w:t>
      </w:r>
      <w:r>
        <w:rPr>
          <w:color w:val="000000" w:themeColor="text1"/>
          <w:spacing w:val="-10"/>
          <w14:textFill>
            <w14:solidFill>
              <w14:schemeClr w14:val="tx1"/>
            </w14:solidFill>
          </w14:textFill>
        </w:rPr>
        <w:t xml:space="preserve"> </w:t>
      </w:r>
      <w:r>
        <w:rPr>
          <w:color w:val="000000" w:themeColor="text1"/>
          <w14:textFill>
            <w14:solidFill>
              <w14:schemeClr w14:val="tx1"/>
            </w14:solidFill>
          </w14:textFill>
        </w:rPr>
        <w:t>jednotky,</w:t>
      </w:r>
    </w:p>
    <w:p>
      <w:pPr>
        <w:pStyle w:val="10"/>
        <w:numPr>
          <w:ilvl w:val="2"/>
          <w:numId w:val="1"/>
        </w:numPr>
        <w:tabs>
          <w:tab w:val="left" w:pos="9781"/>
        </w:tabs>
        <w:ind w:left="777" w:right="859" w:hanging="284"/>
        <w:jc w:val="both"/>
        <w:rPr>
          <w:color w:val="000000" w:themeColor="text1"/>
          <w14:textFill>
            <w14:solidFill>
              <w14:schemeClr w14:val="tx1"/>
            </w14:solidFill>
          </w14:textFill>
        </w:rPr>
      </w:pPr>
      <w:r>
        <w:rPr>
          <w:color w:val="000000" w:themeColor="text1"/>
          <w14:textFill>
            <w14:solidFill>
              <w14:schemeClr w14:val="tx1"/>
            </w14:solidFill>
          </w14:textFill>
        </w:rPr>
        <w:t>pri oslobodení podľa § 22 ods. 12 zákona obchodné meno a sídlo dcérskych účtovných jednotiek.</w:t>
      </w:r>
    </w:p>
    <w:p>
      <w:pPr>
        <w:pStyle w:val="5"/>
        <w:tabs>
          <w:tab w:val="left" w:pos="9781"/>
        </w:tabs>
        <w:spacing w:before="10"/>
        <w:jc w:val="both"/>
        <w:rPr>
          <w:color w:val="000000" w:themeColor="text1"/>
          <w:sz w:val="21"/>
          <w14:textFill>
            <w14:solidFill>
              <w14:schemeClr w14:val="tx1"/>
            </w14:solidFill>
          </w14:textFill>
        </w:rPr>
      </w:pPr>
    </w:p>
    <w:p>
      <w:pPr>
        <w:pStyle w:val="2"/>
        <w:numPr>
          <w:ilvl w:val="0"/>
          <w:numId w:val="1"/>
        </w:numPr>
        <w:tabs>
          <w:tab w:val="left" w:pos="9781"/>
        </w:tabs>
        <w:ind w:left="284"/>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poznámkach sa uvádzajú ďalšie informácie o:</w:t>
      </w:r>
    </w:p>
    <w:p>
      <w:pPr>
        <w:pStyle w:val="10"/>
        <w:numPr>
          <w:ilvl w:val="1"/>
          <w:numId w:val="1"/>
        </w:numPr>
        <w:tabs>
          <w:tab w:val="left" w:pos="9781"/>
        </w:tabs>
        <w:spacing w:before="12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použitých účtovných zásadách a účtovných</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metódach,</w:t>
      </w:r>
    </w:p>
    <w:p>
      <w:pPr>
        <w:pStyle w:val="10"/>
        <w:tabs>
          <w:tab w:val="left" w:pos="9781"/>
        </w:tabs>
        <w:spacing w:before="60"/>
        <w:ind w:left="425" w:firstLine="0"/>
        <w:jc w:val="both"/>
        <w:rPr>
          <w:color w:val="000000" w:themeColor="text1"/>
          <w14:textFill>
            <w14:solidFill>
              <w14:schemeClr w14:val="tx1"/>
            </w14:solidFill>
          </w14:textFill>
        </w:rPr>
      </w:pPr>
      <w:r>
        <w:rPr>
          <w:b/>
          <w:color w:val="000000" w:themeColor="text1"/>
          <w14:textFill>
            <w14:solidFill>
              <w14:schemeClr w14:val="tx1"/>
            </w14:solidFill>
          </w14:textFill>
        </w:rPr>
        <w:t xml:space="preserve">RSP </w:t>
      </w:r>
      <w:r>
        <w:rPr>
          <w:color w:val="000000" w:themeColor="text1"/>
          <w14:textFill>
            <w14:solidFill>
              <w14:schemeClr w14:val="tx1"/>
            </w14:solidFill>
          </w14:textFill>
        </w:rPr>
        <w:t>účtuje v zmysle §14 odsek 1 zákona o SE v sústave podvojné účtovníctva, pričom účtovným obdobím RSP je kalendárny rok.</w:t>
      </w:r>
    </w:p>
    <w:p>
      <w:pPr>
        <w:pStyle w:val="10"/>
        <w:tabs>
          <w:tab w:val="left" w:pos="9781"/>
        </w:tabs>
        <w:spacing w:before="60"/>
        <w:ind w:left="425" w:firstLine="0"/>
        <w:jc w:val="both"/>
        <w:rPr>
          <w:color w:val="000000" w:themeColor="text1"/>
          <w14:textFill>
            <w14:solidFill>
              <w14:schemeClr w14:val="tx1"/>
            </w14:solidFill>
          </w14:textFill>
        </w:rPr>
      </w:pPr>
      <w:r>
        <w:rPr>
          <w:b/>
          <w:color w:val="000000" w:themeColor="text1"/>
          <w14:textFill>
            <w14:solidFill>
              <w14:schemeClr w14:val="tx1"/>
            </w14:solidFill>
          </w14:textFill>
        </w:rPr>
        <w:t>RSP</w:t>
      </w:r>
      <w:r>
        <w:rPr>
          <w:color w:val="000000" w:themeColor="text1"/>
          <w14:textFill>
            <w14:solidFill>
              <w14:schemeClr w14:val="tx1"/>
            </w14:solidFill>
          </w14:textFill>
        </w:rPr>
        <w:t xml:space="preserve"> vo svojom účtovníctve v zmysle §14 odsek 2 zákona o SE osobitne sleduje činnosť vykonávanú ako RSP, a to prostredníctvom tvorby </w:t>
      </w:r>
      <w:r>
        <w:rPr>
          <w:b/>
          <w:color w:val="000000" w:themeColor="text1"/>
          <w:u w:val="single"/>
          <w14:textFill>
            <w14:solidFill>
              <w14:schemeClr w14:val="tx1"/>
            </w14:solidFill>
          </w14:textFill>
        </w:rPr>
        <w:t>analytických účtov</w:t>
      </w:r>
      <w:r>
        <w:rPr>
          <w:b/>
          <w:color w:val="000000" w:themeColor="text1"/>
          <w14:textFill>
            <w14:solidFill>
              <w14:schemeClr w14:val="tx1"/>
            </w14:solidFill>
          </w14:textFill>
        </w:rPr>
        <w:t xml:space="preserve"> / inak*</w:t>
      </w:r>
      <w:r>
        <w:rPr>
          <w:color w:val="000000" w:themeColor="text1"/>
          <w14:textFill>
            <w14:solidFill>
              <w14:schemeClr w14:val="tx1"/>
            </w14:solidFill>
          </w14:textFill>
        </w:rPr>
        <w:t xml:space="preserve"> – uveďte ako...................................................................................</w:t>
      </w:r>
    </w:p>
    <w:p>
      <w:pPr>
        <w:pStyle w:val="10"/>
        <w:tabs>
          <w:tab w:val="left" w:pos="9781"/>
        </w:tabs>
        <w:spacing w:before="60"/>
        <w:ind w:left="425"/>
        <w:jc w:val="both"/>
        <w:rPr>
          <w:color w:val="000000" w:themeColor="text1"/>
          <w14:textFill>
            <w14:solidFill>
              <w14:schemeClr w14:val="tx1"/>
            </w14:solidFill>
          </w14:textFill>
        </w:rPr>
      </w:pPr>
      <w:r>
        <w:rPr>
          <w:color w:val="000000" w:themeColor="text1"/>
          <w14:textFill>
            <w14:solidFill>
              <w14:schemeClr w14:val="tx1"/>
            </w14:solidFill>
          </w14:textFill>
        </w:rPr>
        <w:tab/>
      </w:r>
      <w:r>
        <w:rPr>
          <w:b/>
          <w:color w:val="000000" w:themeColor="text1"/>
          <w14:textFill>
            <w14:solidFill>
              <w14:schemeClr w14:val="tx1"/>
            </w14:solidFill>
          </w14:textFill>
        </w:rPr>
        <w:t>RSP</w:t>
      </w:r>
      <w:r>
        <w:rPr>
          <w:color w:val="000000" w:themeColor="text1"/>
          <w14:textFill>
            <w14:solidFill>
              <w14:schemeClr w14:val="tx1"/>
            </w14:solidFill>
          </w14:textFill>
        </w:rPr>
        <w:t xml:space="preserve"> </w:t>
      </w:r>
      <w:r>
        <w:rPr>
          <w:b/>
          <w:color w:val="000000" w:themeColor="text1"/>
          <w14:textFill>
            <w14:solidFill>
              <w14:schemeClr w14:val="tx1"/>
            </w14:solidFill>
          </w14:textFill>
        </w:rPr>
        <w:t xml:space="preserve">je / </w:t>
      </w:r>
      <w:r>
        <w:rPr>
          <w:b/>
          <w:color w:val="000000" w:themeColor="text1"/>
          <w:u w:val="single"/>
          <w14:textFill>
            <w14:solidFill>
              <w14:schemeClr w14:val="tx1"/>
            </w14:solidFill>
          </w14:textFill>
        </w:rPr>
        <w:t>nie je</w:t>
      </w:r>
      <w:r>
        <w:rPr>
          <w:b/>
          <w:color w:val="000000" w:themeColor="text1"/>
          <w14:textFill>
            <w14:solidFill>
              <w14:schemeClr w14:val="tx1"/>
            </w14:solidFill>
          </w14:textFill>
        </w:rPr>
        <w:t>*</w:t>
      </w:r>
      <w:r>
        <w:rPr>
          <w:color w:val="000000" w:themeColor="text1"/>
          <w14:textFill>
            <w14:solidFill>
              <w14:schemeClr w14:val="tx1"/>
            </w14:solidFill>
          </w14:textFill>
        </w:rPr>
        <w:t xml:space="preserve"> povinný mať v zmysle §14 odsek 3 zákona o SE účtovnú závierku a výročnú správu overenú štatutárnym audítorom. </w:t>
      </w:r>
    </w:p>
    <w:p>
      <w:pPr>
        <w:pStyle w:val="10"/>
        <w:tabs>
          <w:tab w:val="left" w:pos="9781"/>
        </w:tabs>
        <w:spacing w:before="60"/>
        <w:ind w:left="425"/>
        <w:jc w:val="both"/>
        <w:rPr>
          <w:color w:val="000000" w:themeColor="text1"/>
          <w14:textFill>
            <w14:solidFill>
              <w14:schemeClr w14:val="tx1"/>
            </w14:solidFill>
          </w14:textFill>
        </w:rPr>
      </w:pPr>
      <w:r>
        <w:rPr>
          <w:b/>
          <w:color w:val="000000" w:themeColor="text1"/>
          <w14:textFill>
            <w14:solidFill>
              <w14:schemeClr w14:val="tx1"/>
            </w14:solidFill>
          </w14:textFill>
        </w:rPr>
        <w:tab/>
      </w:r>
      <w:r>
        <w:rPr>
          <w:color w:val="000000" w:themeColor="text1"/>
          <w14:textFill>
            <w14:solidFill>
              <w14:schemeClr w14:val="tx1"/>
            </w14:solidFill>
          </w14:textFill>
        </w:rPr>
        <w:t>Povinnosť auditu u RSP vzniká, ak:</w:t>
      </w:r>
    </w:p>
    <w:p>
      <w:pPr>
        <w:pStyle w:val="10"/>
        <w:tabs>
          <w:tab w:val="left" w:pos="9781"/>
        </w:tabs>
        <w:ind w:left="993" w:hanging="426"/>
        <w:jc w:val="both"/>
        <w:rPr>
          <w:color w:val="000000" w:themeColor="text1"/>
          <w14:textFill>
            <w14:solidFill>
              <w14:schemeClr w14:val="tx1"/>
            </w14:solidFill>
          </w14:textFill>
        </w:rPr>
      </w:pPr>
      <w:r>
        <w:rPr>
          <w:color w:val="000000" w:themeColor="text1"/>
          <w14:textFill>
            <w14:solidFill>
              <w14:schemeClr w14:val="tx1"/>
            </w14:solidFill>
          </w14:textFill>
        </w:rPr>
        <w:t xml:space="preserve">1. </w:t>
      </w:r>
      <w:r>
        <w:rPr>
          <w:color w:val="000000" w:themeColor="text1"/>
          <w14:textFill>
            <w14:solidFill>
              <w14:schemeClr w14:val="tx1"/>
            </w14:solidFill>
          </w14:textFill>
        </w:rPr>
        <w:tab/>
      </w:r>
      <w:r>
        <w:rPr>
          <w:color w:val="000000" w:themeColor="text1"/>
          <w14:textFill>
            <w14:solidFill>
              <w14:schemeClr w14:val="tx1"/>
            </w14:solidFill>
          </w14:textFill>
        </w:rPr>
        <w:t xml:space="preserve">príjem verejných prostriedkov a podielov zaplatenej dane v účtovnom období, za ktoré je účtovná závierka zostavená, presiahne 200.000 € </w:t>
      </w:r>
      <w:r>
        <w:rPr>
          <w:b/>
          <w:color w:val="000000" w:themeColor="text1"/>
          <w14:textFill>
            <w14:solidFill>
              <w14:schemeClr w14:val="tx1"/>
            </w14:solidFill>
          </w14:textFill>
        </w:rPr>
        <w:t>alebo</w:t>
      </w:r>
    </w:p>
    <w:p>
      <w:pPr>
        <w:pStyle w:val="10"/>
        <w:tabs>
          <w:tab w:val="left" w:pos="9781"/>
        </w:tabs>
        <w:ind w:left="993" w:hanging="426"/>
        <w:jc w:val="both"/>
        <w:rPr>
          <w:color w:val="000000" w:themeColor="text1"/>
          <w14:textFill>
            <w14:solidFill>
              <w14:schemeClr w14:val="tx1"/>
            </w14:solidFill>
          </w14:textFill>
        </w:rPr>
      </w:pPr>
      <w:r>
        <w:rPr>
          <w:color w:val="000000" w:themeColor="text1"/>
          <w14:textFill>
            <w14:solidFill>
              <w14:schemeClr w14:val="tx1"/>
            </w14:solidFill>
          </w14:textFill>
        </w:rPr>
        <w:t xml:space="preserve">2. </w:t>
      </w:r>
      <w:r>
        <w:rPr>
          <w:color w:val="000000" w:themeColor="text1"/>
          <w14:textFill>
            <w14:solidFill>
              <w14:schemeClr w14:val="tx1"/>
            </w14:solidFill>
          </w14:textFill>
        </w:rPr>
        <w:tab/>
      </w:r>
      <w:r>
        <w:rPr>
          <w:color w:val="000000" w:themeColor="text1"/>
          <w14:textFill>
            <w14:solidFill>
              <w14:schemeClr w14:val="tx1"/>
            </w14:solidFill>
          </w14:textFill>
        </w:rPr>
        <w:t>všetky príjmy RSP v účtovnom období, za ktoré je účtovná závierka zostavená, presiahnu 500.000 €</w:t>
      </w:r>
    </w:p>
    <w:p>
      <w:pPr>
        <w:pStyle w:val="10"/>
        <w:numPr>
          <w:ilvl w:val="1"/>
          <w:numId w:val="1"/>
        </w:numPr>
        <w:tabs>
          <w:tab w:val="left" w:pos="9781"/>
        </w:tabs>
        <w:spacing w:before="12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údajoch vykázaných na strane aktív súvahy</w:t>
      </w:r>
    </w:p>
    <w:p>
      <w:pPr>
        <w:pStyle w:val="10"/>
        <w:tabs>
          <w:tab w:val="left" w:pos="9781"/>
        </w:tabs>
        <w:spacing w:before="60" w:after="120"/>
        <w:ind w:left="425" w:firstLine="0"/>
        <w:jc w:val="both"/>
        <w:rPr>
          <w:color w:val="000000" w:themeColor="text1"/>
          <w14:textFill>
            <w14:solidFill>
              <w14:schemeClr w14:val="tx1"/>
            </w14:solidFill>
          </w14:textFill>
        </w:rPr>
      </w:pPr>
      <w:r>
        <w:rPr>
          <w:b/>
          <w:color w:val="000000" w:themeColor="text1"/>
          <w14:textFill>
            <w14:solidFill>
              <w14:schemeClr w14:val="tx1"/>
            </w14:solidFill>
          </w14:textFill>
        </w:rPr>
        <w:t>RSP</w:t>
      </w:r>
      <w:r>
        <w:rPr>
          <w:color w:val="000000" w:themeColor="text1"/>
          <w14:textFill>
            <w14:solidFill>
              <w14:schemeClr w14:val="tx1"/>
            </w14:solidFill>
          </w14:textFill>
        </w:rPr>
        <w:t xml:space="preserve"> získal nasledujúci majetok z dotácie, nevrátenej časti podmienečne vratného príspevku, z inej podpory alebo verejných prostriedkov:</w:t>
      </w:r>
    </w:p>
    <w:tbl>
      <w:tblPr>
        <w:tblStyle w:val="4"/>
        <w:tblW w:w="9387" w:type="dxa"/>
        <w:tblInd w:w="496" w:type="dxa"/>
        <w:tblLayout w:type="autofit"/>
        <w:tblCellMar>
          <w:top w:w="0" w:type="dxa"/>
          <w:left w:w="70" w:type="dxa"/>
          <w:bottom w:w="0" w:type="dxa"/>
          <w:right w:w="70" w:type="dxa"/>
        </w:tblCellMar>
      </w:tblPr>
      <w:tblGrid>
        <w:gridCol w:w="1842"/>
        <w:gridCol w:w="2127"/>
        <w:gridCol w:w="1701"/>
        <w:gridCol w:w="1276"/>
        <w:gridCol w:w="1024"/>
        <w:gridCol w:w="1417"/>
      </w:tblGrid>
      <w:tr>
        <w:tblPrEx>
          <w:tblCellMar>
            <w:top w:w="0" w:type="dxa"/>
            <w:left w:w="70" w:type="dxa"/>
            <w:bottom w:w="0" w:type="dxa"/>
            <w:right w:w="70" w:type="dxa"/>
          </w:tblCellMar>
        </w:tblPrEx>
        <w:trPr>
          <w:trHeight w:val="1104" w:hRule="atLeast"/>
        </w:trPr>
        <w:tc>
          <w:tcPr>
            <w:tcW w:w="184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utoSpaceDE/>
              <w:autoSpaceDN/>
              <w:rPr>
                <w:rFonts w:ascii="Calibri" w:hAnsi="Calibri" w:eastAsia="Times New Roman" w:cs="Calibri"/>
                <w:b/>
                <w:bCs/>
                <w:color w:val="000000" w:themeColor="text1"/>
                <w:sz w:val="20"/>
                <w:szCs w:val="20"/>
                <w:lang w:eastAsia="sk-SK"/>
                <w14:textFill>
                  <w14:solidFill>
                    <w14:schemeClr w14:val="tx1"/>
                  </w14:solidFill>
                </w14:textFill>
              </w:rPr>
            </w:pPr>
            <w:r>
              <w:rPr>
                <w:rFonts w:ascii="Calibri" w:hAnsi="Calibri" w:eastAsia="Times New Roman" w:cs="Calibri"/>
                <w:b/>
                <w:bCs/>
                <w:color w:val="000000" w:themeColor="text1"/>
                <w:sz w:val="20"/>
                <w:szCs w:val="20"/>
                <w:lang w:eastAsia="sk-SK"/>
                <w14:textFill>
                  <w14:solidFill>
                    <w14:schemeClr w14:val="tx1"/>
                  </w14:solidFill>
                </w14:textFill>
              </w:rPr>
              <w:t>Popis majetku</w:t>
            </w:r>
          </w:p>
        </w:tc>
        <w:tc>
          <w:tcPr>
            <w:tcW w:w="2127"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jc w:val="center"/>
              <w:rPr>
                <w:rFonts w:ascii="Calibri" w:hAnsi="Calibri" w:eastAsia="Times New Roman" w:cs="Calibri"/>
                <w:b/>
                <w:bCs/>
                <w:color w:val="000000" w:themeColor="text1"/>
                <w:sz w:val="20"/>
                <w:szCs w:val="20"/>
                <w:lang w:eastAsia="sk-SK"/>
                <w14:textFill>
                  <w14:solidFill>
                    <w14:schemeClr w14:val="tx1"/>
                  </w14:solidFill>
                </w14:textFill>
              </w:rPr>
            </w:pPr>
            <w:r>
              <w:rPr>
                <w:rFonts w:ascii="Calibri" w:hAnsi="Calibri" w:eastAsia="Times New Roman" w:cs="Calibri"/>
                <w:b/>
                <w:bCs/>
                <w:color w:val="000000" w:themeColor="text1"/>
                <w:sz w:val="20"/>
                <w:szCs w:val="20"/>
                <w:lang w:eastAsia="sk-SK"/>
                <w14:textFill>
                  <w14:solidFill>
                    <w14:schemeClr w14:val="tx1"/>
                  </w14:solidFill>
                </w14:textFill>
              </w:rPr>
              <w:t>Spôsob nadobudnutia, resp. typ podpory</w:t>
            </w:r>
          </w:p>
        </w:tc>
        <w:tc>
          <w:tcPr>
            <w:tcW w:w="1701"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jc w:val="center"/>
              <w:rPr>
                <w:rFonts w:ascii="Calibri" w:hAnsi="Calibri" w:eastAsia="Times New Roman" w:cs="Calibri"/>
                <w:b/>
                <w:bCs/>
                <w:color w:val="000000" w:themeColor="text1"/>
                <w:sz w:val="20"/>
                <w:szCs w:val="20"/>
                <w:lang w:eastAsia="sk-SK"/>
                <w14:textFill>
                  <w14:solidFill>
                    <w14:schemeClr w14:val="tx1"/>
                  </w14:solidFill>
                </w14:textFill>
              </w:rPr>
            </w:pPr>
            <w:r>
              <w:rPr>
                <w:rFonts w:ascii="Calibri" w:hAnsi="Calibri" w:eastAsia="Times New Roman" w:cs="Calibri"/>
                <w:b/>
                <w:bCs/>
                <w:color w:val="000000" w:themeColor="text1"/>
                <w:sz w:val="20"/>
                <w:szCs w:val="20"/>
                <w:lang w:eastAsia="sk-SK"/>
                <w14:textFill>
                  <w14:solidFill>
                    <w14:schemeClr w14:val="tx1"/>
                  </w14:solidFill>
                </w14:textFill>
              </w:rPr>
              <w:t>zostatková cena k dátumu vyradenia / prevodu / k 31.12.</w:t>
            </w: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jc w:val="center"/>
              <w:rPr>
                <w:rFonts w:ascii="Calibri" w:hAnsi="Calibri" w:eastAsia="Times New Roman" w:cs="Calibri"/>
                <w:b/>
                <w:bCs/>
                <w:color w:val="000000" w:themeColor="text1"/>
                <w:sz w:val="20"/>
                <w:szCs w:val="20"/>
                <w:lang w:eastAsia="sk-SK"/>
                <w14:textFill>
                  <w14:solidFill>
                    <w14:schemeClr w14:val="tx1"/>
                  </w14:solidFill>
                </w14:textFill>
              </w:rPr>
            </w:pPr>
            <w:r>
              <w:rPr>
                <w:rFonts w:ascii="Calibri" w:hAnsi="Calibri" w:eastAsia="Times New Roman" w:cs="Calibri"/>
                <w:b/>
                <w:bCs/>
                <w:color w:val="000000" w:themeColor="text1"/>
                <w:sz w:val="20"/>
                <w:szCs w:val="20"/>
                <w:lang w:eastAsia="sk-SK"/>
                <w14:textFill>
                  <w14:solidFill>
                    <w14:schemeClr w14:val="tx1"/>
                  </w14:solidFill>
                </w14:textFill>
              </w:rPr>
              <w:t>Vyradený z obchodného majetku            ku dňu:</w:t>
            </w:r>
          </w:p>
        </w:tc>
        <w:tc>
          <w:tcPr>
            <w:tcW w:w="1024"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jc w:val="center"/>
              <w:rPr>
                <w:rFonts w:ascii="Calibri" w:hAnsi="Calibri" w:eastAsia="Times New Roman" w:cs="Calibri"/>
                <w:b/>
                <w:bCs/>
                <w:color w:val="000000" w:themeColor="text1"/>
                <w:sz w:val="20"/>
                <w:szCs w:val="20"/>
                <w:lang w:eastAsia="sk-SK"/>
                <w14:textFill>
                  <w14:solidFill>
                    <w14:schemeClr w14:val="tx1"/>
                  </w14:solidFill>
                </w14:textFill>
              </w:rPr>
            </w:pPr>
            <w:r>
              <w:rPr>
                <w:rFonts w:ascii="Calibri" w:hAnsi="Calibri" w:eastAsia="Times New Roman" w:cs="Calibri"/>
                <w:b/>
                <w:bCs/>
                <w:color w:val="000000" w:themeColor="text1"/>
                <w:sz w:val="20"/>
                <w:szCs w:val="20"/>
                <w:lang w:eastAsia="sk-SK"/>
                <w14:textFill>
                  <w14:solidFill>
                    <w14:schemeClr w14:val="tx1"/>
                  </w14:solidFill>
                </w14:textFill>
              </w:rPr>
              <w:t>Prevedený na iný RSP áno / nie</w:t>
            </w:r>
          </w:p>
        </w:tc>
        <w:tc>
          <w:tcPr>
            <w:tcW w:w="1417"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jc w:val="center"/>
              <w:rPr>
                <w:rFonts w:ascii="Calibri" w:hAnsi="Calibri" w:eastAsia="Times New Roman" w:cs="Calibri"/>
                <w:b/>
                <w:bCs/>
                <w:color w:val="000000" w:themeColor="text1"/>
                <w:sz w:val="20"/>
                <w:szCs w:val="20"/>
                <w:lang w:eastAsia="sk-SK"/>
                <w14:textFill>
                  <w14:solidFill>
                    <w14:schemeClr w14:val="tx1"/>
                  </w14:solidFill>
                </w14:textFill>
              </w:rPr>
            </w:pPr>
            <w:r>
              <w:rPr>
                <w:rFonts w:ascii="Calibri" w:hAnsi="Calibri" w:eastAsia="Times New Roman" w:cs="Calibri"/>
                <w:b/>
                <w:bCs/>
                <w:color w:val="000000" w:themeColor="text1"/>
                <w:sz w:val="20"/>
                <w:szCs w:val="20"/>
                <w:lang w:eastAsia="sk-SK"/>
                <w14:textFill>
                  <w14:solidFill>
                    <w14:schemeClr w14:val="tx1"/>
                  </w14:solidFill>
                </w14:textFill>
              </w:rPr>
              <w:t>Prevedený na inú spoločnosť ako RSP              áno / nie</w:t>
            </w:r>
          </w:p>
        </w:tc>
      </w:tr>
      <w:tr>
        <w:tblPrEx>
          <w:tblCellMar>
            <w:top w:w="0" w:type="dxa"/>
            <w:left w:w="70" w:type="dxa"/>
            <w:bottom w:w="0" w:type="dxa"/>
            <w:right w:w="70" w:type="dxa"/>
          </w:tblCellMar>
        </w:tblPrEx>
        <w:trPr>
          <w:trHeight w:val="288" w:hRule="atLeast"/>
        </w:trPr>
        <w:tc>
          <w:tcPr>
            <w:tcW w:w="1842" w:type="dxa"/>
            <w:tcBorders>
              <w:top w:val="nil"/>
              <w:left w:val="single" w:color="auto" w:sz="4" w:space="0"/>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212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701"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276"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024"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41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r>
      <w:tr>
        <w:tblPrEx>
          <w:tblCellMar>
            <w:top w:w="0" w:type="dxa"/>
            <w:left w:w="70" w:type="dxa"/>
            <w:bottom w:w="0" w:type="dxa"/>
            <w:right w:w="70" w:type="dxa"/>
          </w:tblCellMar>
        </w:tblPrEx>
        <w:trPr>
          <w:trHeight w:val="288" w:hRule="atLeast"/>
        </w:trPr>
        <w:tc>
          <w:tcPr>
            <w:tcW w:w="1842" w:type="dxa"/>
            <w:tcBorders>
              <w:top w:val="nil"/>
              <w:left w:val="single" w:color="auto" w:sz="4" w:space="0"/>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212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701"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276"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024"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41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r>
      <w:tr>
        <w:tblPrEx>
          <w:tblCellMar>
            <w:top w:w="0" w:type="dxa"/>
            <w:left w:w="70" w:type="dxa"/>
            <w:bottom w:w="0" w:type="dxa"/>
            <w:right w:w="70" w:type="dxa"/>
          </w:tblCellMar>
        </w:tblPrEx>
        <w:trPr>
          <w:trHeight w:val="288" w:hRule="atLeast"/>
        </w:trPr>
        <w:tc>
          <w:tcPr>
            <w:tcW w:w="1842" w:type="dxa"/>
            <w:tcBorders>
              <w:top w:val="nil"/>
              <w:left w:val="single" w:color="auto" w:sz="4" w:space="0"/>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212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701"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276"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024"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41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r>
      <w:tr>
        <w:tblPrEx>
          <w:tblCellMar>
            <w:top w:w="0" w:type="dxa"/>
            <w:left w:w="70" w:type="dxa"/>
            <w:bottom w:w="0" w:type="dxa"/>
            <w:right w:w="70" w:type="dxa"/>
          </w:tblCellMar>
        </w:tblPrEx>
        <w:trPr>
          <w:trHeight w:val="288" w:hRule="atLeast"/>
        </w:trPr>
        <w:tc>
          <w:tcPr>
            <w:tcW w:w="1842" w:type="dxa"/>
            <w:tcBorders>
              <w:top w:val="nil"/>
              <w:left w:val="single" w:color="auto" w:sz="4" w:space="0"/>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212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701"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276"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024"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41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r>
      <w:tr>
        <w:tblPrEx>
          <w:tblCellMar>
            <w:top w:w="0" w:type="dxa"/>
            <w:left w:w="70" w:type="dxa"/>
            <w:bottom w:w="0" w:type="dxa"/>
            <w:right w:w="70" w:type="dxa"/>
          </w:tblCellMar>
        </w:tblPrEx>
        <w:trPr>
          <w:trHeight w:val="288" w:hRule="atLeast"/>
        </w:trPr>
        <w:tc>
          <w:tcPr>
            <w:tcW w:w="1842" w:type="dxa"/>
            <w:tcBorders>
              <w:top w:val="nil"/>
              <w:left w:val="single" w:color="auto" w:sz="4" w:space="0"/>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212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701"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276"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024"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41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r>
      <w:tr>
        <w:tblPrEx>
          <w:tblCellMar>
            <w:top w:w="0" w:type="dxa"/>
            <w:left w:w="70" w:type="dxa"/>
            <w:bottom w:w="0" w:type="dxa"/>
            <w:right w:w="70" w:type="dxa"/>
          </w:tblCellMar>
        </w:tblPrEx>
        <w:trPr>
          <w:trHeight w:val="288" w:hRule="atLeast"/>
        </w:trPr>
        <w:tc>
          <w:tcPr>
            <w:tcW w:w="1842" w:type="dxa"/>
            <w:tcBorders>
              <w:top w:val="nil"/>
              <w:left w:val="single" w:color="auto" w:sz="4" w:space="0"/>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212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701"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276"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024"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c>
          <w:tcPr>
            <w:tcW w:w="1417" w:type="dxa"/>
            <w:tcBorders>
              <w:top w:val="nil"/>
              <w:left w:val="nil"/>
              <w:bottom w:val="single" w:color="auto" w:sz="4" w:space="0"/>
              <w:right w:val="single" w:color="auto" w:sz="4" w:space="0"/>
            </w:tcBorders>
            <w:shd w:val="clear" w:color="auto" w:fill="auto"/>
            <w:noWrap/>
            <w:vAlign w:val="bottom"/>
          </w:tcPr>
          <w:p>
            <w:pPr>
              <w:widowControl/>
              <w:autoSpaceDE/>
              <w:autoSpaceDN/>
              <w:jc w:val="center"/>
              <w:rPr>
                <w:rFonts w:ascii="Calibri" w:hAnsi="Calibri" w:eastAsia="Times New Roman" w:cs="Calibri"/>
                <w:color w:val="000000" w:themeColor="text1"/>
                <w:lang w:eastAsia="sk-SK"/>
                <w14:textFill>
                  <w14:solidFill>
                    <w14:schemeClr w14:val="tx1"/>
                  </w14:solidFill>
                </w14:textFill>
              </w:rPr>
            </w:pPr>
            <w:r>
              <w:rPr>
                <w:rFonts w:ascii="Calibri" w:hAnsi="Calibri" w:eastAsia="Times New Roman" w:cs="Calibri"/>
                <w:color w:val="000000" w:themeColor="text1"/>
                <w:lang w:eastAsia="sk-SK"/>
                <w14:textFill>
                  <w14:solidFill>
                    <w14:schemeClr w14:val="tx1"/>
                  </w14:solidFill>
                </w14:textFill>
              </w:rPr>
              <w:t>---</w:t>
            </w:r>
          </w:p>
        </w:tc>
      </w:tr>
    </w:tbl>
    <w:p>
      <w:pPr>
        <w:pStyle w:val="10"/>
        <w:tabs>
          <w:tab w:val="left" w:pos="9781"/>
        </w:tabs>
        <w:spacing w:before="60"/>
        <w:ind w:left="426" w:firstLine="0"/>
        <w:jc w:val="both"/>
        <w:rPr>
          <w:color w:val="000000" w:themeColor="text1"/>
          <w14:textFill>
            <w14:solidFill>
              <w14:schemeClr w14:val="tx1"/>
            </w14:solidFill>
          </w14:textFill>
        </w:rPr>
      </w:pP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údajoch vykázaných na strane pasív súvahy,</w:t>
      </w:r>
    </w:p>
    <w:p>
      <w:pPr>
        <w:pStyle w:val="14"/>
        <w:tabs>
          <w:tab w:val="left" w:pos="9781"/>
        </w:tabs>
        <w:spacing w:before="60"/>
        <w:ind w:left="425"/>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 xml:space="preserve">RSP </w:t>
      </w:r>
      <w:r>
        <w:rPr>
          <w:rFonts w:ascii="Arial Narrow" w:hAnsi="Arial Narrow"/>
          <w:color w:val="000000" w:themeColor="text1"/>
          <w:sz w:val="22"/>
          <w:szCs w:val="22"/>
          <w14:textFill>
            <w14:solidFill>
              <w14:schemeClr w14:val="tx1"/>
            </w14:solidFill>
          </w14:textFill>
        </w:rPr>
        <w:t>sa v zmysle §5 odsek 1, písmeno d, bod. 1. zákona o SE a v zmysle základného dokumentu zaviazal, že ak zo svojej činnosti dosiahne zisk, použije 100% / viac ako 50% a menej ako 100% * zisku po zdanení na dosiahnutie hlavného cieľa, ktorým je dosahovanie merateľného PSV.</w:t>
      </w:r>
    </w:p>
    <w:p>
      <w:pPr>
        <w:pStyle w:val="14"/>
        <w:tabs>
          <w:tab w:val="left" w:pos="9781"/>
        </w:tabs>
        <w:spacing w:before="60"/>
        <w:ind w:left="425"/>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 xml:space="preserve">RSP </w:t>
      </w:r>
      <w:r>
        <w:rPr>
          <w:rFonts w:ascii="Arial Narrow" w:hAnsi="Arial Narrow"/>
          <w:color w:val="000000" w:themeColor="text1"/>
          <w:sz w:val="22"/>
          <w:szCs w:val="22"/>
          <w14:textFill>
            <w14:solidFill>
              <w14:schemeClr w14:val="tx1"/>
            </w14:solidFill>
          </w14:textFill>
        </w:rPr>
        <w:t xml:space="preserve">počas obdobia, za ktoré je zostavená účtovná závierka, </w:t>
      </w:r>
      <w:r>
        <w:rPr>
          <w:rFonts w:ascii="Arial Narrow" w:hAnsi="Arial Narrow"/>
          <w:b/>
          <w:color w:val="000000" w:themeColor="text1"/>
          <w:sz w:val="22"/>
          <w:szCs w:val="22"/>
          <w14:textFill>
            <w14:solidFill>
              <w14:schemeClr w14:val="tx1"/>
            </w14:solidFill>
          </w14:textFill>
        </w:rPr>
        <w:t xml:space="preserve">menil / </w:t>
      </w:r>
      <w:r>
        <w:rPr>
          <w:rFonts w:ascii="Arial Narrow" w:hAnsi="Arial Narrow"/>
          <w:b/>
          <w:color w:val="000000" w:themeColor="text1"/>
          <w:sz w:val="22"/>
          <w:szCs w:val="22"/>
          <w:u w:val="single"/>
          <w14:textFill>
            <w14:solidFill>
              <w14:schemeClr w14:val="tx1"/>
            </w14:solidFill>
          </w14:textFill>
        </w:rPr>
        <w:t>nemenil</w:t>
      </w:r>
      <w:r>
        <w:rPr>
          <w:rFonts w:ascii="Arial Narrow" w:hAnsi="Arial Narrow"/>
          <w:color w:val="000000" w:themeColor="text1"/>
          <w:sz w:val="22"/>
          <w:szCs w:val="22"/>
          <w14:textFill>
            <w14:solidFill>
              <w14:schemeClr w14:val="tx1"/>
            </w14:solidFill>
          </w14:textFill>
        </w:rPr>
        <w:t>* %-nu výšku zisku, ktorú sa zaviazal používať na dosiahnutie hlavného cieľa.</w:t>
      </w:r>
    </w:p>
    <w:p>
      <w:pPr>
        <w:pStyle w:val="10"/>
        <w:numPr>
          <w:ilvl w:val="1"/>
          <w:numId w:val="1"/>
        </w:numPr>
        <w:tabs>
          <w:tab w:val="left" w:pos="9781"/>
        </w:tabs>
        <w:spacing w:before="12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výnosoch,</w:t>
      </w:r>
    </w:p>
    <w:p>
      <w:pPr>
        <w:pStyle w:val="14"/>
        <w:tabs>
          <w:tab w:val="left" w:pos="9781"/>
        </w:tabs>
        <w:spacing w:before="120"/>
        <w:ind w:left="425"/>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RSP</w:t>
      </w:r>
      <w:r>
        <w:rPr>
          <w:rFonts w:ascii="Arial Narrow" w:hAnsi="Arial Narrow"/>
          <w:color w:val="000000" w:themeColor="text1"/>
          <w:sz w:val="22"/>
          <w:szCs w:val="22"/>
          <w14:textFill>
            <w14:solidFill>
              <w14:schemeClr w14:val="tx1"/>
            </w14:solidFill>
          </w14:textFill>
        </w:rPr>
        <w:t xml:space="preserve"> vyhlasuje, že v období, za ktoré je zostavená účtovná závierka </w:t>
      </w:r>
      <w:r>
        <w:rPr>
          <w:rFonts w:ascii="Arial Narrow" w:hAnsi="Arial Narrow"/>
          <w:b/>
          <w:color w:val="000000" w:themeColor="text1"/>
          <w:sz w:val="22"/>
          <w:szCs w:val="22"/>
          <w14:textFill>
            <w14:solidFill>
              <w14:schemeClr w14:val="tx1"/>
            </w14:solidFill>
          </w14:textFill>
        </w:rPr>
        <w:t xml:space="preserve">využil / </w:t>
      </w:r>
      <w:r>
        <w:rPr>
          <w:rFonts w:ascii="Arial Narrow" w:hAnsi="Arial Narrow"/>
          <w:b/>
          <w:color w:val="000000" w:themeColor="text1"/>
          <w:sz w:val="22"/>
          <w:szCs w:val="22"/>
          <w:u w:val="single"/>
          <w14:textFill>
            <w14:solidFill>
              <w14:schemeClr w14:val="tx1"/>
            </w14:solidFill>
          </w14:textFill>
        </w:rPr>
        <w:t>nevyužil</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servisné poukážky</w:t>
      </w:r>
    </w:p>
    <w:p>
      <w:pPr>
        <w:pStyle w:val="14"/>
        <w:tabs>
          <w:tab w:val="left" w:pos="9781"/>
        </w:tabs>
        <w:spacing w:before="60"/>
        <w:ind w:left="425"/>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RSP</w:t>
      </w:r>
      <w:r>
        <w:rPr>
          <w:rFonts w:ascii="Arial Narrow" w:hAnsi="Arial Narrow"/>
          <w:color w:val="000000" w:themeColor="text1"/>
          <w:sz w:val="22"/>
          <w:szCs w:val="22"/>
          <w14:textFill>
            <w14:solidFill>
              <w14:schemeClr w14:val="tx1"/>
            </w14:solidFill>
          </w14:textFill>
        </w:rPr>
        <w:t xml:space="preserve"> vyhlasuje, že v období, za ktoré je zostavená účtovná závierka </w:t>
      </w:r>
      <w:r>
        <w:rPr>
          <w:rFonts w:ascii="Arial Narrow" w:hAnsi="Arial Narrow"/>
          <w:b/>
          <w:color w:val="000000" w:themeColor="text1"/>
          <w:sz w:val="22"/>
          <w:szCs w:val="22"/>
          <w14:textFill>
            <w14:solidFill>
              <w14:schemeClr w14:val="tx1"/>
            </w14:solidFill>
          </w14:textFill>
        </w:rPr>
        <w:t xml:space="preserve">využil / </w:t>
      </w:r>
      <w:r>
        <w:rPr>
          <w:rFonts w:ascii="Arial Narrow" w:hAnsi="Arial Narrow"/>
          <w:b/>
          <w:color w:val="000000" w:themeColor="text1"/>
          <w:sz w:val="22"/>
          <w:szCs w:val="22"/>
          <w:u w:val="single"/>
          <w14:textFill>
            <w14:solidFill>
              <w14:schemeClr w14:val="tx1"/>
            </w14:solidFill>
          </w14:textFill>
        </w:rPr>
        <w:t>nevyužil</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zníženú sadzbu DPH (10%)</w:t>
      </w:r>
    </w:p>
    <w:p>
      <w:pPr>
        <w:pStyle w:val="14"/>
        <w:tabs>
          <w:tab w:val="left" w:pos="9781"/>
        </w:tabs>
        <w:spacing w:before="60"/>
        <w:ind w:left="425"/>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RSP</w:t>
      </w:r>
      <w:r>
        <w:rPr>
          <w:rFonts w:ascii="Arial Narrow" w:hAnsi="Arial Narrow"/>
          <w:color w:val="000000" w:themeColor="text1"/>
          <w:sz w:val="22"/>
          <w:szCs w:val="22"/>
          <w14:textFill>
            <w14:solidFill>
              <w14:schemeClr w14:val="tx1"/>
            </w14:solidFill>
          </w14:textFill>
        </w:rPr>
        <w:t xml:space="preserve"> vyhlasuje, že v období, za ktoré je zostavená účtovná závierka </w:t>
      </w:r>
      <w:r>
        <w:rPr>
          <w:rFonts w:ascii="Arial Narrow" w:hAnsi="Arial Narrow"/>
          <w:b/>
          <w:color w:val="000000" w:themeColor="text1"/>
          <w:sz w:val="22"/>
          <w:szCs w:val="22"/>
          <w14:textFill>
            <w14:solidFill>
              <w14:schemeClr w14:val="tx1"/>
            </w14:solidFill>
          </w14:textFill>
        </w:rPr>
        <w:t xml:space="preserve">využil / </w:t>
      </w:r>
      <w:r>
        <w:rPr>
          <w:rFonts w:ascii="Arial Narrow" w:hAnsi="Arial Narrow"/>
          <w:b/>
          <w:color w:val="000000" w:themeColor="text1"/>
          <w:sz w:val="22"/>
          <w:szCs w:val="22"/>
          <w:u w:val="single"/>
          <w14:textFill>
            <w14:solidFill>
              <w14:schemeClr w14:val="tx1"/>
            </w14:solidFill>
          </w14:textFill>
        </w:rPr>
        <w:t>nevyuži</w:t>
      </w:r>
      <w:r>
        <w:rPr>
          <w:rFonts w:ascii="Arial Narrow" w:hAnsi="Arial Narrow"/>
          <w:b/>
          <w:color w:val="000000" w:themeColor="text1"/>
          <w:sz w:val="22"/>
          <w:szCs w:val="22"/>
          <w14:textFill>
            <w14:solidFill>
              <w14:schemeClr w14:val="tx1"/>
            </w14:solidFill>
          </w14:textFill>
        </w:rPr>
        <w:t>l*</w:t>
      </w:r>
      <w:r>
        <w:rPr>
          <w:rFonts w:ascii="Arial Narrow" w:hAnsi="Arial Narrow"/>
          <w:color w:val="000000" w:themeColor="text1"/>
          <w:sz w:val="22"/>
          <w:szCs w:val="22"/>
          <w14:textFill>
            <w14:solidFill>
              <w14:schemeClr w14:val="tx1"/>
            </w14:solidFill>
          </w14:textFill>
        </w:rPr>
        <w:t xml:space="preserve"> výhody pri verejnom obstarávaní</w:t>
      </w:r>
    </w:p>
    <w:p>
      <w:pPr>
        <w:pStyle w:val="14"/>
        <w:tabs>
          <w:tab w:val="left" w:pos="9781"/>
        </w:tabs>
        <w:spacing w:before="60"/>
        <w:ind w:left="425"/>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RSP</w:t>
      </w:r>
      <w:r>
        <w:rPr>
          <w:rFonts w:ascii="Arial Narrow" w:hAnsi="Arial Narrow"/>
          <w:color w:val="000000" w:themeColor="text1"/>
          <w:sz w:val="22"/>
          <w:szCs w:val="22"/>
          <w14:textFill>
            <w14:solidFill>
              <w14:schemeClr w14:val="tx1"/>
            </w14:solidFill>
          </w14:textFill>
        </w:rPr>
        <w:t xml:space="preserve"> vyhlasuje, že v období, za ktoré je zostavená účtovná závierka </w:t>
      </w:r>
      <w:r>
        <w:rPr>
          <w:rFonts w:ascii="Arial Narrow" w:hAnsi="Arial Narrow"/>
          <w:b/>
          <w:color w:val="000000" w:themeColor="text1"/>
          <w:sz w:val="22"/>
          <w:szCs w:val="22"/>
          <w14:textFill>
            <w14:solidFill>
              <w14:schemeClr w14:val="tx1"/>
            </w14:solidFill>
          </w14:textFill>
        </w:rPr>
        <w:t xml:space="preserve">prijal / </w:t>
      </w:r>
      <w:r>
        <w:rPr>
          <w:rFonts w:ascii="Arial Narrow" w:hAnsi="Arial Narrow"/>
          <w:b/>
          <w:color w:val="000000" w:themeColor="text1"/>
          <w:sz w:val="22"/>
          <w:szCs w:val="22"/>
          <w:u w:val="single"/>
          <w14:textFill>
            <w14:solidFill>
              <w14:schemeClr w14:val="tx1"/>
            </w14:solidFill>
          </w14:textFill>
        </w:rPr>
        <w:t>neprija</w:t>
      </w:r>
      <w:r>
        <w:rPr>
          <w:rFonts w:ascii="Arial Narrow" w:hAnsi="Arial Narrow"/>
          <w:b/>
          <w:color w:val="000000" w:themeColor="text1"/>
          <w:sz w:val="22"/>
          <w:szCs w:val="22"/>
          <w14:textFill>
            <w14:solidFill>
              <w14:schemeClr w14:val="tx1"/>
            </w14:solidFill>
          </w14:textFill>
        </w:rPr>
        <w:t>l*</w:t>
      </w:r>
      <w:r>
        <w:rPr>
          <w:rFonts w:ascii="Arial Narrow" w:hAnsi="Arial Narrow"/>
          <w:color w:val="000000" w:themeColor="text1"/>
          <w:sz w:val="22"/>
          <w:szCs w:val="22"/>
          <w14:textFill>
            <w14:solidFill>
              <w14:schemeClr w14:val="tx1"/>
            </w14:solidFill>
          </w14:textFill>
        </w:rPr>
        <w:t xml:space="preserve"> verejné prostriedky (ak nešlo  o plnenie podmienky podľa §17 ods. 3 zákona o SE) podľa osobitných predpisov </w:t>
      </w:r>
      <w:r>
        <w:rPr>
          <w:rFonts w:ascii="Arial Narrow" w:hAnsi="Arial Narrow"/>
          <w:color w:val="000000" w:themeColor="text1"/>
          <w:sz w:val="22"/>
          <w:szCs w:val="22"/>
          <w:u w:val="single"/>
          <w14:textFill>
            <w14:solidFill>
              <w14:schemeClr w14:val="tx1"/>
            </w14:solidFill>
          </w14:textFill>
        </w:rPr>
        <w:t>na tie isté oprávnené náklady alebo na ten istý účel,</w:t>
      </w:r>
      <w:r>
        <w:rPr>
          <w:rFonts w:ascii="Arial Narrow" w:hAnsi="Arial Narrow"/>
          <w:color w:val="000000" w:themeColor="text1"/>
          <w:sz w:val="22"/>
          <w:szCs w:val="22"/>
          <w14:textFill>
            <w14:solidFill>
              <w14:schemeClr w14:val="tx1"/>
            </w14:solidFill>
          </w14:textFill>
        </w:rPr>
        <w:t xml:space="preserve"> na aké sa mu poskytovala podpora vo forme dotácie, nenávratného finančného príspevku alebo podmienečne vratného finančného príspevku.</w:t>
      </w:r>
    </w:p>
    <w:p>
      <w:pPr>
        <w:pStyle w:val="10"/>
        <w:numPr>
          <w:ilvl w:val="1"/>
          <w:numId w:val="1"/>
        </w:numPr>
        <w:tabs>
          <w:tab w:val="left" w:pos="9781"/>
        </w:tabs>
        <w:spacing w:before="12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nákladoch,</w:t>
      </w:r>
    </w:p>
    <w:p>
      <w:pPr>
        <w:pStyle w:val="14"/>
        <w:tabs>
          <w:tab w:val="left" w:pos="9781"/>
        </w:tabs>
        <w:spacing w:before="120"/>
        <w:ind w:left="425"/>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 xml:space="preserve">RSP </w:t>
      </w:r>
      <w:r>
        <w:rPr>
          <w:rFonts w:ascii="Arial Narrow" w:hAnsi="Arial Narrow"/>
          <w:color w:val="000000" w:themeColor="text1"/>
          <w:sz w:val="22"/>
          <w:szCs w:val="22"/>
          <w14:textFill>
            <w14:solidFill>
              <w14:schemeClr w14:val="tx1"/>
            </w14:solidFill>
          </w14:textFill>
        </w:rPr>
        <w:t xml:space="preserve">vyhlasuje, že v období, za ktoré je zostavená účtovná závierka, </w:t>
      </w:r>
      <w:r>
        <w:rPr>
          <w:rFonts w:ascii="Arial Narrow" w:hAnsi="Arial Narrow"/>
          <w:b/>
          <w:color w:val="000000" w:themeColor="text1"/>
          <w:sz w:val="22"/>
          <w:szCs w:val="22"/>
          <w14:textFill>
            <w14:solidFill>
              <w14:schemeClr w14:val="tx1"/>
            </w14:solidFill>
          </w14:textFill>
        </w:rPr>
        <w:t xml:space="preserve">plnil / </w:t>
      </w:r>
      <w:r>
        <w:rPr>
          <w:rFonts w:ascii="Arial Narrow" w:hAnsi="Arial Narrow"/>
          <w:b/>
          <w:color w:val="000000" w:themeColor="text1"/>
          <w:sz w:val="22"/>
          <w:szCs w:val="22"/>
          <w:u w:val="single"/>
          <w14:textFill>
            <w14:solidFill>
              <w14:schemeClr w14:val="tx1"/>
            </w14:solidFill>
          </w14:textFill>
        </w:rPr>
        <w:t>neplnil*</w:t>
      </w:r>
      <w:r>
        <w:rPr>
          <w:rFonts w:ascii="Arial Narrow" w:hAnsi="Arial Narrow"/>
          <w:b/>
          <w:color w:val="000000" w:themeColor="text1"/>
          <w:sz w:val="22"/>
          <w:szCs w:val="22"/>
          <w14:textFill>
            <w14:solidFill>
              <w14:schemeClr w14:val="tx1"/>
            </w14:solidFill>
          </w14:textFill>
        </w:rPr>
        <w:t xml:space="preserve">  </w:t>
      </w:r>
      <w:r>
        <w:rPr>
          <w:rFonts w:ascii="Arial Narrow" w:hAnsi="Arial Narrow"/>
          <w:color w:val="000000" w:themeColor="text1"/>
          <w:sz w:val="22"/>
          <w:szCs w:val="22"/>
          <w14:textFill>
            <w14:solidFill>
              <w14:schemeClr w14:val="tx1"/>
            </w14:solidFill>
          </w14:textFill>
        </w:rPr>
        <w:t xml:space="preserve">obmedzenia v zmysle § 24 odek 2 zákona o SE, t.j. celkové náklady na mzdy a ďalšie plnenia spojené s pracovnoprávnymi vzťahmi v RSP v kalendárnom roku </w:t>
      </w:r>
      <w:r>
        <w:rPr>
          <w:rFonts w:ascii="Arial Narrow" w:hAnsi="Arial Narrow"/>
          <w:b/>
          <w:color w:val="000000" w:themeColor="text1"/>
          <w:sz w:val="22"/>
          <w:szCs w:val="22"/>
          <w14:textFill>
            <w14:solidFill>
              <w14:schemeClr w14:val="tx1"/>
            </w14:solidFill>
          </w14:textFill>
        </w:rPr>
        <w:t>nepresiahli</w:t>
      </w:r>
      <w:r>
        <w:rPr>
          <w:rFonts w:ascii="Arial Narrow" w:hAnsi="Arial Narrow"/>
          <w:color w:val="000000" w:themeColor="text1"/>
          <w:sz w:val="22"/>
          <w:szCs w:val="22"/>
          <w14:textFill>
            <w14:solidFill>
              <w14:schemeClr w14:val="tx1"/>
            </w14:solidFill>
          </w14:textFill>
        </w:rPr>
        <w:t>:</w:t>
      </w:r>
    </w:p>
    <w:p>
      <w:pPr>
        <w:pStyle w:val="14"/>
        <w:tabs>
          <w:tab w:val="left" w:pos="9781"/>
        </w:tabs>
        <w:ind w:left="1418" w:hanging="425"/>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1) </w:t>
      </w:r>
      <w:r>
        <w:rPr>
          <w:rFonts w:ascii="Arial Narrow" w:hAnsi="Arial Narrow"/>
          <w:color w:val="000000" w:themeColor="text1"/>
          <w:sz w:val="22"/>
          <w:szCs w:val="22"/>
          <w14:textFill>
            <w14:solidFill>
              <w14:schemeClr w14:val="tx1"/>
            </w14:solidFill>
          </w14:textFill>
        </w:rPr>
        <w:tab/>
      </w:r>
      <w:r>
        <w:rPr>
          <w:rFonts w:ascii="Arial Narrow" w:hAnsi="Arial Narrow"/>
          <w:color w:val="000000" w:themeColor="text1"/>
          <w:sz w:val="22"/>
          <w:szCs w:val="22"/>
          <w14:textFill>
            <w14:solidFill>
              <w14:schemeClr w14:val="tx1"/>
            </w14:solidFill>
          </w14:textFill>
        </w:rPr>
        <w:t xml:space="preserve">5-násobok mzdových nákladov pri použití minimálnej mzdy </w:t>
      </w:r>
      <w:r>
        <w:rPr>
          <w:rFonts w:ascii="Arial Narrow" w:hAnsi="Arial Narrow"/>
          <w:b/>
          <w:color w:val="000000" w:themeColor="text1"/>
          <w:sz w:val="22"/>
          <w:szCs w:val="22"/>
          <w14:textFill>
            <w14:solidFill>
              <w14:schemeClr w14:val="tx1"/>
            </w14:solidFill>
          </w14:textFill>
        </w:rPr>
        <w:t>x</w:t>
      </w:r>
      <w:r>
        <w:rPr>
          <w:rFonts w:ascii="Arial Narrow" w:hAnsi="Arial Narrow"/>
          <w:color w:val="000000" w:themeColor="text1"/>
          <w:sz w:val="22"/>
          <w:szCs w:val="22"/>
          <w14:textFill>
            <w14:solidFill>
              <w14:schemeClr w14:val="tx1"/>
            </w14:solidFill>
          </w14:textFill>
        </w:rPr>
        <w:t xml:space="preserve"> počet zamestnancov  RSP </w:t>
      </w:r>
      <w:r>
        <w:rPr>
          <w:rFonts w:ascii="Arial Narrow" w:hAnsi="Arial Narrow"/>
          <w:b/>
          <w:color w:val="000000" w:themeColor="text1"/>
          <w:sz w:val="22"/>
          <w:szCs w:val="22"/>
          <w14:textFill>
            <w14:solidFill>
              <w14:schemeClr w14:val="tx1"/>
            </w14:solidFill>
          </w14:textFill>
        </w:rPr>
        <w:t>a zároveň</w:t>
      </w:r>
    </w:p>
    <w:p>
      <w:pPr>
        <w:pStyle w:val="14"/>
        <w:tabs>
          <w:tab w:val="left" w:pos="9781"/>
        </w:tabs>
        <w:ind w:left="1418" w:hanging="425"/>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2) </w:t>
      </w:r>
      <w:r>
        <w:rPr>
          <w:rFonts w:ascii="Arial Narrow" w:hAnsi="Arial Narrow"/>
          <w:color w:val="000000" w:themeColor="text1"/>
          <w:sz w:val="22"/>
          <w:szCs w:val="22"/>
          <w14:textFill>
            <w14:solidFill>
              <w14:schemeClr w14:val="tx1"/>
            </w14:solidFill>
          </w14:textFill>
        </w:rPr>
        <w:tab/>
      </w:r>
      <w:r>
        <w:rPr>
          <w:rFonts w:ascii="Arial Narrow" w:hAnsi="Arial Narrow"/>
          <w:color w:val="000000" w:themeColor="text1"/>
          <w:sz w:val="22"/>
          <w:szCs w:val="22"/>
          <w14:textFill>
            <w14:solidFill>
              <w14:schemeClr w14:val="tx1"/>
            </w14:solidFill>
          </w14:textFill>
        </w:rPr>
        <w:t xml:space="preserve">3-násobok mzdových nákladov pri použití priemernej mzdy zamestnanca v hospodárstve SR za predchádzajúci kalendárny rok </w:t>
      </w:r>
      <w:r>
        <w:rPr>
          <w:rFonts w:ascii="Arial Narrow" w:hAnsi="Arial Narrow"/>
          <w:b/>
          <w:color w:val="000000" w:themeColor="text1"/>
          <w:sz w:val="22"/>
          <w:szCs w:val="22"/>
          <w14:textFill>
            <w14:solidFill>
              <w14:schemeClr w14:val="tx1"/>
            </w14:solidFill>
          </w14:textFill>
        </w:rPr>
        <w:t>x</w:t>
      </w:r>
      <w:r>
        <w:rPr>
          <w:rFonts w:ascii="Arial Narrow" w:hAnsi="Arial Narrow"/>
          <w:color w:val="000000" w:themeColor="text1"/>
          <w:sz w:val="22"/>
          <w:szCs w:val="22"/>
          <w14:textFill>
            <w14:solidFill>
              <w14:schemeClr w14:val="tx1"/>
            </w14:solidFill>
          </w14:textFill>
        </w:rPr>
        <w:t xml:space="preserve"> počet zamestnancov RSP, </w:t>
      </w:r>
      <w:r>
        <w:rPr>
          <w:rFonts w:ascii="Arial Narrow" w:hAnsi="Arial Narrow"/>
          <w:b/>
          <w:color w:val="000000" w:themeColor="text1"/>
          <w:sz w:val="22"/>
          <w:szCs w:val="22"/>
          <w14:textFill>
            <w14:solidFill>
              <w14:schemeClr w14:val="tx1"/>
            </w14:solidFill>
          </w14:textFill>
        </w:rPr>
        <w:t>pričom</w:t>
      </w:r>
      <w:r>
        <w:rPr>
          <w:rFonts w:ascii="Arial Narrow" w:hAnsi="Arial Narrow"/>
          <w:color w:val="000000" w:themeColor="text1"/>
          <w:sz w:val="22"/>
          <w:szCs w:val="22"/>
          <w14:textFill>
            <w14:solidFill>
              <w14:schemeClr w14:val="tx1"/>
            </w14:solidFill>
          </w14:textFill>
        </w:rPr>
        <w:t xml:space="preserve"> </w:t>
      </w:r>
    </w:p>
    <w:p>
      <w:pPr>
        <w:pStyle w:val="14"/>
        <w:tabs>
          <w:tab w:val="left" w:pos="9781"/>
        </w:tabs>
        <w:ind w:left="1418" w:hanging="425"/>
        <w:jc w:val="both"/>
        <w:rPr>
          <w:rFonts w:ascii="Arial Narrow" w:hAnsi="Arial Narrow"/>
          <w:color w:val="000000" w:themeColor="text1"/>
          <w:sz w:val="22"/>
          <w:szCs w:val="22"/>
          <w14:textFill>
            <w14:solidFill>
              <w14:schemeClr w14:val="tx1"/>
            </w14:solidFill>
          </w14:textFill>
        </w:rPr>
      </w:pPr>
      <w:r>
        <w:rPr>
          <w:rFonts w:ascii="Arial Narrow" w:hAnsi="Arial Narrow"/>
          <w:color w:val="000000" w:themeColor="text1"/>
          <w:sz w:val="22"/>
          <w:szCs w:val="22"/>
          <w14:textFill>
            <w14:solidFill>
              <w14:schemeClr w14:val="tx1"/>
            </w14:solidFill>
          </w14:textFill>
        </w:rPr>
        <w:t xml:space="preserve">3) </w:t>
      </w:r>
      <w:r>
        <w:rPr>
          <w:rFonts w:ascii="Arial Narrow" w:hAnsi="Arial Narrow"/>
          <w:color w:val="000000" w:themeColor="text1"/>
          <w:sz w:val="22"/>
          <w:szCs w:val="22"/>
          <w14:textFill>
            <w14:solidFill>
              <w14:schemeClr w14:val="tx1"/>
            </w14:solidFill>
          </w14:textFill>
        </w:rPr>
        <w:tab/>
      </w:r>
      <w:r>
        <w:rPr>
          <w:rFonts w:ascii="Arial Narrow" w:hAnsi="Arial Narrow"/>
          <w:color w:val="000000" w:themeColor="text1"/>
          <w:sz w:val="22"/>
          <w:szCs w:val="22"/>
          <w14:textFill>
            <w14:solidFill>
              <w14:schemeClr w14:val="tx1"/>
            </w14:solidFill>
          </w14:textFill>
        </w:rPr>
        <w:t xml:space="preserve">suma najvyššej mzdy </w:t>
      </w:r>
      <w:r>
        <w:rPr>
          <w:rFonts w:ascii="Arial Narrow" w:hAnsi="Arial Narrow"/>
          <w:b/>
          <w:color w:val="000000" w:themeColor="text1"/>
          <w:sz w:val="22"/>
          <w:szCs w:val="22"/>
          <w14:textFill>
            <w14:solidFill>
              <w14:schemeClr w14:val="tx1"/>
            </w14:solidFill>
          </w14:textFill>
        </w:rPr>
        <w:t xml:space="preserve">prekročila / </w:t>
      </w:r>
      <w:r>
        <w:rPr>
          <w:rFonts w:ascii="Arial Narrow" w:hAnsi="Arial Narrow"/>
          <w:b/>
          <w:color w:val="000000" w:themeColor="text1"/>
          <w:sz w:val="22"/>
          <w:szCs w:val="22"/>
          <w:u w:val="single"/>
          <w14:textFill>
            <w14:solidFill>
              <w14:schemeClr w14:val="tx1"/>
            </w14:solidFill>
          </w14:textFill>
        </w:rPr>
        <w:t>neprekročila</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5-násobok sumy najnižšej mzdy</w:t>
      </w:r>
    </w:p>
    <w:p>
      <w:pPr>
        <w:pStyle w:val="14"/>
        <w:tabs>
          <w:tab w:val="left" w:pos="9781"/>
        </w:tabs>
        <w:ind w:left="1276" w:hanging="283"/>
        <w:jc w:val="both"/>
        <w:rPr>
          <w:rFonts w:ascii="Arial Narrow" w:hAnsi="Arial Narrow"/>
          <w:i/>
          <w:color w:val="000000" w:themeColor="text1"/>
          <w:sz w:val="22"/>
          <w:szCs w:val="22"/>
          <w14:textFill>
            <w14:solidFill>
              <w14:schemeClr w14:val="tx1"/>
            </w14:solidFill>
          </w14:textFill>
        </w:rPr>
      </w:pPr>
      <w:r>
        <w:rPr>
          <w:rFonts w:ascii="Arial Narrow" w:hAnsi="Arial Narrow"/>
          <w:i/>
          <w:color w:val="000000" w:themeColor="text1"/>
          <w:sz w:val="22"/>
          <w:szCs w:val="22"/>
          <w14:textFill>
            <w14:solidFill>
              <w14:schemeClr w14:val="tx1"/>
            </w14:solidFill>
          </w14:textFill>
        </w:rPr>
        <w:t>(podmienky musia byť dodržané kumulatívne)</w:t>
      </w:r>
    </w:p>
    <w:p>
      <w:pPr>
        <w:pStyle w:val="14"/>
        <w:tabs>
          <w:tab w:val="left" w:pos="9781"/>
        </w:tabs>
        <w:spacing w:before="60"/>
        <w:ind w:left="426"/>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 xml:space="preserve">RSP </w:t>
      </w:r>
      <w:r>
        <w:rPr>
          <w:rFonts w:ascii="Arial Narrow" w:hAnsi="Arial Narrow"/>
          <w:color w:val="000000" w:themeColor="text1"/>
          <w:sz w:val="22"/>
          <w:szCs w:val="22"/>
          <w14:textFill>
            <w14:solidFill>
              <w14:schemeClr w14:val="tx1"/>
            </w14:solidFill>
          </w14:textFill>
        </w:rPr>
        <w:t xml:space="preserve">vyhlasuje, že v období, za ktoré je zostavená účtovná závierka, </w:t>
      </w:r>
      <w:r>
        <w:rPr>
          <w:rFonts w:ascii="Arial Narrow" w:hAnsi="Arial Narrow"/>
          <w:b/>
          <w:color w:val="000000" w:themeColor="text1"/>
          <w:sz w:val="22"/>
          <w:szCs w:val="22"/>
          <w14:textFill>
            <w14:solidFill>
              <w14:schemeClr w14:val="tx1"/>
            </w14:solidFill>
          </w14:textFill>
        </w:rPr>
        <w:t xml:space="preserve">presiahol / </w:t>
      </w:r>
      <w:r>
        <w:rPr>
          <w:rFonts w:ascii="Arial Narrow" w:hAnsi="Arial Narrow"/>
          <w:b/>
          <w:color w:val="000000" w:themeColor="text1"/>
          <w:sz w:val="22"/>
          <w:szCs w:val="22"/>
          <w:u w:val="single"/>
          <w14:textFill>
            <w14:solidFill>
              <w14:schemeClr w14:val="tx1"/>
            </w14:solidFill>
          </w14:textFill>
        </w:rPr>
        <w:t>nepresiahol</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obvyklú cenu na trhu iných ako mzdových nákladov RSP (obvyklou cenou sa rozumie cena bežne používaná v mieste a čase  plnenia alebo spotreby, a to podľa druhu, kvality, resp. miery opotrebenia predmetného plnenia).</w:t>
      </w:r>
    </w:p>
    <w:p>
      <w:pPr>
        <w:pStyle w:val="14"/>
        <w:tabs>
          <w:tab w:val="left" w:pos="9781"/>
        </w:tabs>
        <w:spacing w:before="60"/>
        <w:ind w:left="426"/>
        <w:jc w:val="both"/>
        <w:rPr>
          <w:rFonts w:ascii="Arial Narrow" w:hAnsi="Arial Narrow"/>
          <w:i/>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 xml:space="preserve">RSP </w:t>
      </w:r>
      <w:r>
        <w:rPr>
          <w:rFonts w:ascii="Arial Narrow" w:hAnsi="Arial Narrow"/>
          <w:color w:val="000000" w:themeColor="text1"/>
          <w:sz w:val="22"/>
          <w:szCs w:val="22"/>
          <w14:textFill>
            <w14:solidFill>
              <w14:schemeClr w14:val="tx1"/>
            </w14:solidFill>
          </w14:textFill>
        </w:rPr>
        <w:t xml:space="preserve">vyhlasuje, že v období, za ktoré je zostavená účtovná závierka, </w:t>
      </w:r>
      <w:r>
        <w:rPr>
          <w:rFonts w:ascii="Arial Narrow" w:hAnsi="Arial Narrow"/>
          <w:b/>
          <w:color w:val="000000" w:themeColor="text1"/>
          <w:sz w:val="22"/>
          <w:szCs w:val="22"/>
          <w14:textFill>
            <w14:solidFill>
              <w14:schemeClr w14:val="tx1"/>
            </w14:solidFill>
          </w14:textFill>
        </w:rPr>
        <w:t xml:space="preserve">vyplácal / </w:t>
      </w:r>
      <w:r>
        <w:rPr>
          <w:rFonts w:ascii="Arial Narrow" w:hAnsi="Arial Narrow"/>
          <w:b/>
          <w:color w:val="000000" w:themeColor="text1"/>
          <w:sz w:val="22"/>
          <w:szCs w:val="22"/>
          <w:u w:val="single"/>
          <w14:textFill>
            <w14:solidFill>
              <w14:schemeClr w14:val="tx1"/>
            </w14:solidFill>
          </w14:textFill>
        </w:rPr>
        <w:t>nevypláca</w:t>
      </w:r>
      <w:r>
        <w:rPr>
          <w:rFonts w:ascii="Arial Narrow" w:hAnsi="Arial Narrow"/>
          <w:b/>
          <w:color w:val="000000" w:themeColor="text1"/>
          <w:sz w:val="22"/>
          <w:szCs w:val="22"/>
          <w14:textFill>
            <w14:solidFill>
              <w14:schemeClr w14:val="tx1"/>
            </w14:solidFill>
          </w14:textFill>
        </w:rPr>
        <w:t>l*</w:t>
      </w:r>
      <w:r>
        <w:rPr>
          <w:rFonts w:ascii="Arial Narrow" w:hAnsi="Arial Narrow"/>
          <w:color w:val="000000" w:themeColor="text1"/>
          <w:sz w:val="22"/>
          <w:szCs w:val="22"/>
          <w14:textFill>
            <w14:solidFill>
              <w14:schemeClr w14:val="tx1"/>
            </w14:solidFill>
          </w14:textFill>
        </w:rPr>
        <w:t xml:space="preserve"> mzdu najmenej v sume, ku ktorej sa zaviazal pri  poskytnutí podpory alebo verejných prostriedkov podľa osobitného predpisu </w:t>
      </w:r>
      <w:r>
        <w:rPr>
          <w:rFonts w:ascii="Arial Narrow" w:hAnsi="Arial Narrow"/>
          <w:i/>
          <w:color w:val="000000" w:themeColor="text1"/>
          <w:sz w:val="22"/>
          <w:szCs w:val="22"/>
          <w14:textFill>
            <w14:solidFill>
              <w14:schemeClr w14:val="tx1"/>
            </w14:solidFill>
          </w14:textFill>
        </w:rPr>
        <w:t>(napr. § 53 f a 53 g zákona č. 5/2004 Z. z. v znení zákona č. 112/2018 Z. z.)</w:t>
      </w:r>
    </w:p>
    <w:p>
      <w:pPr>
        <w:pStyle w:val="10"/>
        <w:numPr>
          <w:ilvl w:val="1"/>
          <w:numId w:val="1"/>
        </w:numPr>
        <w:tabs>
          <w:tab w:val="left" w:pos="9781"/>
        </w:tabs>
        <w:spacing w:before="12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daniach z príjmov,</w:t>
      </w:r>
    </w:p>
    <w:p>
      <w:pPr>
        <w:pStyle w:val="10"/>
        <w:tabs>
          <w:tab w:val="left" w:pos="9781"/>
        </w:tabs>
        <w:spacing w:before="2" w:line="252" w:lineRule="exact"/>
        <w:ind w:left="426" w:firstLine="0"/>
        <w:jc w:val="both"/>
        <w:rPr>
          <w:color w:val="000000" w:themeColor="text1"/>
          <w14:textFill>
            <w14:solidFill>
              <w14:schemeClr w14:val="tx1"/>
            </w14:solidFill>
          </w14:textFill>
        </w:rPr>
      </w:pPr>
      <w:r>
        <w:rPr>
          <w:b/>
          <w:color w:val="000000" w:themeColor="text1"/>
          <w14:textFill>
            <w14:solidFill>
              <w14:schemeClr w14:val="tx1"/>
            </w14:solidFill>
          </w14:textFill>
        </w:rPr>
        <w:t>RSP</w:t>
      </w:r>
      <w:r>
        <w:rPr>
          <w:color w:val="000000" w:themeColor="text1"/>
          <w14:textFill>
            <w14:solidFill>
              <w14:schemeClr w14:val="tx1"/>
            </w14:solidFill>
          </w14:textFill>
        </w:rPr>
        <w:t xml:space="preserve"> vyhlasuje, že </w:t>
      </w:r>
      <w:r>
        <w:rPr>
          <w:b/>
          <w:color w:val="000000" w:themeColor="text1"/>
          <w14:textFill>
            <w14:solidFill>
              <w14:schemeClr w14:val="tx1"/>
            </w14:solidFill>
          </w14:textFill>
        </w:rPr>
        <w:t>využil</w:t>
      </w:r>
      <w:r>
        <w:rPr>
          <w:color w:val="000000" w:themeColor="text1"/>
          <w14:textFill>
            <w14:solidFill>
              <w14:schemeClr w14:val="tx1"/>
            </w14:solidFill>
          </w14:textFill>
        </w:rPr>
        <w:t xml:space="preserve"> </w:t>
      </w:r>
      <w:r>
        <w:rPr>
          <w:b/>
          <w:color w:val="000000" w:themeColor="text1"/>
          <w:u w:val="single"/>
          <w14:textFill>
            <w14:solidFill>
              <w14:schemeClr w14:val="tx1"/>
            </w14:solidFill>
          </w14:textFill>
        </w:rPr>
        <w:t>/ nevyužil</w:t>
      </w:r>
      <w:r>
        <w:rPr>
          <w:color w:val="000000" w:themeColor="text1"/>
          <w14:textFill>
            <w14:solidFill>
              <w14:schemeClr w14:val="tx1"/>
            </w14:solidFill>
          </w14:textFill>
        </w:rPr>
        <w:t xml:space="preserve">  úľavu na dani z príjmu v zmysle § 17 ods. 1 písm. g) zákona o SE. </w:t>
      </w:r>
    </w:p>
    <w:p>
      <w:pPr>
        <w:pStyle w:val="10"/>
        <w:tabs>
          <w:tab w:val="left" w:pos="9781"/>
        </w:tabs>
        <w:spacing w:before="2" w:line="252" w:lineRule="exact"/>
        <w:ind w:left="426" w:firstLine="0"/>
        <w:jc w:val="both"/>
        <w:rPr>
          <w:color w:val="000000" w:themeColor="text1"/>
          <w14:textFill>
            <w14:solidFill>
              <w14:schemeClr w14:val="tx1"/>
            </w14:solidFill>
          </w14:textFill>
        </w:rPr>
      </w:pPr>
      <w:r>
        <w:rPr>
          <w:color w:val="000000" w:themeColor="text1"/>
          <w14:textFill>
            <w14:solidFill>
              <w14:schemeClr w14:val="tx1"/>
            </w14:solidFill>
          </w14:textFill>
        </w:rPr>
        <w:t xml:space="preserve">V prípade, ak RSP využil úľavu na dani z príjmu, </w:t>
      </w:r>
      <w:r>
        <w:rPr>
          <w:b/>
          <w:color w:val="000000" w:themeColor="text1"/>
          <w14:textFill>
            <w14:solidFill>
              <w14:schemeClr w14:val="tx1"/>
            </w14:solidFill>
          </w14:textFill>
        </w:rPr>
        <w:t>využil ju v % výške ............--.........</w:t>
      </w:r>
      <w:r>
        <w:rPr>
          <w:color w:val="000000" w:themeColor="text1"/>
          <w14:textFill>
            <w14:solidFill>
              <w14:schemeClr w14:val="tx1"/>
            </w14:solidFill>
          </w14:textFill>
        </w:rPr>
        <w:t xml:space="preserve"> Úľavu na dani z príjmu použil </w:t>
      </w:r>
      <w:r>
        <w:rPr>
          <w:b/>
          <w:color w:val="000000" w:themeColor="text1"/>
          <w14:textFill>
            <w14:solidFill>
              <w14:schemeClr w14:val="tx1"/>
            </w14:solidFill>
          </w14:textFill>
        </w:rPr>
        <w:t>na</w:t>
      </w:r>
      <w:r>
        <w:rPr>
          <w:color w:val="000000" w:themeColor="text1"/>
          <w14:textFill>
            <w14:solidFill>
              <w14:schemeClr w14:val="tx1"/>
            </w14:solidFill>
          </w14:textFill>
        </w:rPr>
        <w:t>:</w:t>
      </w:r>
    </w:p>
    <w:p>
      <w:pPr>
        <w:pStyle w:val="10"/>
        <w:numPr>
          <w:ilvl w:val="0"/>
          <w:numId w:val="5"/>
        </w:numPr>
        <w:tabs>
          <w:tab w:val="left" w:pos="9781"/>
        </w:tabs>
        <w:spacing w:before="2" w:line="252" w:lineRule="exact"/>
        <w:ind w:left="1418" w:hanging="425"/>
        <w:jc w:val="both"/>
        <w:rPr>
          <w:color w:val="000000" w:themeColor="text1"/>
          <w14:textFill>
            <w14:solidFill>
              <w14:schemeClr w14:val="tx1"/>
            </w14:solidFill>
          </w14:textFill>
        </w:rPr>
      </w:pPr>
      <w:r>
        <w:rPr>
          <w:color w:val="000000" w:themeColor="text1"/>
          <w14:textFill>
            <w14:solidFill>
              <w14:schemeClr w14:val="tx1"/>
            </w14:solidFill>
          </w14:textFill>
        </w:rPr>
        <w:t xml:space="preserve">dosiahnutie hlavného cieľa </w:t>
      </w:r>
      <w:r>
        <w:rPr>
          <w:i/>
          <w:color w:val="000000" w:themeColor="text1"/>
          <w14:textFill>
            <w14:solidFill>
              <w14:schemeClr w14:val="tx1"/>
            </w14:solidFill>
          </w14:textFill>
        </w:rPr>
        <w:t>(podľa § 5 ods. 1 písm. b) zákona o SE)</w:t>
      </w:r>
      <w:r>
        <w:rPr>
          <w:color w:val="000000" w:themeColor="text1"/>
          <w14:textFill>
            <w14:solidFill>
              <w14:schemeClr w14:val="tx1"/>
            </w14:solidFill>
          </w14:textFill>
        </w:rPr>
        <w:t xml:space="preserve"> v období, za ktoré je zostavená účtovná závierka,</w:t>
      </w:r>
    </w:p>
    <w:p>
      <w:pPr>
        <w:pStyle w:val="10"/>
        <w:numPr>
          <w:ilvl w:val="0"/>
          <w:numId w:val="5"/>
        </w:numPr>
        <w:tabs>
          <w:tab w:val="left" w:pos="9781"/>
        </w:tabs>
        <w:spacing w:before="2" w:line="252" w:lineRule="exact"/>
        <w:ind w:left="1418" w:hanging="425"/>
        <w:jc w:val="both"/>
        <w:rPr>
          <w:color w:val="000000" w:themeColor="text1"/>
          <w14:textFill>
            <w14:solidFill>
              <w14:schemeClr w14:val="tx1"/>
            </w14:solidFill>
          </w14:textFill>
        </w:rPr>
      </w:pPr>
      <w:r>
        <w:rPr>
          <w:color w:val="000000" w:themeColor="text1"/>
          <w14:textFill>
            <w14:solidFill>
              <w14:schemeClr w14:val="tx1"/>
            </w14:solidFill>
          </w14:textFill>
        </w:rPr>
        <w:t xml:space="preserve">prevod peňažných prostriedkov vo výške kladného rozdielu medzi úľavou na dani a nákladmi na dosiahnutie hlavného cieľa </w:t>
      </w:r>
      <w:r>
        <w:rPr>
          <w:i/>
          <w:color w:val="000000" w:themeColor="text1"/>
          <w14:textFill>
            <w14:solidFill>
              <w14:schemeClr w14:val="tx1"/>
            </w14:solidFill>
          </w14:textFill>
        </w:rPr>
        <w:t>(podľa § 5 ods. 1 písm. b) zákona o SE)</w:t>
      </w:r>
      <w:r>
        <w:rPr>
          <w:color w:val="000000" w:themeColor="text1"/>
          <w14:textFill>
            <w14:solidFill>
              <w14:schemeClr w14:val="tx1"/>
            </w14:solidFill>
          </w14:textFill>
        </w:rPr>
        <w:t xml:space="preserve"> podľa písmena a).</w:t>
      </w:r>
    </w:p>
    <w:p>
      <w:pPr>
        <w:pStyle w:val="10"/>
        <w:numPr>
          <w:ilvl w:val="1"/>
          <w:numId w:val="1"/>
        </w:numPr>
        <w:tabs>
          <w:tab w:val="left" w:pos="9781"/>
        </w:tabs>
        <w:spacing w:before="12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údajoch na podsúvahových účtoch,</w:t>
      </w:r>
    </w:p>
    <w:p>
      <w:pPr>
        <w:pStyle w:val="10"/>
        <w:numPr>
          <w:ilvl w:val="1"/>
          <w:numId w:val="1"/>
        </w:numPr>
        <w:tabs>
          <w:tab w:val="left" w:pos="9781"/>
        </w:tabs>
        <w:spacing w:before="12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iných aktívach a iných pasívach,</w:t>
      </w:r>
    </w:p>
    <w:p>
      <w:pPr>
        <w:pStyle w:val="10"/>
        <w:numPr>
          <w:ilvl w:val="1"/>
          <w:numId w:val="1"/>
        </w:numPr>
        <w:tabs>
          <w:tab w:val="left" w:pos="9781"/>
        </w:tabs>
        <w:spacing w:before="12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spriaznených osobách,</w:t>
      </w:r>
    </w:p>
    <w:p>
      <w:pPr>
        <w:pStyle w:val="10"/>
        <w:tabs>
          <w:tab w:val="left" w:pos="9781"/>
        </w:tabs>
        <w:spacing w:before="60" w:after="120"/>
        <w:ind w:left="438" w:firstLine="0"/>
        <w:jc w:val="both"/>
        <w:rPr>
          <w:b/>
          <w:color w:val="000000" w:themeColor="text1"/>
          <w14:textFill>
            <w14:solidFill>
              <w14:schemeClr w14:val="tx1"/>
            </w14:solidFill>
          </w14:textFill>
        </w:rPr>
      </w:pPr>
      <w:r>
        <w:rPr>
          <w:b/>
          <w:color w:val="000000" w:themeColor="text1"/>
          <w14:textFill>
            <w14:solidFill>
              <w14:schemeClr w14:val="tx1"/>
            </w14:solidFill>
          </w14:textFill>
        </w:rPr>
        <w:t xml:space="preserve">RSP odoberal / </w:t>
      </w:r>
      <w:r>
        <w:rPr>
          <w:b/>
          <w:color w:val="000000" w:themeColor="text1"/>
          <w:u w:val="single"/>
          <w14:textFill>
            <w14:solidFill>
              <w14:schemeClr w14:val="tx1"/>
            </w14:solidFill>
          </w14:textFill>
        </w:rPr>
        <w:t>neodoberal*</w:t>
      </w:r>
      <w:r>
        <w:rPr>
          <w:color w:val="000000" w:themeColor="text1"/>
          <w14:textFill>
            <w14:solidFill>
              <w14:schemeClr w14:val="tx1"/>
            </w14:solidFill>
          </w14:textFill>
        </w:rPr>
        <w:t xml:space="preserve"> v období, za ktoré je zostavená účtovná závierka, tovary alebo služby </w:t>
      </w:r>
      <w:r>
        <w:rPr>
          <w:color w:val="000000" w:themeColor="text1"/>
          <w:u w:val="single"/>
          <w14:textFill>
            <w14:solidFill>
              <w14:schemeClr w14:val="tx1"/>
            </w14:solidFill>
          </w14:textFill>
        </w:rPr>
        <w:t>od závislej osoby, ktorá nie je registrovaným sociálnym podnikom</w:t>
      </w:r>
      <w:r>
        <w:rPr>
          <w:color w:val="000000" w:themeColor="text1"/>
          <w14:textFill>
            <w14:solidFill>
              <w14:schemeClr w14:val="tx1"/>
            </w14:solidFill>
          </w14:textFill>
        </w:rPr>
        <w:t xml:space="preserve">. RSP zároveň vyhlasuje, že </w:t>
      </w:r>
      <w:r>
        <w:rPr>
          <w:b/>
          <w:color w:val="000000" w:themeColor="text1"/>
          <w14:textFill>
            <w14:solidFill>
              <w14:schemeClr w14:val="tx1"/>
            </w14:solidFill>
          </w14:textFill>
        </w:rPr>
        <w:t>spĺňa výnimku</w:t>
      </w:r>
      <w:r>
        <w:rPr>
          <w:color w:val="000000" w:themeColor="text1"/>
          <w14:textFill>
            <w14:solidFill>
              <w14:schemeClr w14:val="tx1"/>
            </w14:solidFill>
          </w14:textFill>
        </w:rPr>
        <w:t xml:space="preserve"> na odoberanie tovarov a služieb od závislej osoby, ktorá nie je RSP v zmysle §24 odsek 5, písmeno a / b / c1 / c2 / d* zákona o SE.</w:t>
      </w:r>
    </w:p>
    <w:p>
      <w:pPr>
        <w:pStyle w:val="10"/>
        <w:tabs>
          <w:tab w:val="left" w:pos="9781"/>
        </w:tabs>
        <w:spacing w:before="60"/>
        <w:ind w:left="425" w:firstLine="0"/>
        <w:jc w:val="both"/>
        <w:rPr>
          <w:b/>
          <w:color w:val="000000" w:themeColor="text1"/>
          <w14:textFill>
            <w14:solidFill>
              <w14:schemeClr w14:val="tx1"/>
            </w14:solidFill>
          </w14:textFill>
        </w:rPr>
      </w:pPr>
      <w:r>
        <w:rPr>
          <w:b/>
          <w:color w:val="000000" w:themeColor="text1"/>
          <w14:textFill>
            <w14:solidFill>
              <w14:schemeClr w14:val="tx1"/>
            </w14:solidFill>
          </w14:textFill>
        </w:rPr>
        <w:t xml:space="preserve">RSP dodával / </w:t>
      </w:r>
      <w:r>
        <w:rPr>
          <w:b/>
          <w:color w:val="000000" w:themeColor="text1"/>
          <w:u w:val="single"/>
          <w14:textFill>
            <w14:solidFill>
              <w14:schemeClr w14:val="tx1"/>
            </w14:solidFill>
          </w14:textFill>
        </w:rPr>
        <w:t>nedodával*</w:t>
      </w:r>
      <w:r>
        <w:rPr>
          <w:color w:val="000000" w:themeColor="text1"/>
          <w14:textFill>
            <w14:solidFill>
              <w14:schemeClr w14:val="tx1"/>
            </w14:solidFill>
          </w14:textFill>
        </w:rPr>
        <w:t xml:space="preserve"> v období, za ktoré je zostavená účtovná závierka, tovary alebo služby </w:t>
      </w:r>
      <w:r>
        <w:rPr>
          <w:color w:val="000000" w:themeColor="text1"/>
          <w:u w:val="single"/>
          <w14:textFill>
            <w14:solidFill>
              <w14:schemeClr w14:val="tx1"/>
            </w14:solidFill>
          </w14:textFill>
        </w:rPr>
        <w:t>závislej osobe, ktorá je právnickou osobou a nie je registrovaným sociálnym podnikom</w:t>
      </w:r>
      <w:r>
        <w:rPr>
          <w:color w:val="000000" w:themeColor="text1"/>
          <w14:textFill>
            <w14:solidFill>
              <w14:schemeClr w14:val="tx1"/>
            </w14:solidFill>
          </w14:textFill>
        </w:rPr>
        <w:t xml:space="preserve">. RSP zároveň vyhlasuje, že </w:t>
      </w:r>
      <w:r>
        <w:rPr>
          <w:b/>
          <w:color w:val="000000" w:themeColor="text1"/>
          <w14:textFill>
            <w14:solidFill>
              <w14:schemeClr w14:val="tx1"/>
            </w14:solidFill>
          </w14:textFill>
        </w:rPr>
        <w:t>spĺňa výnimku</w:t>
      </w:r>
      <w:r>
        <w:rPr>
          <w:color w:val="000000" w:themeColor="text1"/>
          <w14:textFill>
            <w14:solidFill>
              <w14:schemeClr w14:val="tx1"/>
            </w14:solidFill>
          </w14:textFill>
        </w:rPr>
        <w:t xml:space="preserve"> na dodávanie tovarov a služieb závislej osoby, ktorá je právnickou osobou a nie je RSP v zmysle §24 odsek 6, písmeno a / b / c1 / c2 / d* zákona o SE.</w:t>
      </w:r>
    </w:p>
    <w:p>
      <w:pPr>
        <w:pStyle w:val="14"/>
        <w:tabs>
          <w:tab w:val="left" w:pos="9781"/>
        </w:tabs>
        <w:spacing w:before="60"/>
        <w:ind w:left="425"/>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RSP</w:t>
      </w:r>
      <w:r>
        <w:rPr>
          <w:rFonts w:ascii="Arial Narrow" w:hAnsi="Arial Narrow"/>
          <w:color w:val="000000" w:themeColor="text1"/>
          <w:sz w:val="22"/>
          <w:szCs w:val="22"/>
          <w14:textFill>
            <w14:solidFill>
              <w14:schemeClr w14:val="tx1"/>
            </w14:solidFill>
          </w14:textFill>
        </w:rPr>
        <w:t xml:space="preserve"> </w:t>
      </w:r>
      <w:r>
        <w:rPr>
          <w:rFonts w:ascii="Arial Narrow" w:hAnsi="Arial Narrow"/>
          <w:b/>
          <w:color w:val="000000" w:themeColor="text1"/>
          <w:sz w:val="22"/>
          <w:szCs w:val="22"/>
          <w14:textFill>
            <w14:solidFill>
              <w14:schemeClr w14:val="tx1"/>
            </w14:solidFill>
          </w14:textFill>
        </w:rPr>
        <w:t xml:space="preserve">odoberal/ </w:t>
      </w:r>
      <w:r>
        <w:rPr>
          <w:rFonts w:ascii="Arial Narrow" w:hAnsi="Arial Narrow"/>
          <w:b/>
          <w:color w:val="000000" w:themeColor="text1"/>
          <w:sz w:val="22"/>
          <w:szCs w:val="22"/>
          <w:u w:val="single"/>
          <w14:textFill>
            <w14:solidFill>
              <w14:schemeClr w14:val="tx1"/>
            </w14:solidFill>
          </w14:textFill>
        </w:rPr>
        <w:t>neodoberal</w:t>
      </w:r>
      <w:r>
        <w:rPr>
          <w:rFonts w:ascii="Arial Narrow" w:hAnsi="Arial Narrow"/>
          <w:b/>
          <w:color w:val="000000" w:themeColor="text1"/>
          <w:sz w:val="22"/>
          <w:szCs w:val="22"/>
          <w14:textFill>
            <w14:solidFill>
              <w14:schemeClr w14:val="tx1"/>
            </w14:solidFill>
          </w14:textFill>
        </w:rPr>
        <w:t>*</w:t>
      </w:r>
      <w:r>
        <w:rPr>
          <w:rFonts w:ascii="Arial Narrow" w:hAnsi="Arial Narrow"/>
          <w:color w:val="000000" w:themeColor="text1"/>
          <w:sz w:val="22"/>
          <w:szCs w:val="22"/>
          <w14:textFill>
            <w14:solidFill>
              <w14:schemeClr w14:val="tx1"/>
            </w14:solidFill>
          </w14:textFill>
        </w:rPr>
        <w:t xml:space="preserve"> v období, za ktoré je zostavená účtovná závierka, tovary alebo služby </w:t>
      </w:r>
      <w:r>
        <w:rPr>
          <w:rFonts w:ascii="Arial Narrow" w:hAnsi="Arial Narrow"/>
          <w:color w:val="000000" w:themeColor="text1"/>
          <w:sz w:val="22"/>
          <w:szCs w:val="22"/>
          <w:u w:val="single"/>
          <w14:textFill>
            <w14:solidFill>
              <w14:schemeClr w14:val="tx1"/>
            </w14:solidFill>
          </w14:textFill>
        </w:rPr>
        <w:t>závislej osobe, ktorá je fyzickou osobou</w:t>
      </w:r>
      <w:r>
        <w:rPr>
          <w:rFonts w:ascii="Arial Narrow" w:hAnsi="Arial Narrow"/>
          <w:color w:val="000000" w:themeColor="text1"/>
          <w:sz w:val="22"/>
          <w:szCs w:val="22"/>
          <w14:textFill>
            <w14:solidFill>
              <w14:schemeClr w14:val="tx1"/>
            </w14:solidFill>
          </w14:textFill>
        </w:rPr>
        <w:t xml:space="preserve">. V prípade, ak dodával, celkové náklady na tieto tovary alebo služby v príslušnom kalendárnom roku dosiahli výšku ....... eur. Najvyššia mzda v RSP za rovnaké obdobie dosiahla výšku ...0,00.. eur. RSP </w:t>
      </w:r>
      <w:r>
        <w:rPr>
          <w:rFonts w:ascii="Arial Narrow" w:hAnsi="Arial Narrow"/>
          <w:b/>
          <w:color w:val="000000" w:themeColor="text1"/>
          <w:sz w:val="22"/>
          <w:szCs w:val="22"/>
          <w14:textFill>
            <w14:solidFill>
              <w14:schemeClr w14:val="tx1"/>
            </w14:solidFill>
          </w14:textFill>
        </w:rPr>
        <w:t>splnil / nesplnil*</w:t>
      </w:r>
      <w:r>
        <w:rPr>
          <w:rFonts w:ascii="Arial Narrow" w:hAnsi="Arial Narrow"/>
          <w:color w:val="000000" w:themeColor="text1"/>
          <w:sz w:val="22"/>
          <w:szCs w:val="22"/>
          <w14:textFill>
            <w14:solidFill>
              <w14:schemeClr w14:val="tx1"/>
            </w14:solidFill>
          </w14:textFill>
        </w:rPr>
        <w:t xml:space="preserve"> obmedzenie obchodovania v zmysle §24 odsek 7 zákona o SE.</w:t>
      </w:r>
    </w:p>
    <w:p>
      <w:pPr>
        <w:pStyle w:val="10"/>
        <w:tabs>
          <w:tab w:val="left" w:pos="9781"/>
        </w:tabs>
        <w:spacing w:before="120"/>
        <w:ind w:left="426" w:firstLine="0"/>
        <w:jc w:val="both"/>
        <w:rPr>
          <w:color w:val="000000" w:themeColor="text1"/>
          <w14:textFill>
            <w14:solidFill>
              <w14:schemeClr w14:val="tx1"/>
            </w14:solidFill>
          </w14:textFill>
        </w:rPr>
      </w:pPr>
      <w:r>
        <w:rPr>
          <w:b/>
          <w:color w:val="000000" w:themeColor="text1"/>
          <w14:textFill>
            <w14:solidFill>
              <w14:schemeClr w14:val="tx1"/>
            </w14:solidFill>
          </w14:textFill>
        </w:rPr>
        <w:t xml:space="preserve">RSP </w:t>
      </w:r>
      <w:r>
        <w:rPr>
          <w:color w:val="000000" w:themeColor="text1"/>
          <w14:textFill>
            <w14:solidFill>
              <w14:schemeClr w14:val="tx1"/>
            </w14:solidFill>
          </w14:textFill>
        </w:rPr>
        <w:t xml:space="preserve">si v období, za ktoré je zostavená účtovná závierka, </w:t>
      </w:r>
      <w:r>
        <w:rPr>
          <w:b/>
          <w:color w:val="000000" w:themeColor="text1"/>
          <w14:textFill>
            <w14:solidFill>
              <w14:schemeClr w14:val="tx1"/>
            </w14:solidFill>
          </w14:textFill>
        </w:rPr>
        <w:t xml:space="preserve">vzal / </w:t>
      </w:r>
      <w:r>
        <w:rPr>
          <w:b/>
          <w:color w:val="000000" w:themeColor="text1"/>
          <w:u w:val="single"/>
          <w14:textFill>
            <w14:solidFill>
              <w14:schemeClr w14:val="tx1"/>
            </w14:solidFill>
          </w14:textFill>
        </w:rPr>
        <w:t>nevzal</w:t>
      </w:r>
      <w:r>
        <w:rPr>
          <w:color w:val="000000" w:themeColor="text1"/>
          <w14:textFill>
            <w14:solidFill>
              <w14:schemeClr w14:val="tx1"/>
            </w14:solidFill>
          </w14:textFill>
        </w:rPr>
        <w:t xml:space="preserve">* </w:t>
      </w:r>
      <w:r>
        <w:rPr>
          <w:color w:val="000000" w:themeColor="text1"/>
          <w:u w:val="single"/>
          <w14:textFill>
            <w14:solidFill>
              <w14:schemeClr w14:val="tx1"/>
            </w14:solidFill>
          </w14:textFill>
        </w:rPr>
        <w:t>úver alebo pôžičku od závislej osoby</w:t>
      </w:r>
      <w:r>
        <w:rPr>
          <w:color w:val="000000" w:themeColor="text1"/>
          <w14:textFill>
            <w14:solidFill>
              <w14:schemeClr w14:val="tx1"/>
            </w14:solidFill>
          </w14:textFill>
        </w:rPr>
        <w:t xml:space="preserve">. Ak si RSP vzal úver alebo pôžičku od závislej osoby, </w:t>
      </w:r>
      <w:r>
        <w:rPr>
          <w:b/>
          <w:color w:val="000000" w:themeColor="text1"/>
          <w14:textFill>
            <w14:solidFill>
              <w14:schemeClr w14:val="tx1"/>
            </w14:solidFill>
          </w14:textFill>
        </w:rPr>
        <w:t>úrok</w:t>
      </w:r>
      <w:r>
        <w:rPr>
          <w:color w:val="000000" w:themeColor="text1"/>
          <w14:textFill>
            <w14:solidFill>
              <w14:schemeClr w14:val="tx1"/>
            </w14:solidFill>
          </w14:textFill>
        </w:rPr>
        <w:t xml:space="preserve"> z tohto úveru alebo pôžičky </w:t>
      </w:r>
      <w:r>
        <w:rPr>
          <w:b/>
          <w:color w:val="000000" w:themeColor="text1"/>
          <w14:textFill>
            <w14:solidFill>
              <w14:schemeClr w14:val="tx1"/>
            </w14:solidFill>
          </w14:textFill>
        </w:rPr>
        <w:t xml:space="preserve">presahuje / </w:t>
      </w:r>
      <w:r>
        <w:rPr>
          <w:b/>
          <w:color w:val="000000" w:themeColor="text1"/>
          <w:u w:val="single"/>
          <w14:textFill>
            <w14:solidFill>
              <w14:schemeClr w14:val="tx1"/>
            </w14:solidFill>
          </w14:textFill>
        </w:rPr>
        <w:t>nepresahuje</w:t>
      </w:r>
      <w:r>
        <w:rPr>
          <w:color w:val="000000" w:themeColor="text1"/>
          <w14:textFill>
            <w14:solidFill>
              <w14:schemeClr w14:val="tx1"/>
            </w14:solidFill>
          </w14:textFill>
        </w:rPr>
        <w:t>* základnú úrokovú sadzbu podľa osobitného predpisu.</w:t>
      </w:r>
    </w:p>
    <w:p>
      <w:pPr>
        <w:pStyle w:val="10"/>
        <w:numPr>
          <w:ilvl w:val="1"/>
          <w:numId w:val="1"/>
        </w:numPr>
        <w:tabs>
          <w:tab w:val="left" w:pos="9781"/>
        </w:tabs>
        <w:spacing w:before="12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skutočnostiach, ktoré nastali medzi dňom, ku ktorému sa zostavuje účtovná závierka a dňom jej zostavenia,</w:t>
      </w:r>
    </w:p>
    <w:p>
      <w:pPr>
        <w:pStyle w:val="10"/>
        <w:numPr>
          <w:ilvl w:val="1"/>
          <w:numId w:val="1"/>
        </w:numPr>
        <w:tabs>
          <w:tab w:val="left" w:pos="9781"/>
        </w:tabs>
        <w:spacing w:before="12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prehľade zmien vlastného imania,</w:t>
      </w:r>
    </w:p>
    <w:p>
      <w:pPr>
        <w:pStyle w:val="10"/>
        <w:numPr>
          <w:ilvl w:val="1"/>
          <w:numId w:val="1"/>
        </w:numPr>
        <w:tabs>
          <w:tab w:val="left" w:pos="9781"/>
        </w:tabs>
        <w:spacing w:before="120"/>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prehľade peňažných tokov.</w:t>
      </w:r>
    </w:p>
    <w:p>
      <w:pPr>
        <w:pStyle w:val="5"/>
        <w:tabs>
          <w:tab w:val="left" w:pos="9781"/>
        </w:tabs>
        <w:jc w:val="both"/>
        <w:rPr>
          <w:color w:val="000000" w:themeColor="text1"/>
          <w14:textFill>
            <w14:solidFill>
              <w14:schemeClr w14:val="tx1"/>
            </w14:solidFill>
          </w14:textFill>
        </w:rPr>
      </w:pPr>
    </w:p>
    <w:p>
      <w:pPr>
        <w:pStyle w:val="2"/>
        <w:numPr>
          <w:ilvl w:val="0"/>
          <w:numId w:val="1"/>
        </w:numPr>
        <w:tabs>
          <w:tab w:val="left" w:pos="9781"/>
        </w:tabs>
        <w:ind w:left="284"/>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časti o použitých účtovných zásadách a účtovných metódach sa uvádzajú informácie o</w:t>
      </w:r>
    </w:p>
    <w:p>
      <w:pPr>
        <w:pStyle w:val="5"/>
        <w:tabs>
          <w:tab w:val="left" w:pos="9781"/>
        </w:tabs>
        <w:spacing w:before="10"/>
        <w:jc w:val="both"/>
        <w:rPr>
          <w:b/>
          <w:color w:val="000000" w:themeColor="text1"/>
          <w:sz w:val="21"/>
          <w14:textFill>
            <w14:solidFill>
              <w14:schemeClr w14:val="tx1"/>
            </w14:solidFill>
          </w14:textFill>
        </w:rPr>
      </w:pPr>
    </w:p>
    <w:p>
      <w:pPr>
        <w:pStyle w:val="10"/>
        <w:numPr>
          <w:ilvl w:val="1"/>
          <w:numId w:val="1"/>
        </w:numPr>
        <w:tabs>
          <w:tab w:val="left" w:pos="9781"/>
        </w:tabs>
        <w:spacing w:before="1"/>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splnení predpokladu, že účtovná jednotka bude nepretržite pokračovať vo svojej</w:t>
      </w:r>
      <w:r>
        <w:rPr>
          <w:color w:val="000000" w:themeColor="text1"/>
          <w:spacing w:val="-18"/>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1"/>
          <w:numId w:val="1"/>
        </w:numPr>
        <w:tabs>
          <w:tab w:val="left" w:pos="9781"/>
        </w:tabs>
        <w:spacing w:before="1"/>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zmenách účtovných zásad a zmenách účtovných metód, s uvedením dôvodu ich uplatnenia a ich vplyvu na hodnotu majetku, záväzkov, vlastného imania a výsledku hospodárenia účtovnej jednotky,</w:t>
      </w:r>
    </w:p>
    <w:p>
      <w:pPr>
        <w:pStyle w:val="10"/>
        <w:numPr>
          <w:ilvl w:val="1"/>
          <w:numId w:val="1"/>
        </w:numPr>
        <w:tabs>
          <w:tab w:val="left" w:pos="9781"/>
        </w:tabs>
        <w:spacing w:before="1"/>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spôsobe oceňovania jednotlivých zložiek majetku a záväzkov v členení na</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dlhodobý nehmotný majetok obstaraný</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kúpou,</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dlhodobý nehmotný majetok obstaraný vlastnou</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činnosťou,</w:t>
      </w:r>
    </w:p>
    <w:p>
      <w:pPr>
        <w:pStyle w:val="10"/>
        <w:numPr>
          <w:ilvl w:val="2"/>
          <w:numId w:val="1"/>
        </w:numPr>
        <w:tabs>
          <w:tab w:val="left" w:pos="9781"/>
        </w:tabs>
        <w:spacing w:before="1"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dlhodobý nehmotný majetok obstaraný iným</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spôsobom,</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dlhodobý hmotný majetok obstaraný</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kúpou,</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dlhodobý hmotný majetok obstaraný vlastnou</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činnosťou,</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dlhodobý hmotný majetok obstaraný iným</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spôsobom,</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dlhodobý finančný</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majetok,</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zásoby obstarané</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kúpou,</w:t>
      </w:r>
    </w:p>
    <w:p>
      <w:pPr>
        <w:pStyle w:val="10"/>
        <w:numPr>
          <w:ilvl w:val="2"/>
          <w:numId w:val="1"/>
        </w:numPr>
        <w:tabs>
          <w:tab w:val="left" w:pos="9781"/>
        </w:tabs>
        <w:spacing w:before="2"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zásoby vytvorené vlastnou</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činnosťou,</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zásoby obstarané iným</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spôsobom,</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zákazkovú výrobu a zákazkovú výstavbu nehnuteľnosti určenej na</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predaj,</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pohľadávky,</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krátkodobý finančný</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majetok,</w:t>
      </w:r>
    </w:p>
    <w:p>
      <w:pPr>
        <w:pStyle w:val="10"/>
        <w:numPr>
          <w:ilvl w:val="2"/>
          <w:numId w:val="1"/>
        </w:numPr>
        <w:tabs>
          <w:tab w:val="left" w:pos="9781"/>
        </w:tabs>
        <w:spacing w:before="2"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časové rozlíšenie na strane aktív</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súvahy,</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záväzky, vrátane rezerv, dlhopisov, pôžičiek a</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úverov,</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časové rozlíšenie na strane pasív</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súvahy,</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deriváty,</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majetok a záväzky zabezpečené</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derivátmi,</w:t>
      </w:r>
    </w:p>
    <w:p>
      <w:pPr>
        <w:pStyle w:val="10"/>
        <w:numPr>
          <w:ilvl w:val="2"/>
          <w:numId w:val="1"/>
        </w:numPr>
        <w:tabs>
          <w:tab w:val="left" w:pos="9781"/>
        </w:tabs>
        <w:spacing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prenajatý majetok a majetok obstaraný na základe zmluvy o kúpe prenajatej</w:t>
      </w:r>
      <w:r>
        <w:rPr>
          <w:color w:val="000000" w:themeColor="text1"/>
          <w:spacing w:val="-24"/>
          <w14:textFill>
            <w14:solidFill>
              <w14:schemeClr w14:val="tx1"/>
            </w14:solidFill>
          </w14:textFill>
        </w:rPr>
        <w:t xml:space="preserve"> </w:t>
      </w:r>
      <w:r>
        <w:rPr>
          <w:color w:val="000000" w:themeColor="text1"/>
          <w14:textFill>
            <w14:solidFill>
              <w14:schemeClr w14:val="tx1"/>
            </w14:solidFill>
          </w14:textFill>
        </w:rPr>
        <w:t>veci,</w:t>
      </w:r>
    </w:p>
    <w:p>
      <w:pPr>
        <w:pStyle w:val="10"/>
        <w:numPr>
          <w:ilvl w:val="2"/>
          <w:numId w:val="1"/>
        </w:numPr>
        <w:tabs>
          <w:tab w:val="left" w:pos="9781"/>
        </w:tabs>
        <w:spacing w:before="3" w:line="252" w:lineRule="exact"/>
        <w:ind w:left="851" w:hanging="361"/>
        <w:jc w:val="both"/>
        <w:rPr>
          <w:color w:val="000000" w:themeColor="text1"/>
          <w14:textFill>
            <w14:solidFill>
              <w14:schemeClr w14:val="tx1"/>
            </w14:solidFill>
          </w14:textFill>
        </w:rPr>
      </w:pPr>
      <w:r>
        <w:rPr>
          <w:color w:val="000000" w:themeColor="text1"/>
          <w14:textFill>
            <w14:solidFill>
              <w14:schemeClr w14:val="tx1"/>
            </w14:solidFill>
          </w14:textFill>
        </w:rPr>
        <w:t>majetok obstaraný v</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privatizácii,</w:t>
      </w:r>
    </w:p>
    <w:p>
      <w:pPr>
        <w:pStyle w:val="10"/>
        <w:numPr>
          <w:ilvl w:val="2"/>
          <w:numId w:val="1"/>
        </w:numPr>
        <w:tabs>
          <w:tab w:val="left" w:pos="9781"/>
        </w:tabs>
        <w:spacing w:line="252" w:lineRule="exact"/>
        <w:ind w:left="851" w:right="9" w:hanging="361"/>
        <w:jc w:val="both"/>
        <w:rPr>
          <w:color w:val="000000" w:themeColor="text1"/>
          <w14:textFill>
            <w14:solidFill>
              <w14:schemeClr w14:val="tx1"/>
            </w14:solidFill>
          </w14:textFill>
        </w:rPr>
      </w:pPr>
      <w:r>
        <w:rPr>
          <w:color w:val="000000" w:themeColor="text1"/>
          <w14:textFill>
            <w14:solidFill>
              <w14:schemeClr w14:val="tx1"/>
            </w14:solidFill>
          </w14:textFill>
        </w:rPr>
        <w:t>daň z príjmov splatnú za bežné účtovné obdobie a za zdaňovacie obdobie (ďalej</w:t>
      </w:r>
      <w:r>
        <w:rPr>
          <w:color w:val="000000" w:themeColor="text1"/>
          <w:spacing w:val="22"/>
          <w14:textFill>
            <w14:solidFill>
              <w14:schemeClr w14:val="tx1"/>
            </w14:solidFill>
          </w14:textFill>
        </w:rPr>
        <w:t xml:space="preserve"> </w:t>
      </w:r>
      <w:r>
        <w:rPr>
          <w:color w:val="000000" w:themeColor="text1"/>
          <w14:textFill>
            <w14:solidFill>
              <w14:schemeClr w14:val="tx1"/>
            </w14:solidFill>
          </w14:textFill>
        </w:rPr>
        <w:t>len „splatná daň z príjmov“) a daň z príjmov odloženú do budúcich účtovných období a zdaňovacích období (ďalej len „odložená daň z</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príjmov“),</w:t>
      </w:r>
    </w:p>
    <w:p>
      <w:pPr>
        <w:pStyle w:val="10"/>
        <w:numPr>
          <w:ilvl w:val="1"/>
          <w:numId w:val="1"/>
        </w:numPr>
        <w:tabs>
          <w:tab w:val="left" w:pos="9781"/>
        </w:tabs>
        <w:spacing w:before="1"/>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tvorbe odpisového plánu pre dlhodobý majetok, pričom sa uvádza doba odpisovania, sadzby odpisov a odpisové metódy pre účtovné odpisy,</w:t>
      </w:r>
    </w:p>
    <w:p>
      <w:pPr>
        <w:pStyle w:val="10"/>
        <w:numPr>
          <w:ilvl w:val="1"/>
          <w:numId w:val="1"/>
        </w:numPr>
        <w:tabs>
          <w:tab w:val="left" w:pos="9781"/>
        </w:tabs>
        <w:spacing w:before="1"/>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dotáciách poskytnutých na obstaranie majetku s uvedením zložky majetku a ich ocenenia,</w:t>
      </w:r>
    </w:p>
    <w:p>
      <w:pPr>
        <w:pStyle w:val="10"/>
        <w:numPr>
          <w:ilvl w:val="1"/>
          <w:numId w:val="1"/>
        </w:numPr>
        <w:tabs>
          <w:tab w:val="left" w:pos="9781"/>
        </w:tabs>
        <w:spacing w:before="1"/>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pPr>
        <w:pStyle w:val="5"/>
        <w:tabs>
          <w:tab w:val="left" w:pos="9781"/>
        </w:tabs>
        <w:jc w:val="both"/>
        <w:rPr>
          <w:color w:val="000000" w:themeColor="text1"/>
          <w14:textFill>
            <w14:solidFill>
              <w14:schemeClr w14:val="tx1"/>
            </w14:solidFill>
          </w14:textFill>
        </w:rPr>
      </w:pPr>
    </w:p>
    <w:p>
      <w:pPr>
        <w:pStyle w:val="2"/>
        <w:numPr>
          <w:ilvl w:val="0"/>
          <w:numId w:val="1"/>
        </w:numPr>
        <w:tabs>
          <w:tab w:val="left" w:pos="9781"/>
        </w:tabs>
        <w:ind w:left="284"/>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časti o údajoch vykázaných na  strane aktív súvahy sa uvádzajú informácie o</w:t>
      </w:r>
    </w:p>
    <w:p>
      <w:pPr>
        <w:pStyle w:val="5"/>
        <w:tabs>
          <w:tab w:val="left" w:pos="9781"/>
        </w:tabs>
        <w:spacing w:before="11"/>
        <w:jc w:val="both"/>
        <w:rPr>
          <w:b/>
          <w:color w:val="000000" w:themeColor="text1"/>
          <w:sz w:val="21"/>
          <w14:textFill>
            <w14:solidFill>
              <w14:schemeClr w14:val="tx1"/>
            </w14:solidFill>
          </w14:textFill>
        </w:rPr>
      </w:pP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dlhodobom nehmotnom majetku a dlhodobom hmotnom majetku za bežné účtovné obdobie, a</w:t>
      </w:r>
      <w:r>
        <w:rPr>
          <w:color w:val="000000" w:themeColor="text1"/>
          <w:spacing w:val="-21"/>
          <w14:textFill>
            <w14:solidFill>
              <w14:schemeClr w14:val="tx1"/>
            </w14:solidFill>
          </w14:textFill>
        </w:rPr>
        <w:t xml:space="preserve"> </w:t>
      </w:r>
      <w:r>
        <w:rPr>
          <w:color w:val="000000" w:themeColor="text1"/>
          <w14:textFill>
            <w14:solidFill>
              <w14:schemeClr w14:val="tx1"/>
            </w14:solidFill>
          </w14:textFill>
        </w:rPr>
        <w:t>to</w:t>
      </w:r>
    </w:p>
    <w:p>
      <w:pPr>
        <w:pStyle w:val="10"/>
        <w:numPr>
          <w:ilvl w:val="2"/>
          <w:numId w:val="1"/>
        </w:numPr>
        <w:tabs>
          <w:tab w:val="left" w:pos="9781"/>
        </w:tabs>
        <w:spacing w:before="2"/>
        <w:ind w:left="851" w:right="571" w:hanging="358"/>
        <w:jc w:val="both"/>
        <w:rPr>
          <w:color w:val="000000" w:themeColor="text1"/>
          <w14:textFill>
            <w14:solidFill>
              <w14:schemeClr w14:val="tx1"/>
            </w14:solidFill>
          </w14:textFill>
        </w:rPr>
      </w:pPr>
      <w:r>
        <w:rPr>
          <w:color w:val="000000" w:themeColor="text1"/>
          <w14:textFill>
            <w14:solidFill>
              <w14:schemeClr w14:val="tx1"/>
            </w14:solidFill>
          </w14:textFill>
        </w:rPr>
        <w:t>prehľad o pohybe dlhodobého majetku podľa zložiek tohto majetku v členení podľa jednotlivých položiek súvahy; uvádza sa ocenenie tohto majetku na začiatku</w:t>
      </w:r>
      <w:r>
        <w:rPr>
          <w:color w:val="000000" w:themeColor="text1"/>
          <w:spacing w:val="12"/>
          <w14:textFill>
            <w14:solidFill>
              <w14:schemeClr w14:val="tx1"/>
            </w14:solidFill>
          </w14:textFill>
        </w:rPr>
        <w:t xml:space="preserve"> </w:t>
      </w:r>
      <w:r>
        <w:rPr>
          <w:color w:val="000000" w:themeColor="text1"/>
          <w14:textFill>
            <w14:solidFill>
              <w14:schemeClr w14:val="tx1"/>
            </w14:solidFill>
          </w14:textFill>
        </w:rPr>
        <w:t>bežného</w:t>
      </w:r>
    </w:p>
    <w:p>
      <w:pPr>
        <w:pStyle w:val="5"/>
        <w:tabs>
          <w:tab w:val="left" w:pos="9781"/>
        </w:tabs>
        <w:spacing w:before="76"/>
        <w:ind w:left="851" w:right="571"/>
        <w:jc w:val="both"/>
        <w:rPr>
          <w:color w:val="000000" w:themeColor="text1"/>
          <w14:textFill>
            <w14:solidFill>
              <w14:schemeClr w14:val="tx1"/>
            </w14:solidFill>
          </w14:textFill>
        </w:rPr>
      </w:pPr>
      <w:r>
        <w:rPr>
          <w:color w:val="000000" w:themeColor="text1"/>
          <w14:textFill>
            <w14:solidFill>
              <w14:schemeClr w14:val="tx1"/>
            </w14:solidFill>
          </w14:textFill>
        </w:rPr>
        <w:t>účtovného obdobia, prírastky, úbytky a presuny tohto majetku a stav na konci bežného účtovného</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obdobia,</w:t>
      </w:r>
    </w:p>
    <w:p>
      <w:pPr>
        <w:pStyle w:val="10"/>
        <w:numPr>
          <w:ilvl w:val="2"/>
          <w:numId w:val="1"/>
        </w:numPr>
        <w:tabs>
          <w:tab w:val="left" w:pos="9781"/>
        </w:tabs>
        <w:ind w:left="851" w:right="572" w:hanging="358"/>
        <w:jc w:val="both"/>
        <w:rPr>
          <w:color w:val="000000" w:themeColor="text1"/>
          <w14:textFill>
            <w14:solidFill>
              <w14:schemeClr w14:val="tx1"/>
            </w14:solidFill>
          </w14:textFill>
        </w:rPr>
      </w:pPr>
      <w:r>
        <w:rPr>
          <w:color w:val="000000" w:themeColor="text1"/>
          <w14:textFill>
            <w14:solidFill>
              <w14:schemeClr w14:val="tx1"/>
            </w14:solidFill>
          </w14:textFill>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w:t>
      </w:r>
      <w:r>
        <w:rPr>
          <w:color w:val="000000" w:themeColor="text1"/>
          <w:spacing w:val="-14"/>
          <w14:textFill>
            <w14:solidFill>
              <w14:schemeClr w14:val="tx1"/>
            </w14:solidFill>
          </w14:textFill>
        </w:rPr>
        <w:t xml:space="preserve"> </w:t>
      </w:r>
      <w:r>
        <w:rPr>
          <w:color w:val="000000" w:themeColor="text1"/>
          <w14:textFill>
            <w14:solidFill>
              <w14:schemeClr w14:val="tx1"/>
            </w14:solidFill>
          </w14:textFill>
        </w:rPr>
        <w:t>obdobia,</w:t>
      </w:r>
    </w:p>
    <w:p>
      <w:pPr>
        <w:pStyle w:val="10"/>
        <w:numPr>
          <w:ilvl w:val="2"/>
          <w:numId w:val="1"/>
        </w:numPr>
        <w:tabs>
          <w:tab w:val="left" w:pos="9781"/>
        </w:tabs>
        <w:ind w:left="851" w:right="576" w:hanging="358"/>
        <w:jc w:val="both"/>
        <w:rPr>
          <w:color w:val="000000" w:themeColor="text1"/>
          <w14:textFill>
            <w14:solidFill>
              <w14:schemeClr w14:val="tx1"/>
            </w14:solidFill>
          </w14:textFill>
        </w:rPr>
      </w:pPr>
      <w:r>
        <w:rPr>
          <w:color w:val="000000" w:themeColor="text1"/>
          <w14:textFill>
            <w14:solidFill>
              <w14:schemeClr w14:val="tx1"/>
            </w14:solidFill>
          </w14:textFill>
        </w:rPr>
        <w:t>prehľad o zostatkových hodnotách dlhodobého majetku na začiatku účtovného obdobia a na konci účtovného</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obdobia,</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spôsobe a výške poistenia dlhodobého nehmotného majetku a dlhodobého hmotného majetku,</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dlhodobom nehmotnom majetku a dlhodobom hmotnom majetku, na ktorý je zriadené záložné právo a o dlhodobom majetku, pri ktorom má účtovná jednotka obmedzené právo s ním nakladať,</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dlhodobom majetku, pri ktorom vlastnícke právo nadobudol veriteľ zmluvou o zabezpečovacom prevode práva, ale ktorý užíva účtovná jednotka na základe zmluvy o výpožičke,</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majetku, ktorým je goodwill a o spôsobe výpočtu jeho hodnoty,</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údajoch, ktoré sa účtujú na účte 097 – Opravná položka k nadobudnutému majetku,</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výskumnej a vývojovej činnosti účtovnej jednotky za bežné účtovné obdobie a to v členení na</w:t>
      </w:r>
    </w:p>
    <w:p>
      <w:pPr>
        <w:pStyle w:val="10"/>
        <w:numPr>
          <w:ilvl w:val="2"/>
          <w:numId w:val="1"/>
        </w:numPr>
        <w:tabs>
          <w:tab w:val="left" w:pos="9781"/>
        </w:tabs>
        <w:spacing w:line="252" w:lineRule="exact"/>
        <w:ind w:left="851" w:hanging="359"/>
        <w:jc w:val="both"/>
        <w:rPr>
          <w:color w:val="000000" w:themeColor="text1"/>
          <w14:textFill>
            <w14:solidFill>
              <w14:schemeClr w14:val="tx1"/>
            </w14:solidFill>
          </w14:textFill>
        </w:rPr>
      </w:pPr>
      <w:r>
        <w:rPr>
          <w:color w:val="000000" w:themeColor="text1"/>
          <w14:textFill>
            <w14:solidFill>
              <w14:schemeClr w14:val="tx1"/>
            </w14:solidFill>
          </w14:textFill>
        </w:rPr>
        <w:t>náklady na výskum vynaložené v bežnom účtovnom</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období,</w:t>
      </w:r>
    </w:p>
    <w:p>
      <w:pPr>
        <w:pStyle w:val="10"/>
        <w:numPr>
          <w:ilvl w:val="2"/>
          <w:numId w:val="1"/>
        </w:numPr>
        <w:tabs>
          <w:tab w:val="left" w:pos="9781"/>
        </w:tabs>
        <w:spacing w:before="2" w:line="252" w:lineRule="exact"/>
        <w:ind w:left="851" w:hanging="359"/>
        <w:jc w:val="both"/>
        <w:rPr>
          <w:color w:val="000000" w:themeColor="text1"/>
          <w14:textFill>
            <w14:solidFill>
              <w14:schemeClr w14:val="tx1"/>
            </w14:solidFill>
          </w14:textFill>
        </w:rPr>
      </w:pPr>
      <w:r>
        <w:rPr>
          <w:color w:val="000000" w:themeColor="text1"/>
          <w14:textFill>
            <w14:solidFill>
              <w14:schemeClr w14:val="tx1"/>
            </w14:solidFill>
          </w14:textFill>
        </w:rPr>
        <w:t>neaktivované náklady na vývoj vynaložené v bežnom účtovnom</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období,</w:t>
      </w:r>
    </w:p>
    <w:p>
      <w:pPr>
        <w:pStyle w:val="10"/>
        <w:numPr>
          <w:ilvl w:val="2"/>
          <w:numId w:val="1"/>
        </w:numPr>
        <w:tabs>
          <w:tab w:val="left" w:pos="9781"/>
        </w:tabs>
        <w:spacing w:line="252" w:lineRule="exact"/>
        <w:ind w:left="851" w:hanging="359"/>
        <w:jc w:val="both"/>
        <w:rPr>
          <w:color w:val="000000" w:themeColor="text1"/>
          <w14:textFill>
            <w14:solidFill>
              <w14:schemeClr w14:val="tx1"/>
            </w14:solidFill>
          </w14:textFill>
        </w:rPr>
      </w:pPr>
      <w:r>
        <w:rPr>
          <w:color w:val="000000" w:themeColor="text1"/>
          <w14:textFill>
            <w14:solidFill>
              <w14:schemeClr w14:val="tx1"/>
            </w14:solidFill>
          </w14:textFill>
        </w:rPr>
        <w:t>aktivované náklady na vývoj vynaložené v bežnom účtovnom</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období,</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zmenách v jednotlivých zložkách dlhodobého finančného majetku,</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dlhodobom finančnom majetku, na ktorý je zriadené záložné právo a o dlhodobom majetku, pri ktorom má účtovná jednotka obmedzené právo s ním nakladať,</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ocenení dlhodobého finančného majetku ku dňu, ku ktorému sa zostavuje účtovná závierka reálnou hodnotou alebo metódou vlastného imania, pričom sa uvádza vplyv takéhoto ocenenia na výsledok hospodárenia a na výšku vlastného imania,</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zásobách, na ktoré je zriadené záložné právo a zásobách, pri ktorých má účtovná jednotka obmedzené právo s nimi nakladať,</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zákazkovej výrobe a zákazkovej výstavbe nehnuteľnosti určenej na predaj, a to v členení na</w:t>
      </w:r>
    </w:p>
    <w:p>
      <w:pPr>
        <w:pStyle w:val="10"/>
        <w:numPr>
          <w:ilvl w:val="2"/>
          <w:numId w:val="1"/>
        </w:numPr>
        <w:tabs>
          <w:tab w:val="left" w:pos="851"/>
          <w:tab w:val="left" w:pos="9781"/>
        </w:tabs>
        <w:spacing w:line="252" w:lineRule="exact"/>
        <w:ind w:left="851" w:hanging="359"/>
        <w:jc w:val="both"/>
        <w:rPr>
          <w:color w:val="000000" w:themeColor="text1"/>
          <w14:textFill>
            <w14:solidFill>
              <w14:schemeClr w14:val="tx1"/>
            </w14:solidFill>
          </w14:textFill>
        </w:rPr>
      </w:pPr>
      <w:r>
        <w:rPr>
          <w:color w:val="000000" w:themeColor="text1"/>
          <w14:textFill>
            <w14:solidFill>
              <w14:schemeClr w14:val="tx1"/>
            </w14:solidFill>
          </w14:textFill>
        </w:rPr>
        <w:t>všeobecné údaje, pričom sa</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uvádza</w:t>
      </w:r>
    </w:p>
    <w:p>
      <w:pPr>
        <w:pStyle w:val="5"/>
        <w:tabs>
          <w:tab w:val="left" w:pos="9781"/>
        </w:tabs>
        <w:spacing w:before="2"/>
        <w:ind w:left="1134" w:right="572" w:hanging="312"/>
        <w:jc w:val="both"/>
        <w:rPr>
          <w:color w:val="000000" w:themeColor="text1"/>
          <w14:textFill>
            <w14:solidFill>
              <w14:schemeClr w14:val="tx1"/>
            </w14:solidFill>
          </w14:textFill>
        </w:rPr>
      </w:pPr>
      <w:r>
        <w:rPr>
          <w:color w:val="000000" w:themeColor="text1"/>
          <w14:textFill>
            <w14:solidFill>
              <w14:schemeClr w14:val="tx1"/>
            </w14:solidFill>
          </w14:textFill>
        </w:rPr>
        <w:t>1a. hodnota tej časti celkových výnosov zo zákazkovej výroby a zákazkovej výstavby nehnuteľnosti určenej na predaj, ktorá bola v bežnom účtovnom období vykázaná vo výnosoch,</w:t>
      </w:r>
    </w:p>
    <w:p>
      <w:pPr>
        <w:pStyle w:val="5"/>
        <w:tabs>
          <w:tab w:val="left" w:pos="9781"/>
        </w:tabs>
        <w:ind w:left="1134" w:right="571" w:hanging="312"/>
        <w:jc w:val="both"/>
        <w:rPr>
          <w:color w:val="000000" w:themeColor="text1"/>
          <w14:textFill>
            <w14:solidFill>
              <w14:schemeClr w14:val="tx1"/>
            </w14:solidFill>
          </w14:textFill>
        </w:rPr>
      </w:pPr>
      <w:r>
        <w:rPr>
          <w:color w:val="000000" w:themeColor="text1"/>
          <w14:textFill>
            <w14:solidFill>
              <w14:schemeClr w14:val="tx1"/>
            </w14:solidFill>
          </w14:textFill>
        </w:rPr>
        <w:t>1b. metóda určenia výnosov zo zákazkovej výroby a zákazkovej výstavby nehnuteľnosti určenej na predaj vykázaných v bežnom účtovnom období,</w:t>
      </w:r>
    </w:p>
    <w:p>
      <w:pPr>
        <w:pStyle w:val="5"/>
        <w:tabs>
          <w:tab w:val="left" w:pos="9781"/>
        </w:tabs>
        <w:ind w:left="1134" w:right="572" w:hanging="312"/>
        <w:jc w:val="both"/>
        <w:rPr>
          <w:color w:val="000000" w:themeColor="text1"/>
          <w14:textFill>
            <w14:solidFill>
              <w14:schemeClr w14:val="tx1"/>
            </w14:solidFill>
          </w14:textFill>
        </w:rPr>
      </w:pPr>
      <w:r>
        <w:rPr>
          <w:color w:val="000000" w:themeColor="text1"/>
          <w14:textFill>
            <w14:solidFill>
              <w14:schemeClr w14:val="tx1"/>
            </w14:solidFill>
          </w14:textFill>
        </w:rPr>
        <w:t>1c. metóda určenia stupňa dokončenia zákazkovej výroby a zákazkovej výstavby nehnuteľnosti určenej na predaj,</w:t>
      </w:r>
    </w:p>
    <w:p>
      <w:pPr>
        <w:pStyle w:val="5"/>
        <w:tabs>
          <w:tab w:val="left" w:pos="9781"/>
        </w:tabs>
        <w:ind w:left="1134" w:right="574" w:hanging="312"/>
        <w:jc w:val="both"/>
        <w:rPr>
          <w:color w:val="000000" w:themeColor="text1"/>
          <w14:textFill>
            <w14:solidFill>
              <w14:schemeClr w14:val="tx1"/>
            </w14:solidFill>
          </w14:textFill>
        </w:rPr>
      </w:pPr>
      <w:r>
        <w:rPr>
          <w:color w:val="000000" w:themeColor="text1"/>
          <w14:textFill>
            <w14:solidFill>
              <w14:schemeClr w14:val="tx1"/>
            </w14:solidFill>
          </w14:textFill>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w:t>
      </w:r>
      <w:r>
        <w:rPr>
          <w:color w:val="000000" w:themeColor="text1"/>
          <w:spacing w:val="-13"/>
          <w14:textFill>
            <w14:solidFill>
              <w14:schemeClr w14:val="tx1"/>
            </w14:solidFill>
          </w14:textFill>
        </w:rPr>
        <w:t xml:space="preserve"> </w:t>
      </w:r>
      <w:r>
        <w:rPr>
          <w:color w:val="000000" w:themeColor="text1"/>
          <w14:textFill>
            <w14:solidFill>
              <w14:schemeClr w14:val="tx1"/>
            </w14:solidFill>
          </w14:textFill>
        </w:rPr>
        <w:t>indikátorov:</w:t>
      </w:r>
    </w:p>
    <w:p>
      <w:pPr>
        <w:pStyle w:val="5"/>
        <w:tabs>
          <w:tab w:val="left" w:pos="9781"/>
        </w:tabs>
        <w:ind w:left="1560" w:right="851" w:hanging="426"/>
        <w:jc w:val="both"/>
        <w:rPr>
          <w:color w:val="000000" w:themeColor="text1"/>
          <w14:textFill>
            <w14:solidFill>
              <w14:schemeClr w14:val="tx1"/>
            </w14:solidFill>
          </w14:textFill>
        </w:rPr>
      </w:pPr>
      <w:r>
        <w:rPr>
          <w:color w:val="000000" w:themeColor="text1"/>
          <w14:textFill>
            <w14:solidFill>
              <w14:schemeClr w14:val="tx1"/>
            </w14:solidFill>
          </w14:textFill>
        </w:rPr>
        <w:t>1da. výstavba nehnuteľnosti určenej na predaj sa uskutočňuje na pozemku vo vlastníctve objednávateľa,</w:t>
      </w:r>
    </w:p>
    <w:p>
      <w:pPr>
        <w:pStyle w:val="5"/>
        <w:tabs>
          <w:tab w:val="left" w:pos="9781"/>
        </w:tabs>
        <w:ind w:left="1560" w:hanging="426"/>
        <w:jc w:val="both"/>
        <w:rPr>
          <w:color w:val="000000" w:themeColor="text1"/>
          <w14:textFill>
            <w14:solidFill>
              <w14:schemeClr w14:val="tx1"/>
            </w14:solidFill>
          </w14:textFill>
        </w:rPr>
      </w:pPr>
      <w:r>
        <w:rPr>
          <w:color w:val="000000" w:themeColor="text1"/>
          <w14:textFill>
            <w14:solidFill>
              <w14:schemeClr w14:val="tx1"/>
            </w14:solidFill>
          </w14:textFill>
        </w:rPr>
        <w:t>1db. objednávateľovi nevzniká nárok na odstúpenie od zmluvy s právom vrátenia peňažných prostriedkov,</w:t>
      </w:r>
    </w:p>
    <w:p>
      <w:pPr>
        <w:pStyle w:val="5"/>
        <w:tabs>
          <w:tab w:val="left" w:pos="9781"/>
        </w:tabs>
        <w:ind w:left="1560" w:hanging="426"/>
        <w:jc w:val="both"/>
        <w:rPr>
          <w:color w:val="000000" w:themeColor="text1"/>
          <w14:textFill>
            <w14:solidFill>
              <w14:schemeClr w14:val="tx1"/>
            </w14:solidFill>
          </w14:textFill>
        </w:rPr>
      </w:pPr>
      <w:r>
        <w:rPr>
          <w:color w:val="000000" w:themeColor="text1"/>
          <w14:textFill>
            <w14:solidFill>
              <w14:schemeClr w14:val="tx1"/>
            </w14:solidFill>
          </w14:textFill>
        </w:rPr>
        <w:t>1dc. pri nedokončení dohodnutej výstavby zhotoviteľom nehnuteľnosť zostáva objednávateľovi,</w:t>
      </w:r>
    </w:p>
    <w:p>
      <w:pPr>
        <w:pStyle w:val="5"/>
        <w:tabs>
          <w:tab w:val="left" w:pos="9781"/>
        </w:tabs>
        <w:ind w:left="1560" w:right="621" w:hanging="426"/>
        <w:jc w:val="both"/>
        <w:rPr>
          <w:color w:val="000000" w:themeColor="text1"/>
          <w14:textFill>
            <w14:solidFill>
              <w14:schemeClr w14:val="tx1"/>
            </w14:solidFill>
          </w14:textFill>
        </w:rPr>
      </w:pPr>
      <w:r>
        <w:rPr>
          <w:color w:val="000000" w:themeColor="text1"/>
          <w14:textFill>
            <w14:solidFill>
              <w14:schemeClr w14:val="tx1"/>
            </w14:solidFill>
          </w14:textFill>
        </w:rPr>
        <w:t>1dd. zmluva oprávňuje objednávateľa  zmeniť zhotoviteľa  s prípadnou  sankciou a nájsť si iného zhotoviteľa na dokončenie</w:t>
      </w:r>
      <w:r>
        <w:rPr>
          <w:color w:val="000000" w:themeColor="text1"/>
          <w:spacing w:val="-13"/>
          <w14:textFill>
            <w14:solidFill>
              <w14:schemeClr w14:val="tx1"/>
            </w14:solidFill>
          </w14:textFill>
        </w:rPr>
        <w:t xml:space="preserve"> </w:t>
      </w:r>
      <w:r>
        <w:rPr>
          <w:color w:val="000000" w:themeColor="text1"/>
          <w14:textFill>
            <w14:solidFill>
              <w14:schemeClr w14:val="tx1"/>
            </w14:solidFill>
          </w14:textFill>
        </w:rPr>
        <w:t>nehnuteľnosti,</w:t>
      </w:r>
    </w:p>
    <w:p>
      <w:pPr>
        <w:pStyle w:val="5"/>
        <w:tabs>
          <w:tab w:val="left" w:pos="9781"/>
        </w:tabs>
        <w:ind w:left="2265" w:right="572" w:hanging="312"/>
        <w:jc w:val="both"/>
        <w:rPr>
          <w:color w:val="000000" w:themeColor="text1"/>
          <w14:textFill>
            <w14:solidFill>
              <w14:schemeClr w14:val="tx1"/>
            </w14:solidFill>
          </w14:textFill>
        </w:rPr>
      </w:pPr>
    </w:p>
    <w:p>
      <w:pPr>
        <w:pStyle w:val="10"/>
        <w:numPr>
          <w:ilvl w:val="2"/>
          <w:numId w:val="1"/>
        </w:numPr>
        <w:tabs>
          <w:tab w:val="left" w:pos="851"/>
          <w:tab w:val="left" w:pos="9781"/>
        </w:tabs>
        <w:ind w:left="851" w:right="574" w:hanging="358"/>
        <w:jc w:val="both"/>
        <w:rPr>
          <w:color w:val="000000" w:themeColor="text1"/>
          <w14:textFill>
            <w14:solidFill>
              <w14:schemeClr w14:val="tx1"/>
            </w14:solidFill>
          </w14:textFill>
        </w:rPr>
      </w:pPr>
      <w:r>
        <w:rPr>
          <w:color w:val="000000" w:themeColor="text1"/>
          <w14:textFill>
            <w14:solidFill>
              <w14:schemeClr w14:val="tx1"/>
            </w14:solidFill>
          </w14:textFill>
        </w:rPr>
        <w:t>údaje o zákazkovej výrobe a zákazkovej výstavbe nehnuteľnosti určenej na predaj, ktoré ku dňu, ku ktorému sa zostavuje účtovná závierka, neboli ukončené, pričom sa</w:t>
      </w:r>
      <w:r>
        <w:rPr>
          <w:color w:val="000000" w:themeColor="text1"/>
          <w:spacing w:val="-30"/>
          <w14:textFill>
            <w14:solidFill>
              <w14:schemeClr w14:val="tx1"/>
            </w14:solidFill>
          </w14:textFill>
        </w:rPr>
        <w:t xml:space="preserve"> </w:t>
      </w:r>
      <w:r>
        <w:rPr>
          <w:color w:val="000000" w:themeColor="text1"/>
          <w14:textFill>
            <w14:solidFill>
              <w14:schemeClr w14:val="tx1"/>
            </w14:solidFill>
          </w14:textFill>
        </w:rPr>
        <w:t>uvádza</w:t>
      </w:r>
    </w:p>
    <w:p>
      <w:pPr>
        <w:pStyle w:val="5"/>
        <w:tabs>
          <w:tab w:val="left" w:pos="9781"/>
        </w:tabs>
        <w:ind w:left="1134" w:right="851" w:hanging="312"/>
        <w:jc w:val="both"/>
        <w:rPr>
          <w:color w:val="000000" w:themeColor="text1"/>
          <w14:textFill>
            <w14:solidFill>
              <w14:schemeClr w14:val="tx1"/>
            </w14:solidFill>
          </w14:textFill>
        </w:rPr>
      </w:pPr>
      <w:r>
        <w:rPr>
          <w:color w:val="000000" w:themeColor="text1"/>
          <w14:textFill>
            <w14:solidFill>
              <w14:schemeClr w14:val="tx1"/>
            </w14:solidFill>
          </w14:textFill>
        </w:rPr>
        <w:t>2a. celková suma vynaložených nákladov a vykázaných ziskov znížená  o  vykázané  straty ku dňu, ktorému sa zostavuje účtovná</w:t>
      </w:r>
      <w:r>
        <w:rPr>
          <w:color w:val="000000" w:themeColor="text1"/>
          <w:spacing w:val="-12"/>
          <w14:textFill>
            <w14:solidFill>
              <w14:schemeClr w14:val="tx1"/>
            </w14:solidFill>
          </w14:textFill>
        </w:rPr>
        <w:t xml:space="preserve"> </w:t>
      </w:r>
      <w:r>
        <w:rPr>
          <w:color w:val="000000" w:themeColor="text1"/>
          <w14:textFill>
            <w14:solidFill>
              <w14:schemeClr w14:val="tx1"/>
            </w14:solidFill>
          </w14:textFill>
        </w:rPr>
        <w:t>závierka,</w:t>
      </w:r>
    </w:p>
    <w:p>
      <w:pPr>
        <w:pStyle w:val="5"/>
        <w:tabs>
          <w:tab w:val="left" w:pos="9781"/>
        </w:tabs>
        <w:ind w:left="1134" w:right="5319" w:hanging="312"/>
        <w:jc w:val="both"/>
        <w:rPr>
          <w:color w:val="000000" w:themeColor="text1"/>
          <w14:textFill>
            <w14:solidFill>
              <w14:schemeClr w14:val="tx1"/>
            </w14:solidFill>
          </w14:textFill>
        </w:rPr>
      </w:pPr>
      <w:r>
        <w:rPr>
          <w:color w:val="000000" w:themeColor="text1"/>
          <w14:textFill>
            <w14:solidFill>
              <w14:schemeClr w14:val="tx1"/>
            </w14:solidFill>
          </w14:textFill>
        </w:rPr>
        <w:t>2b. suma prijatých preddavkov, 2c. suma zadržanej platby,</w:t>
      </w:r>
    </w:p>
    <w:p>
      <w:pPr>
        <w:pStyle w:val="5"/>
        <w:tabs>
          <w:tab w:val="left" w:pos="9781"/>
        </w:tabs>
        <w:ind w:left="2265" w:right="572" w:hanging="312"/>
        <w:jc w:val="both"/>
        <w:rPr>
          <w:color w:val="000000" w:themeColor="text1"/>
          <w14:textFill>
            <w14:solidFill>
              <w14:schemeClr w14:val="tx1"/>
            </w14:solidFill>
          </w14:textFill>
        </w:rPr>
      </w:pP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tvorbe, zúčtovaní opravných položiek k pohľadávkam v členení podľa jednotlivých položiek súvahy za bežné účtovné obdobie, pričom sa uvádza dôvod ich tvorby, zúčtovania,</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hodnote pohľadávok do lehoty splatnosti a po lehote splatnosti,</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hodnote pohľadávok zabezpečených záložným právom alebo inou formou zabezpečenia s uvedením formy zabezpečenia,</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hodnote pohľadávok, na ktoré sa zriadilo záložné právo a pohľadávok, pri ktorých má účtovná jednotka obmedzené právo s nimi nakladať,</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odloženej daňovej pohľadávke, pričom sa uvedie opis jej vzniku,</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významných zložkách krátkodobého finančného majetku,</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krátkodobom finančnom majetku, na ktorý bolo zriadené záložné právo a krátkodobom finančnom majetku, pri ktorom má účtovná jednotka obmedzené právo s nim nakladať,</w:t>
      </w:r>
    </w:p>
    <w:p>
      <w:pPr>
        <w:pStyle w:val="10"/>
        <w:numPr>
          <w:ilvl w:val="1"/>
          <w:numId w:val="1"/>
        </w:numPr>
        <w:tabs>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za) ocenení krátkodobého finančného majetku ku dňu, ku ktorému sa zostavuje účtovná závierka reálnou hodnotou, pričom sa uvádza vplyv takéhoto ocenenia na výsledok hospodárenia a na výšku vlastného imania,</w:t>
      </w:r>
    </w:p>
    <w:p>
      <w:pPr>
        <w:tabs>
          <w:tab w:val="left" w:pos="9781"/>
        </w:tabs>
        <w:ind w:left="426"/>
        <w:jc w:val="both"/>
        <w:rPr>
          <w:color w:val="000000" w:themeColor="text1"/>
          <w14:textFill>
            <w14:solidFill>
              <w14:schemeClr w14:val="tx1"/>
            </w14:solidFill>
          </w14:textFill>
        </w:rPr>
      </w:pPr>
      <w:r>
        <w:rPr>
          <w:color w:val="000000" w:themeColor="text1"/>
          <w14:textFill>
            <w14:solidFill>
              <w14:schemeClr w14:val="tx1"/>
            </w14:solidFill>
          </w14:textFill>
        </w:rPr>
        <w:t>zb) vlastných akciách, a to o</w:t>
      </w:r>
    </w:p>
    <w:p>
      <w:pPr>
        <w:pStyle w:val="10"/>
        <w:numPr>
          <w:ilvl w:val="2"/>
          <w:numId w:val="1"/>
        </w:numPr>
        <w:tabs>
          <w:tab w:val="left" w:pos="9781"/>
        </w:tabs>
        <w:spacing w:before="2" w:line="252" w:lineRule="exact"/>
        <w:ind w:left="1134" w:hanging="359"/>
        <w:jc w:val="both"/>
        <w:rPr>
          <w:b/>
          <w:color w:val="000000" w:themeColor="text1"/>
          <w14:textFill>
            <w14:solidFill>
              <w14:schemeClr w14:val="tx1"/>
            </w14:solidFill>
          </w14:textFill>
        </w:rPr>
      </w:pPr>
      <w:r>
        <w:rPr>
          <w:b/>
          <w:color w:val="000000" w:themeColor="text1"/>
          <w14:textFill>
            <w14:solidFill>
              <w14:schemeClr w14:val="tx1"/>
            </w14:solidFill>
          </w14:textFill>
        </w:rPr>
        <w:t>dôvode nadobudnutia vlastných akcií počas účtovného</w:t>
      </w:r>
      <w:r>
        <w:rPr>
          <w:b/>
          <w:color w:val="000000" w:themeColor="text1"/>
          <w:spacing w:val="-4"/>
          <w14:textFill>
            <w14:solidFill>
              <w14:schemeClr w14:val="tx1"/>
            </w14:solidFill>
          </w14:textFill>
        </w:rPr>
        <w:t xml:space="preserve"> </w:t>
      </w:r>
      <w:r>
        <w:rPr>
          <w:b/>
          <w:color w:val="000000" w:themeColor="text1"/>
          <w14:textFill>
            <w14:solidFill>
              <w14:schemeClr w14:val="tx1"/>
            </w14:solidFill>
          </w14:textFill>
        </w:rPr>
        <w:t>obdobia,</w:t>
      </w:r>
    </w:p>
    <w:p>
      <w:pPr>
        <w:pStyle w:val="2"/>
        <w:numPr>
          <w:ilvl w:val="2"/>
          <w:numId w:val="1"/>
        </w:numPr>
        <w:tabs>
          <w:tab w:val="left" w:pos="9781"/>
        </w:tabs>
        <w:ind w:left="1134" w:right="572" w:hanging="359"/>
        <w:jc w:val="both"/>
        <w:rPr>
          <w:color w:val="000000" w:themeColor="text1"/>
          <w14:textFill>
            <w14:solidFill>
              <w14:schemeClr w14:val="tx1"/>
            </w14:solidFill>
          </w14:textFill>
        </w:rPr>
      </w:pPr>
      <w:r>
        <w:rPr>
          <w:color w:val="000000" w:themeColor="text1"/>
          <w14:textFill>
            <w14:solidFill>
              <w14:schemeClr w14:val="tx1"/>
            </w14:solidFill>
          </w14:textFill>
        </w:rPr>
        <w:t>počte a menovitej hodnote nadobudnutých vlastných akcií počas účtovného obdobia a o počte a menovitej hodnote prevedených vlastných akcií počas účtovného obdobia, pričom sa uvádza percentuálna hodnota týchto vlastných akcií na upísanom základnom</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imaní,</w:t>
      </w:r>
    </w:p>
    <w:p>
      <w:pPr>
        <w:pStyle w:val="10"/>
        <w:numPr>
          <w:ilvl w:val="2"/>
          <w:numId w:val="1"/>
        </w:numPr>
        <w:tabs>
          <w:tab w:val="left" w:pos="9781"/>
        </w:tabs>
        <w:ind w:left="1134" w:right="569" w:hanging="359"/>
        <w:jc w:val="both"/>
        <w:rPr>
          <w:b/>
          <w:color w:val="000000" w:themeColor="text1"/>
          <w14:textFill>
            <w14:solidFill>
              <w14:schemeClr w14:val="tx1"/>
            </w14:solidFill>
          </w14:textFill>
        </w:rPr>
      </w:pPr>
      <w:r>
        <w:rPr>
          <w:b/>
          <w:color w:val="000000" w:themeColor="text1"/>
          <w14:textFill>
            <w14:solidFill>
              <w14:schemeClr w14:val="tx1"/>
            </w14:solidFill>
          </w14:textFill>
        </w:rPr>
        <w:t>počte a hodnote, za ktorú sa vlastné akcie počas účtovného obdobia nadobudli a o počte a hodnote, za ktorú sa vlastné akcie počas účtovného obdobia previedli na inú osobu,</w:t>
      </w:r>
    </w:p>
    <w:p>
      <w:pPr>
        <w:pStyle w:val="2"/>
        <w:numPr>
          <w:ilvl w:val="2"/>
          <w:numId w:val="1"/>
        </w:numPr>
        <w:tabs>
          <w:tab w:val="left" w:pos="9781"/>
        </w:tabs>
        <w:ind w:left="1134" w:right="573" w:hanging="359"/>
        <w:jc w:val="both"/>
        <w:rPr>
          <w:color w:val="000000" w:themeColor="text1"/>
          <w14:textFill>
            <w14:solidFill>
              <w14:schemeClr w14:val="tx1"/>
            </w14:solidFill>
          </w14:textFill>
        </w:rPr>
      </w:pPr>
      <w:r>
        <w:rPr>
          <w:color w:val="000000" w:themeColor="text1"/>
          <w14:textFill>
            <w14:solidFill>
              <w14:schemeClr w14:val="tx1"/>
            </w14:solidFill>
          </w14:textFill>
        </w:rPr>
        <w:t>počte, menovitej hodnote a hodnote, za ktorú sa vlastné akcie nadobudli a ktoré účtovná jednotka má v držbe k poslednému dňu účtovného obdobia; uvádza sa aj ich percentuálny podiel na upísanom základnom</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imaní,</w:t>
      </w:r>
    </w:p>
    <w:p>
      <w:pPr>
        <w:pStyle w:val="5"/>
        <w:tabs>
          <w:tab w:val="left" w:pos="9781"/>
        </w:tabs>
        <w:ind w:left="709" w:right="878" w:hanging="282"/>
        <w:jc w:val="both"/>
        <w:rPr>
          <w:color w:val="000000" w:themeColor="text1"/>
          <w14:textFill>
            <w14:solidFill>
              <w14:schemeClr w14:val="tx1"/>
            </w14:solidFill>
          </w14:textFill>
        </w:rPr>
      </w:pPr>
      <w:r>
        <w:rPr>
          <w:color w:val="000000" w:themeColor="text1"/>
          <w14:textFill>
            <w14:solidFill>
              <w14:schemeClr w14:val="tx1"/>
            </w14:solidFill>
          </w14:textFill>
        </w:rPr>
        <w:t>zc) významných položkách časového rozlíšenia nákladov budúcich období a príjmov budúcich období, zd) majetku prenajatom formou finančného prenájmu v poznámkach prenajímateľa, a to</w:t>
      </w:r>
    </w:p>
    <w:p>
      <w:pPr>
        <w:pStyle w:val="10"/>
        <w:numPr>
          <w:ilvl w:val="0"/>
          <w:numId w:val="6"/>
        </w:numPr>
        <w:tabs>
          <w:tab w:val="left" w:pos="9781"/>
        </w:tabs>
        <w:ind w:left="1134" w:right="577"/>
        <w:jc w:val="both"/>
        <w:rPr>
          <w:color w:val="000000" w:themeColor="text1"/>
          <w14:textFill>
            <w14:solidFill>
              <w14:schemeClr w14:val="tx1"/>
            </w14:solidFill>
          </w14:textFill>
        </w:rPr>
      </w:pPr>
      <w:r>
        <w:rPr>
          <w:color w:val="000000" w:themeColor="text1"/>
          <w14:textFill>
            <w14:solidFill>
              <w14:schemeClr w14:val="tx1"/>
            </w14:solidFill>
          </w14:textFill>
        </w:rPr>
        <w:t>celková suma  dohodnutých platieb ku  dňu, ku ktorému sa  zostavuje účtovná  závierka    v členení na istinu u prenajímateľa a finančný</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výnos,</w:t>
      </w:r>
    </w:p>
    <w:p>
      <w:pPr>
        <w:pStyle w:val="10"/>
        <w:numPr>
          <w:ilvl w:val="0"/>
          <w:numId w:val="6"/>
        </w:numPr>
        <w:tabs>
          <w:tab w:val="left" w:pos="9781"/>
        </w:tabs>
        <w:ind w:left="1134" w:right="2173"/>
        <w:jc w:val="both"/>
        <w:rPr>
          <w:color w:val="000000" w:themeColor="text1"/>
          <w14:textFill>
            <w14:solidFill>
              <w14:schemeClr w14:val="tx1"/>
            </w14:solidFill>
          </w14:textFill>
        </w:rPr>
      </w:pPr>
      <w:r>
        <w:rPr>
          <w:color w:val="000000" w:themeColor="text1"/>
          <w14:textFill>
            <w14:solidFill>
              <w14:schemeClr w14:val="tx1"/>
            </w14:solidFill>
          </w14:textFill>
        </w:rPr>
        <w:t xml:space="preserve">suma istiny u prenajímateľa a finančného výnosu podľa doby splatnosti </w:t>
      </w:r>
    </w:p>
    <w:p>
      <w:pPr>
        <w:pStyle w:val="10"/>
        <w:tabs>
          <w:tab w:val="left" w:pos="9781"/>
        </w:tabs>
        <w:ind w:left="1134" w:right="2173" w:firstLine="0"/>
        <w:jc w:val="both"/>
        <w:rPr>
          <w:color w:val="000000" w:themeColor="text1"/>
          <w14:textFill>
            <w14:solidFill>
              <w14:schemeClr w14:val="tx1"/>
            </w14:solidFill>
          </w14:textFill>
        </w:rPr>
      </w:pPr>
      <w:r>
        <w:rPr>
          <w:color w:val="000000" w:themeColor="text1"/>
          <w14:textFill>
            <w14:solidFill>
              <w14:schemeClr w14:val="tx1"/>
            </w14:solidFill>
          </w14:textFill>
        </w:rPr>
        <w:t>2a. do jedného roka</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vrátane,</w:t>
      </w:r>
    </w:p>
    <w:p>
      <w:pPr>
        <w:pStyle w:val="10"/>
        <w:tabs>
          <w:tab w:val="left" w:pos="9781"/>
        </w:tabs>
        <w:ind w:left="1134" w:right="2173" w:firstLine="0"/>
        <w:jc w:val="both"/>
        <w:rPr>
          <w:color w:val="000000" w:themeColor="text1"/>
          <w14:textFill>
            <w14:solidFill>
              <w14:schemeClr w14:val="tx1"/>
            </w14:solidFill>
          </w14:textFill>
        </w:rPr>
      </w:pPr>
      <w:r>
        <w:rPr>
          <w:color w:val="000000" w:themeColor="text1"/>
          <w14:textFill>
            <w14:solidFill>
              <w14:schemeClr w14:val="tx1"/>
            </w14:solidFill>
          </w14:textFill>
        </w:rPr>
        <w:t>2b. od jedného roka do piatich rokov vrátane,</w:t>
      </w:r>
    </w:p>
    <w:p>
      <w:pPr>
        <w:pStyle w:val="10"/>
        <w:tabs>
          <w:tab w:val="left" w:pos="9781"/>
        </w:tabs>
        <w:ind w:left="1134" w:right="2173" w:firstLine="0"/>
        <w:jc w:val="both"/>
        <w:rPr>
          <w:color w:val="000000" w:themeColor="text1"/>
          <w14:textFill>
            <w14:solidFill>
              <w14:schemeClr w14:val="tx1"/>
            </w14:solidFill>
          </w14:textFill>
        </w:rPr>
      </w:pPr>
      <w:r>
        <w:rPr>
          <w:color w:val="000000" w:themeColor="text1"/>
          <w14:textFill>
            <w14:solidFill>
              <w14:schemeClr w14:val="tx1"/>
            </w14:solidFill>
          </w14:textFill>
        </w:rPr>
        <w:t>2c. viac ako päť rokov.</w:t>
      </w:r>
    </w:p>
    <w:p>
      <w:pPr>
        <w:pStyle w:val="5"/>
        <w:tabs>
          <w:tab w:val="left" w:pos="9781"/>
        </w:tabs>
        <w:spacing w:before="10"/>
        <w:jc w:val="both"/>
        <w:rPr>
          <w:color w:val="000000" w:themeColor="text1"/>
          <w:sz w:val="21"/>
          <w14:textFill>
            <w14:solidFill>
              <w14:schemeClr w14:val="tx1"/>
            </w14:solidFill>
          </w14:textFill>
        </w:rPr>
      </w:pPr>
    </w:p>
    <w:p>
      <w:pPr>
        <w:pStyle w:val="2"/>
        <w:numPr>
          <w:ilvl w:val="0"/>
          <w:numId w:val="1"/>
        </w:numPr>
        <w:tabs>
          <w:tab w:val="left" w:pos="9781"/>
        </w:tabs>
        <w:ind w:left="284"/>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časti o údajoch vykázaných na strane pasív súvahy sa uvádzajú informácie o</w:t>
      </w:r>
    </w:p>
    <w:p>
      <w:pPr>
        <w:pStyle w:val="5"/>
        <w:tabs>
          <w:tab w:val="left" w:pos="9781"/>
        </w:tabs>
        <w:spacing w:before="1"/>
        <w:jc w:val="both"/>
        <w:rPr>
          <w:b/>
          <w:color w:val="000000" w:themeColor="text1"/>
          <w14:textFill>
            <w14:solidFill>
              <w14:schemeClr w14:val="tx1"/>
            </w14:solidFill>
          </w14:textFill>
        </w:rPr>
      </w:pPr>
    </w:p>
    <w:p>
      <w:pPr>
        <w:pStyle w:val="10"/>
        <w:numPr>
          <w:ilvl w:val="1"/>
          <w:numId w:val="1"/>
        </w:numPr>
        <w:tabs>
          <w:tab w:val="left" w:pos="426"/>
          <w:tab w:val="left" w:pos="9781"/>
        </w:tabs>
        <w:spacing w:before="1"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vlastnom imaní za bežné účtovné obdobie, a</w:t>
      </w:r>
      <w:r>
        <w:rPr>
          <w:color w:val="000000" w:themeColor="text1"/>
          <w:spacing w:val="-12"/>
          <w14:textFill>
            <w14:solidFill>
              <w14:schemeClr w14:val="tx1"/>
            </w14:solidFill>
          </w14:textFill>
        </w:rPr>
        <w:t xml:space="preserve"> </w:t>
      </w:r>
      <w:r>
        <w:rPr>
          <w:color w:val="000000" w:themeColor="text1"/>
          <w14:textFill>
            <w14:solidFill>
              <w14:schemeClr w14:val="tx1"/>
            </w14:solidFill>
          </w14:textFill>
        </w:rPr>
        <w:t>to</w:t>
      </w:r>
    </w:p>
    <w:p>
      <w:pPr>
        <w:pStyle w:val="10"/>
        <w:numPr>
          <w:ilvl w:val="2"/>
          <w:numId w:val="1"/>
        </w:numPr>
        <w:tabs>
          <w:tab w:val="left" w:pos="851"/>
          <w:tab w:val="left" w:pos="9781"/>
        </w:tabs>
        <w:ind w:left="851" w:right="570" w:hanging="358"/>
        <w:jc w:val="both"/>
        <w:rPr>
          <w:color w:val="000000" w:themeColor="text1"/>
          <w14:textFill>
            <w14:solidFill>
              <w14:schemeClr w14:val="tx1"/>
            </w14:solidFill>
          </w14:textFill>
        </w:rPr>
      </w:pPr>
      <w:r>
        <w:rPr>
          <w:color w:val="000000" w:themeColor="text1"/>
          <w14:textFill>
            <w14:solidFill>
              <w14:schemeClr w14:val="tx1"/>
            </w14:solidFill>
          </w14:textFill>
        </w:rPr>
        <w:t>opis základného imania najmä počet akcií, hodnota akcií, práva spojené s jednotlivými druhmi akcií, splatené základné</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imanie,</w:t>
      </w:r>
    </w:p>
    <w:p>
      <w:pPr>
        <w:pStyle w:val="10"/>
        <w:numPr>
          <w:ilvl w:val="2"/>
          <w:numId w:val="1"/>
        </w:numPr>
        <w:tabs>
          <w:tab w:val="left" w:pos="851"/>
          <w:tab w:val="left" w:pos="9781"/>
        </w:tabs>
        <w:spacing w:line="251" w:lineRule="exact"/>
        <w:ind w:left="851" w:hanging="359"/>
        <w:jc w:val="both"/>
        <w:rPr>
          <w:color w:val="000000" w:themeColor="text1"/>
          <w14:textFill>
            <w14:solidFill>
              <w14:schemeClr w14:val="tx1"/>
            </w14:solidFill>
          </w14:textFill>
        </w:rPr>
      </w:pPr>
      <w:r>
        <w:rPr>
          <w:color w:val="000000" w:themeColor="text1"/>
          <w14:textFill>
            <w14:solidFill>
              <w14:schemeClr w14:val="tx1"/>
            </w14:solidFill>
          </w14:textFill>
        </w:rPr>
        <w:t>hodnota upísaného vlastného</w:t>
      </w:r>
      <w:r>
        <w:rPr>
          <w:color w:val="000000" w:themeColor="text1"/>
          <w:spacing w:val="-11"/>
          <w14:textFill>
            <w14:solidFill>
              <w14:schemeClr w14:val="tx1"/>
            </w14:solidFill>
          </w14:textFill>
        </w:rPr>
        <w:t xml:space="preserve"> </w:t>
      </w:r>
      <w:r>
        <w:rPr>
          <w:color w:val="000000" w:themeColor="text1"/>
          <w14:textFill>
            <w14:solidFill>
              <w14:schemeClr w14:val="tx1"/>
            </w14:solidFill>
          </w14:textFill>
        </w:rPr>
        <w:t>imania,</w:t>
      </w:r>
    </w:p>
    <w:p>
      <w:pPr>
        <w:pStyle w:val="10"/>
        <w:numPr>
          <w:ilvl w:val="2"/>
          <w:numId w:val="1"/>
        </w:numPr>
        <w:tabs>
          <w:tab w:val="left" w:pos="851"/>
          <w:tab w:val="left" w:pos="9781"/>
        </w:tabs>
        <w:ind w:left="851" w:right="571" w:hanging="358"/>
        <w:jc w:val="both"/>
        <w:rPr>
          <w:color w:val="000000" w:themeColor="text1"/>
          <w14:textFill>
            <w14:solidFill>
              <w14:schemeClr w14:val="tx1"/>
            </w14:solidFill>
          </w14:textFill>
        </w:rPr>
      </w:pPr>
      <w:r>
        <w:rPr>
          <w:color w:val="000000" w:themeColor="text1"/>
          <w14:textFill>
            <w14:solidFill>
              <w14:schemeClr w14:val="tx1"/>
            </w14:solidFill>
          </w14:textFill>
        </w:rPr>
        <w:t>rozdelenie účtovného zisku alebo vysporiadanie účtovnej straty vykázanej v predchádzajúcom účtovnom</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období,</w:t>
      </w:r>
    </w:p>
    <w:p>
      <w:pPr>
        <w:pStyle w:val="10"/>
        <w:tabs>
          <w:tab w:val="left" w:pos="9781"/>
        </w:tabs>
        <w:ind w:left="567" w:right="571" w:firstLine="0"/>
        <w:jc w:val="both"/>
        <w:rPr>
          <w:color w:val="000000" w:themeColor="text1"/>
          <w14:textFill>
            <w14:solidFill>
              <w14:schemeClr w14:val="tx1"/>
            </w14:solidFill>
          </w14:textFill>
        </w:rPr>
      </w:pPr>
      <w:r>
        <w:rPr>
          <w:b/>
          <w:color w:val="000000" w:themeColor="text1"/>
          <w14:textFill>
            <w14:solidFill>
              <w14:schemeClr w14:val="tx1"/>
            </w14:solidFill>
          </w14:textFill>
        </w:rPr>
        <w:t>RSP</w:t>
      </w:r>
      <w:r>
        <w:rPr>
          <w:color w:val="000000" w:themeColor="text1"/>
          <w14:textFill>
            <w14:solidFill>
              <w14:schemeClr w14:val="tx1"/>
            </w14:solidFill>
          </w14:textFill>
        </w:rPr>
        <w:t xml:space="preserve"> vyhlasuje, že v období, za ktoré je zostavená účtovná závierka, dosiahol zisk, z ktorého </w:t>
      </w:r>
      <w:r>
        <w:rPr>
          <w:b/>
          <w:color w:val="000000" w:themeColor="text1"/>
          <w14:textFill>
            <w14:solidFill>
              <w14:schemeClr w14:val="tx1"/>
            </w14:solidFill>
          </w14:textFill>
        </w:rPr>
        <w:t>.....0,00.... % po zdanení použil</w:t>
      </w:r>
      <w:r>
        <w:rPr>
          <w:color w:val="000000" w:themeColor="text1"/>
          <w14:textFill>
            <w14:solidFill>
              <w14:schemeClr w14:val="tx1"/>
            </w14:solidFill>
          </w14:textFill>
        </w:rPr>
        <w:t xml:space="preserve"> v zmysle základného dokumentu </w:t>
      </w:r>
      <w:r>
        <w:rPr>
          <w:color w:val="000000" w:themeColor="text1"/>
          <w:u w:val="single"/>
          <w14:textFill>
            <w14:solidFill>
              <w14:schemeClr w14:val="tx1"/>
            </w14:solidFill>
          </w14:textFill>
        </w:rPr>
        <w:t>nasledovne</w:t>
      </w:r>
      <w:r>
        <w:rPr>
          <w:color w:val="000000" w:themeColor="text1"/>
          <w14:textFill>
            <w14:solidFill>
              <w14:schemeClr w14:val="tx1"/>
            </w14:solidFill>
          </w14:textFill>
        </w:rPr>
        <w:t>:</w:t>
      </w:r>
    </w:p>
    <w:p>
      <w:pPr>
        <w:pStyle w:val="10"/>
        <w:numPr>
          <w:ilvl w:val="0"/>
          <w:numId w:val="7"/>
        </w:numPr>
        <w:tabs>
          <w:tab w:val="left" w:pos="9781"/>
        </w:tabs>
        <w:ind w:right="571"/>
        <w:jc w:val="both"/>
        <w:rPr>
          <w:color w:val="000000" w:themeColor="text1"/>
          <w14:textFill>
            <w14:solidFill>
              <w14:schemeClr w14:val="tx1"/>
            </w14:solidFill>
          </w14:textFill>
        </w:rPr>
      </w:pPr>
      <w:r>
        <w:rPr>
          <w:color w:val="000000" w:themeColor="text1"/>
          <w14:textFill>
            <w14:solidFill>
              <w14:schemeClr w14:val="tx1"/>
            </w14:solidFill>
          </w14:textFill>
        </w:rPr>
        <w:t xml:space="preserve">na plnenie daňových povinností a iných zákonných platieb, </w:t>
      </w:r>
    </w:p>
    <w:p>
      <w:pPr>
        <w:pStyle w:val="10"/>
        <w:numPr>
          <w:ilvl w:val="0"/>
          <w:numId w:val="7"/>
        </w:numPr>
        <w:tabs>
          <w:tab w:val="left" w:pos="9781"/>
        </w:tabs>
        <w:ind w:right="571"/>
        <w:jc w:val="both"/>
        <w:rPr>
          <w:color w:val="000000" w:themeColor="text1"/>
          <w14:textFill>
            <w14:solidFill>
              <w14:schemeClr w14:val="tx1"/>
            </w14:solidFill>
          </w14:textFill>
        </w:rPr>
      </w:pPr>
      <w:r>
        <w:rPr>
          <w:color w:val="000000" w:themeColor="text1"/>
          <w14:textFill>
            <w14:solidFill>
              <w14:schemeClr w14:val="tx1"/>
            </w14:solidFill>
          </w14:textFill>
        </w:rPr>
        <w:t>na doplnenie rezervného fondu,</w:t>
      </w:r>
    </w:p>
    <w:p>
      <w:pPr>
        <w:pStyle w:val="10"/>
        <w:numPr>
          <w:ilvl w:val="0"/>
          <w:numId w:val="7"/>
        </w:numPr>
        <w:tabs>
          <w:tab w:val="left" w:pos="9781"/>
        </w:tabs>
        <w:ind w:right="571"/>
        <w:jc w:val="both"/>
        <w:rPr>
          <w:color w:val="000000" w:themeColor="text1"/>
          <w14:textFill>
            <w14:solidFill>
              <w14:schemeClr w14:val="tx1"/>
            </w14:solidFill>
          </w14:textFill>
        </w:rPr>
      </w:pPr>
      <w:r>
        <w:rPr>
          <w:color w:val="000000" w:themeColor="text1"/>
          <w14:textFill>
            <w14:solidFill>
              <w14:schemeClr w14:val="tx1"/>
            </w14:solidFill>
          </w14:textFill>
        </w:rPr>
        <w:t xml:space="preserve">na uhradenie neuhradenej straty z minulých období do sumy daňovej straty </w:t>
      </w:r>
      <w:r>
        <w:rPr>
          <w:i/>
          <w:color w:val="000000" w:themeColor="text1"/>
          <w:sz w:val="20"/>
          <w14:textFill>
            <w14:solidFill>
              <w14:schemeClr w14:val="tx1"/>
            </w14:solidFill>
          </w14:textFill>
        </w:rPr>
        <w:t>(ak ide o registrovaný sociálny podnik, ktorý dosahuje merateľný pozitívny sociálny vplyv výlučne nehospodárskou činnosťou, môže týmto spôsobom použiť zisk najdlhšie počas piatich rokov odo dňa priznania štatútu registrovaného sociálneho podniku)</w:t>
      </w:r>
      <w:r>
        <w:rPr>
          <w:color w:val="000000" w:themeColor="text1"/>
          <w14:textFill>
            <w14:solidFill>
              <w14:schemeClr w14:val="tx1"/>
            </w14:solidFill>
          </w14:textFill>
        </w:rPr>
        <w:t xml:space="preserve">, </w:t>
      </w:r>
    </w:p>
    <w:p>
      <w:pPr>
        <w:pStyle w:val="10"/>
        <w:numPr>
          <w:ilvl w:val="0"/>
          <w:numId w:val="7"/>
        </w:numPr>
        <w:tabs>
          <w:tab w:val="left" w:pos="9781"/>
        </w:tabs>
        <w:ind w:right="571"/>
        <w:jc w:val="both"/>
        <w:rPr>
          <w:color w:val="000000" w:themeColor="text1"/>
          <w14:textFill>
            <w14:solidFill>
              <w14:schemeClr w14:val="tx1"/>
            </w14:solidFill>
          </w14:textFill>
        </w:rPr>
      </w:pPr>
      <w:r>
        <w:rPr>
          <w:color w:val="000000" w:themeColor="text1"/>
          <w14:textFill>
            <w14:solidFill>
              <w14:schemeClr w14:val="tx1"/>
            </w14:solidFill>
          </w14:textFill>
        </w:rPr>
        <w:t xml:space="preserve">na dosahovanie pozitívneho sociálneho vplyvu, a to konkrétne na ................................................. </w:t>
      </w:r>
    </w:p>
    <w:p>
      <w:pPr>
        <w:pStyle w:val="10"/>
        <w:numPr>
          <w:ilvl w:val="0"/>
          <w:numId w:val="7"/>
        </w:numPr>
        <w:tabs>
          <w:tab w:val="left" w:pos="9781"/>
        </w:tabs>
        <w:ind w:right="571"/>
        <w:jc w:val="both"/>
        <w:rPr>
          <w:color w:val="000000" w:themeColor="text1"/>
          <w14:textFill>
            <w14:solidFill>
              <w14:schemeClr w14:val="tx1"/>
            </w14:solidFill>
          </w14:textFill>
        </w:rPr>
      </w:pPr>
      <w:r>
        <w:rPr>
          <w:color w:val="000000" w:themeColor="text1"/>
          <w14:textFill>
            <w14:solidFill>
              <w14:schemeClr w14:val="tx1"/>
            </w14:solidFill>
          </w14:textFill>
        </w:rPr>
        <w:t xml:space="preserve">inak – </w:t>
      </w:r>
      <w:r>
        <w:rPr>
          <w:b/>
          <w:color w:val="000000" w:themeColor="text1"/>
          <w14:textFill>
            <w14:solidFill>
              <w14:schemeClr w14:val="tx1"/>
            </w14:solidFill>
          </w14:textFill>
        </w:rPr>
        <w:t>vyberte</w:t>
      </w:r>
      <w:r>
        <w:rPr>
          <w:color w:val="000000" w:themeColor="text1"/>
          <w14:textFill>
            <w14:solidFill>
              <w14:schemeClr w14:val="tx1"/>
            </w14:solidFill>
          </w14:textFill>
        </w:rPr>
        <w:t>:</w:t>
      </w:r>
    </w:p>
    <w:p>
      <w:pPr>
        <w:pStyle w:val="10"/>
        <w:numPr>
          <w:ilvl w:val="0"/>
          <w:numId w:val="8"/>
        </w:numPr>
        <w:tabs>
          <w:tab w:val="left" w:pos="851"/>
          <w:tab w:val="left" w:pos="9781"/>
        </w:tabs>
        <w:ind w:right="571"/>
        <w:jc w:val="both"/>
        <w:rPr>
          <w:color w:val="000000" w:themeColor="text1"/>
          <w14:textFill>
            <w14:solidFill>
              <w14:schemeClr w14:val="tx1"/>
            </w14:solidFill>
          </w14:textFill>
        </w:rPr>
      </w:pPr>
      <w:r>
        <w:rPr>
          <w:color w:val="000000" w:themeColor="text1"/>
          <w14:textFill>
            <w14:solidFill>
              <w14:schemeClr w14:val="tx1"/>
            </w14:solidFill>
          </w14:textFill>
        </w:rPr>
        <w:t xml:space="preserve">na investíciu účelovo určenú na dosiahnutie merateľného PSV </w:t>
      </w:r>
    </w:p>
    <w:p>
      <w:pPr>
        <w:pStyle w:val="10"/>
        <w:numPr>
          <w:ilvl w:val="0"/>
          <w:numId w:val="8"/>
        </w:numPr>
        <w:tabs>
          <w:tab w:val="left" w:pos="851"/>
          <w:tab w:val="left" w:pos="9781"/>
        </w:tabs>
        <w:ind w:right="571"/>
        <w:jc w:val="both"/>
        <w:rPr>
          <w:color w:val="000000" w:themeColor="text1"/>
          <w14:textFill>
            <w14:solidFill>
              <w14:schemeClr w14:val="tx1"/>
            </w14:solidFill>
          </w14:textFill>
        </w:rPr>
      </w:pPr>
      <w:r>
        <w:rPr>
          <w:color w:val="000000" w:themeColor="text1"/>
          <w14:textFill>
            <w14:solidFill>
              <w14:schemeClr w14:val="tx1"/>
            </w14:solidFill>
          </w14:textFill>
        </w:rPr>
        <w:t xml:space="preserve">prevedenie na osobitný účet v banke / pobočke zahraničnej banky na ich budúce použitie na dosiahnutie merateľného PSV </w:t>
      </w:r>
    </w:p>
    <w:p>
      <w:pPr>
        <w:pStyle w:val="10"/>
        <w:numPr>
          <w:ilvl w:val="0"/>
          <w:numId w:val="8"/>
        </w:numPr>
        <w:tabs>
          <w:tab w:val="left" w:pos="851"/>
          <w:tab w:val="left" w:pos="9781"/>
        </w:tabs>
        <w:ind w:right="571"/>
        <w:jc w:val="both"/>
        <w:rPr>
          <w:color w:val="000000" w:themeColor="text1"/>
          <w14:textFill>
            <w14:solidFill>
              <w14:schemeClr w14:val="tx1"/>
            </w14:solidFill>
          </w14:textFill>
        </w:rPr>
      </w:pPr>
      <w:r>
        <w:rPr>
          <w:color w:val="000000" w:themeColor="text1"/>
          <w14:textFill>
            <w14:solidFill>
              <w14:schemeClr w14:val="tx1"/>
            </w14:solidFill>
          </w14:textFill>
        </w:rPr>
        <w:t xml:space="preserve">vloženie do rezervného fondu / nedeliteľného fondu na ich budúce použitie na dosiahnutie merateľného PSV </w:t>
      </w:r>
    </w:p>
    <w:p>
      <w:pPr>
        <w:pStyle w:val="10"/>
        <w:tabs>
          <w:tab w:val="left" w:pos="9781"/>
        </w:tabs>
        <w:spacing w:before="60"/>
        <w:ind w:left="567" w:right="573" w:firstLine="0"/>
        <w:jc w:val="both"/>
        <w:rPr>
          <w:color w:val="000000" w:themeColor="text1"/>
          <w14:textFill>
            <w14:solidFill>
              <w14:schemeClr w14:val="tx1"/>
            </w14:solidFill>
          </w14:textFill>
        </w:rPr>
      </w:pPr>
      <w:r>
        <w:rPr>
          <w:b/>
          <w:color w:val="000000" w:themeColor="text1"/>
          <w14:textFill>
            <w14:solidFill>
              <w14:schemeClr w14:val="tx1"/>
            </w14:solidFill>
          </w14:textFill>
        </w:rPr>
        <w:t xml:space="preserve">Ak RSP </w:t>
      </w:r>
      <w:r>
        <w:rPr>
          <w:color w:val="000000" w:themeColor="text1"/>
          <w14:textFill>
            <w14:solidFill>
              <w14:schemeClr w14:val="tx1"/>
            </w14:solidFill>
          </w14:textFill>
        </w:rPr>
        <w:t xml:space="preserve">v zmysle základného dokumentu nereinvestuje 100 % zisku po zdanení, zvyšnú časť zisku vo výške </w:t>
      </w:r>
      <w:r>
        <w:rPr>
          <w:b/>
          <w:color w:val="000000" w:themeColor="text1"/>
          <w14:textFill>
            <w14:solidFill>
              <w14:schemeClr w14:val="tx1"/>
            </w14:solidFill>
          </w14:textFill>
        </w:rPr>
        <w:t xml:space="preserve">.....0,00....% </w:t>
      </w:r>
      <w:r>
        <w:rPr>
          <w:color w:val="000000" w:themeColor="text1"/>
          <w14:textFill>
            <w14:solidFill>
              <w14:schemeClr w14:val="tx1"/>
            </w14:solidFill>
          </w14:textFill>
        </w:rPr>
        <w:t xml:space="preserve"> </w:t>
      </w:r>
      <w:r>
        <w:rPr>
          <w:b/>
          <w:color w:val="000000" w:themeColor="text1"/>
          <w14:textFill>
            <w14:solidFill>
              <w14:schemeClr w14:val="tx1"/>
            </w14:solidFill>
          </w14:textFill>
        </w:rPr>
        <w:t>rozdelil / nerozdelil*</w:t>
      </w:r>
      <w:r>
        <w:rPr>
          <w:color w:val="000000" w:themeColor="text1"/>
          <w14:textFill>
            <w14:solidFill>
              <w14:schemeClr w14:val="tx1"/>
            </w14:solidFill>
          </w14:textFill>
        </w:rPr>
        <w:t xml:space="preserve"> podľa postupov a pravidiel, ktoré </w:t>
      </w:r>
      <w:r>
        <w:rPr>
          <w:color w:val="000000" w:themeColor="text1"/>
          <w:u w:val="single"/>
          <w14:textFill>
            <w14:solidFill>
              <w14:schemeClr w14:val="tx1"/>
            </w14:solidFill>
          </w14:textFill>
        </w:rPr>
        <w:t>nenarušili jeho hlavný cieľ</w:t>
      </w:r>
      <w:r>
        <w:rPr>
          <w:color w:val="000000" w:themeColor="text1"/>
          <w14:textFill>
            <w14:solidFill>
              <w14:schemeClr w14:val="tx1"/>
            </w14:solidFill>
          </w14:textFill>
        </w:rPr>
        <w:t>, t.j. dosahovanie pozitívneho sociálneho vplyvu.</w:t>
      </w:r>
    </w:p>
    <w:p>
      <w:pPr>
        <w:pStyle w:val="10"/>
        <w:numPr>
          <w:ilvl w:val="2"/>
          <w:numId w:val="1"/>
        </w:numPr>
        <w:tabs>
          <w:tab w:val="left" w:pos="851"/>
          <w:tab w:val="left" w:pos="9781"/>
        </w:tabs>
        <w:spacing w:before="120"/>
        <w:ind w:left="850" w:right="567" w:hanging="357"/>
        <w:jc w:val="both"/>
        <w:rPr>
          <w:color w:val="000000" w:themeColor="text1"/>
          <w14:textFill>
            <w14:solidFill>
              <w14:schemeClr w14:val="tx1"/>
            </w14:solidFill>
          </w14:textFill>
        </w:rPr>
      </w:pPr>
      <w:r>
        <w:rPr>
          <w:color w:val="000000" w:themeColor="text1"/>
          <w14:textFill>
            <w14:solidFill>
              <w14:schemeClr w14:val="tx1"/>
            </w14:solidFill>
          </w14:textFill>
        </w:rPr>
        <w:t>prehľad o zisku alebo strate, ktorá nebola účtovaná ako náklad alebo výnos, ale priamo na účty vlastného imania, najmä zmeny reálnej hodnoty majetku, zmeny hodnoty majetku pri použití metódy vlastného imania; uvádza sa aj súčet ziskov a</w:t>
      </w:r>
      <w:r>
        <w:rPr>
          <w:color w:val="000000" w:themeColor="text1"/>
          <w:spacing w:val="-15"/>
          <w14:textFill>
            <w14:solidFill>
              <w14:schemeClr w14:val="tx1"/>
            </w14:solidFill>
          </w14:textFill>
        </w:rPr>
        <w:t xml:space="preserve"> </w:t>
      </w:r>
      <w:r>
        <w:rPr>
          <w:color w:val="000000" w:themeColor="text1"/>
          <w14:textFill>
            <w14:solidFill>
              <w14:schemeClr w14:val="tx1"/>
            </w14:solidFill>
          </w14:textFill>
        </w:rPr>
        <w:t>strát,</w:t>
      </w:r>
    </w:p>
    <w:p>
      <w:pPr>
        <w:pStyle w:val="10"/>
        <w:numPr>
          <w:ilvl w:val="2"/>
          <w:numId w:val="1"/>
        </w:numPr>
        <w:tabs>
          <w:tab w:val="left" w:pos="851"/>
          <w:tab w:val="left" w:pos="9781"/>
        </w:tabs>
        <w:spacing w:before="1"/>
        <w:ind w:left="851" w:right="569" w:hanging="358"/>
        <w:jc w:val="both"/>
        <w:rPr>
          <w:color w:val="000000" w:themeColor="text1"/>
          <w14:textFill>
            <w14:solidFill>
              <w14:schemeClr w14:val="tx1"/>
            </w14:solidFill>
          </w14:textFill>
        </w:rPr>
      </w:pPr>
      <w:r>
        <w:rPr>
          <w:color w:val="000000" w:themeColor="text1"/>
          <w14:textFill>
            <w14:solidFill>
              <w14:schemeClr w14:val="tx1"/>
            </w14:solidFill>
          </w14:textFill>
        </w:rPr>
        <w:t>zisk na akciu alebo podiel na základnom imaní,</w:t>
      </w:r>
    </w:p>
    <w:p>
      <w:pPr>
        <w:tabs>
          <w:tab w:val="left" w:pos="9781"/>
        </w:tabs>
        <w:jc w:val="both"/>
        <w:rPr>
          <w:color w:val="000000" w:themeColor="text1"/>
          <w14:textFill>
            <w14:solidFill>
              <w14:schemeClr w14:val="tx1"/>
            </w14:solidFill>
          </w14:textFill>
        </w:rPr>
      </w:pPr>
    </w:p>
    <w:p>
      <w:pPr>
        <w:pStyle w:val="10"/>
        <w:numPr>
          <w:ilvl w:val="1"/>
          <w:numId w:val="1"/>
        </w:numPr>
        <w:tabs>
          <w:tab w:val="left" w:pos="426"/>
          <w:tab w:val="left" w:pos="9781"/>
        </w:tabs>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w:t>
      </w:r>
      <w:r>
        <w:rPr>
          <w:color w:val="000000" w:themeColor="text1"/>
          <w:spacing w:val="-16"/>
          <w14:textFill>
            <w14:solidFill>
              <w14:schemeClr w14:val="tx1"/>
            </w14:solidFill>
          </w14:textFill>
        </w:rPr>
        <w:t xml:space="preserve"> </w:t>
      </w:r>
      <w:r>
        <w:rPr>
          <w:color w:val="000000" w:themeColor="text1"/>
          <w14:textFill>
            <w14:solidFill>
              <w14:schemeClr w14:val="tx1"/>
            </w14:solidFill>
          </w14:textFill>
        </w:rPr>
        <w:t>rezerv,</w:t>
      </w:r>
    </w:p>
    <w:p>
      <w:pPr>
        <w:pStyle w:val="10"/>
        <w:numPr>
          <w:ilvl w:val="1"/>
          <w:numId w:val="1"/>
        </w:numPr>
        <w:tabs>
          <w:tab w:val="left" w:pos="426"/>
          <w:tab w:val="left" w:pos="9781"/>
        </w:tabs>
        <w:spacing w:before="1"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výške záväzkov do lehoty splatnosti a po lehote</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splatnosti,</w:t>
      </w:r>
    </w:p>
    <w:p>
      <w:pPr>
        <w:pStyle w:val="14"/>
        <w:tabs>
          <w:tab w:val="left" w:pos="9781"/>
        </w:tabs>
        <w:spacing w:before="60"/>
        <w:ind w:left="425"/>
        <w:jc w:val="both"/>
        <w:rPr>
          <w:rFonts w:ascii="Arial Narrow" w:hAnsi="Arial Narrow"/>
          <w:color w:val="000000" w:themeColor="text1"/>
          <w:sz w:val="22"/>
          <w:szCs w:val="22"/>
          <w14:textFill>
            <w14:solidFill>
              <w14:schemeClr w14:val="tx1"/>
            </w14:solidFill>
          </w14:textFill>
        </w:rPr>
      </w:pPr>
      <w:r>
        <w:rPr>
          <w:rFonts w:ascii="Arial Narrow" w:hAnsi="Arial Narrow"/>
          <w:b/>
          <w:color w:val="000000" w:themeColor="text1"/>
          <w:sz w:val="22"/>
          <w:szCs w:val="22"/>
          <w14:textFill>
            <w14:solidFill>
              <w14:schemeClr w14:val="tx1"/>
            </w14:solidFill>
          </w14:textFill>
        </w:rPr>
        <w:t>RSP</w:t>
      </w:r>
      <w:r>
        <w:rPr>
          <w:rFonts w:ascii="Arial Narrow" w:hAnsi="Arial Narrow"/>
          <w:color w:val="000000" w:themeColor="text1"/>
          <w:sz w:val="22"/>
          <w:szCs w:val="22"/>
          <w14:textFill>
            <w14:solidFill>
              <w14:schemeClr w14:val="tx1"/>
            </w14:solidFill>
          </w14:textFill>
        </w:rPr>
        <w:t xml:space="preserve"> vyhlasuje, že počas obdobia, za ktoré je zostavená účtovná závierka, </w:t>
      </w:r>
      <w:r>
        <w:rPr>
          <w:rFonts w:ascii="Arial Narrow" w:hAnsi="Arial Narrow"/>
          <w:b/>
          <w:color w:val="000000" w:themeColor="text1"/>
          <w:sz w:val="22"/>
          <w:szCs w:val="22"/>
          <w14:textFill>
            <w14:solidFill>
              <w14:schemeClr w14:val="tx1"/>
            </w14:solidFill>
          </w14:textFill>
        </w:rPr>
        <w:t xml:space="preserve">mal / </w:t>
      </w:r>
      <w:r>
        <w:rPr>
          <w:rFonts w:ascii="Arial Narrow" w:hAnsi="Arial Narrow"/>
          <w:b/>
          <w:color w:val="000000" w:themeColor="text1"/>
          <w:sz w:val="22"/>
          <w:szCs w:val="22"/>
          <w:u w:val="single"/>
          <w14:textFill>
            <w14:solidFill>
              <w14:schemeClr w14:val="tx1"/>
            </w14:solidFill>
          </w14:textFill>
        </w:rPr>
        <w:t>nemal</w:t>
      </w:r>
      <w:r>
        <w:rPr>
          <w:rFonts w:ascii="Arial Narrow" w:hAnsi="Arial Narrow"/>
          <w:b/>
          <w:color w:val="000000" w:themeColor="text1"/>
          <w:sz w:val="22"/>
          <w:szCs w:val="22"/>
          <w14:textFill>
            <w14:solidFill>
              <w14:schemeClr w14:val="tx1"/>
            </w14:solidFill>
          </w14:textFill>
        </w:rPr>
        <w:t xml:space="preserve">* </w:t>
      </w:r>
      <w:r>
        <w:rPr>
          <w:rFonts w:ascii="Arial Narrow" w:hAnsi="Arial Narrow"/>
          <w:color w:val="000000" w:themeColor="text1"/>
          <w:sz w:val="22"/>
          <w:szCs w:val="22"/>
          <w14:textFill>
            <w14:solidFill>
              <w14:schemeClr w14:val="tx1"/>
            </w14:solidFill>
          </w14:textFill>
        </w:rPr>
        <w:t xml:space="preserve">nedoplatky </w:t>
      </w:r>
      <w:r>
        <w:rPr>
          <w:rFonts w:ascii="Arial Narrow" w:hAnsi="Arial Narrow"/>
          <w:color w:val="000000" w:themeColor="text1"/>
          <w:sz w:val="22"/>
          <w:szCs w:val="22"/>
          <w:u w:val="single"/>
          <w14:textFill>
            <w14:solidFill>
              <w14:schemeClr w14:val="tx1"/>
            </w14:solidFill>
          </w14:textFill>
        </w:rPr>
        <w:t>poistného</w:t>
      </w:r>
      <w:r>
        <w:rPr>
          <w:rFonts w:ascii="Arial Narrow" w:hAnsi="Arial Narrow"/>
          <w:color w:val="000000" w:themeColor="text1"/>
          <w:sz w:val="22"/>
          <w:szCs w:val="22"/>
          <w14:textFill>
            <w14:solidFill>
              <w14:schemeClr w14:val="tx1"/>
            </w14:solidFill>
          </w14:textFill>
        </w:rPr>
        <w:t xml:space="preserve"> na povinné verejné zdravotné poistenie, poistného na sociálne poistenie, povinných </w:t>
      </w:r>
      <w:r>
        <w:rPr>
          <w:rFonts w:ascii="Arial Narrow" w:hAnsi="Arial Narrow"/>
          <w:color w:val="000000" w:themeColor="text1"/>
          <w:sz w:val="22"/>
          <w:szCs w:val="22"/>
          <w:u w:val="single"/>
          <w14:textFill>
            <w14:solidFill>
              <w14:schemeClr w14:val="tx1"/>
            </w14:solidFill>
          </w14:textFill>
        </w:rPr>
        <w:t>príspevkov</w:t>
      </w:r>
      <w:r>
        <w:rPr>
          <w:rFonts w:ascii="Arial Narrow" w:hAnsi="Arial Narrow"/>
          <w:color w:val="000000" w:themeColor="text1"/>
          <w:sz w:val="22"/>
          <w:szCs w:val="22"/>
          <w14:textFill>
            <w14:solidFill>
              <w14:schemeClr w14:val="tx1"/>
            </w14:solidFill>
          </w14:textFill>
        </w:rPr>
        <w:t xml:space="preserve"> na starobné dôchodkové sporenie a </w:t>
      </w:r>
      <w:r>
        <w:rPr>
          <w:rFonts w:ascii="Arial Narrow" w:hAnsi="Arial Narrow"/>
          <w:color w:val="000000" w:themeColor="text1"/>
          <w:sz w:val="22"/>
          <w:szCs w:val="22"/>
          <w:u w:val="single"/>
          <w14:textFill>
            <w14:solidFill>
              <w14:schemeClr w14:val="tx1"/>
            </w14:solidFill>
          </w14:textFill>
        </w:rPr>
        <w:t>na dani</w:t>
      </w:r>
      <w:r>
        <w:rPr>
          <w:rFonts w:ascii="Arial Narrow" w:hAnsi="Arial Narrow"/>
          <w:color w:val="000000" w:themeColor="text1"/>
          <w:sz w:val="22"/>
          <w:szCs w:val="22"/>
          <w14:textFill>
            <w14:solidFill>
              <w14:schemeClr w14:val="tx1"/>
            </w14:solidFill>
          </w14:textFill>
        </w:rPr>
        <w:t xml:space="preserve">, ktorej správcom je daňový úrad alebo colný úrad. V prípade, ak RSP mal nedoplatky, </w:t>
      </w:r>
      <w:r>
        <w:rPr>
          <w:rFonts w:ascii="Arial Narrow" w:hAnsi="Arial Narrow"/>
          <w:b/>
          <w:color w:val="000000" w:themeColor="text1"/>
          <w:sz w:val="22"/>
          <w:szCs w:val="22"/>
          <w14:textFill>
            <w14:solidFill>
              <w14:schemeClr w14:val="tx1"/>
            </w14:solidFill>
          </w14:textFill>
        </w:rPr>
        <w:t>zaplatil / nezaplatil*</w:t>
      </w:r>
      <w:r>
        <w:rPr>
          <w:rFonts w:ascii="Arial Narrow" w:hAnsi="Arial Narrow"/>
          <w:color w:val="000000" w:themeColor="text1"/>
          <w:sz w:val="22"/>
          <w:szCs w:val="22"/>
          <w14:textFill>
            <w14:solidFill>
              <w14:schemeClr w14:val="tx1"/>
            </w14:solidFill>
          </w14:textFill>
        </w:rPr>
        <w:t xml:space="preserve"> ich </w:t>
      </w:r>
      <w:r>
        <w:rPr>
          <w:rFonts w:ascii="Arial Narrow" w:hAnsi="Arial Narrow"/>
          <w:color w:val="000000" w:themeColor="text1"/>
          <w:sz w:val="22"/>
          <w:szCs w:val="22"/>
          <w:u w:val="single"/>
          <w14:textFill>
            <w14:solidFill>
              <w14:schemeClr w14:val="tx1"/>
            </w14:solidFill>
          </w14:textFill>
        </w:rPr>
        <w:t>do troch mesiacov odo dňa doručenia výzvy na zaplatenie</w:t>
      </w:r>
      <w:r>
        <w:rPr>
          <w:rFonts w:ascii="Arial Narrow" w:hAnsi="Arial Narrow"/>
          <w:color w:val="000000" w:themeColor="text1"/>
          <w:sz w:val="22"/>
          <w:szCs w:val="22"/>
          <w14:textFill>
            <w14:solidFill>
              <w14:schemeClr w14:val="tx1"/>
            </w14:solidFill>
          </w14:textFill>
        </w:rPr>
        <w:t xml:space="preserve"> príslušného nedoplatku.</w:t>
      </w:r>
    </w:p>
    <w:p>
      <w:pPr>
        <w:pStyle w:val="10"/>
        <w:numPr>
          <w:ilvl w:val="1"/>
          <w:numId w:val="1"/>
        </w:numPr>
        <w:tabs>
          <w:tab w:val="left" w:pos="426"/>
          <w:tab w:val="left" w:pos="9781"/>
        </w:tabs>
        <w:spacing w:before="120"/>
        <w:ind w:left="426" w:right="709" w:hanging="284"/>
        <w:jc w:val="both"/>
        <w:rPr>
          <w:color w:val="000000" w:themeColor="text1"/>
          <w14:textFill>
            <w14:solidFill>
              <w14:schemeClr w14:val="tx1"/>
            </w14:solidFill>
          </w14:textFill>
        </w:rPr>
      </w:pPr>
      <w:r>
        <w:rPr>
          <w:color w:val="000000" w:themeColor="text1"/>
          <w14:textFill>
            <w14:solidFill>
              <w14:schemeClr w14:val="tx1"/>
            </w14:solidFill>
          </w14:textFill>
        </w:rPr>
        <w:t>štruktúre záväzkov podľa zostatkovej doby splatnosti v členení podľa jednotlivých položiek súvahy, a to podľa zostatkovej doby</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splatnosti</w:t>
      </w:r>
    </w:p>
    <w:p>
      <w:pPr>
        <w:pStyle w:val="10"/>
        <w:numPr>
          <w:ilvl w:val="2"/>
          <w:numId w:val="1"/>
        </w:numPr>
        <w:tabs>
          <w:tab w:val="left" w:pos="851"/>
          <w:tab w:val="left" w:pos="9781"/>
        </w:tabs>
        <w:spacing w:before="1" w:line="252" w:lineRule="exact"/>
        <w:ind w:left="851" w:hanging="359"/>
        <w:jc w:val="both"/>
        <w:rPr>
          <w:color w:val="000000" w:themeColor="text1"/>
          <w14:textFill>
            <w14:solidFill>
              <w14:schemeClr w14:val="tx1"/>
            </w14:solidFill>
          </w14:textFill>
        </w:rPr>
      </w:pPr>
      <w:r>
        <w:rPr>
          <w:color w:val="000000" w:themeColor="text1"/>
          <w14:textFill>
            <w14:solidFill>
              <w14:schemeClr w14:val="tx1"/>
            </w14:solidFill>
          </w14:textFill>
        </w:rPr>
        <w:t>do jedného roka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vrátane,</w:t>
      </w:r>
    </w:p>
    <w:p>
      <w:pPr>
        <w:pStyle w:val="10"/>
        <w:numPr>
          <w:ilvl w:val="2"/>
          <w:numId w:val="1"/>
        </w:numPr>
        <w:tabs>
          <w:tab w:val="left" w:pos="851"/>
          <w:tab w:val="left" w:pos="9781"/>
        </w:tabs>
        <w:spacing w:line="252" w:lineRule="exact"/>
        <w:ind w:left="851" w:hanging="359"/>
        <w:jc w:val="both"/>
        <w:rPr>
          <w:color w:val="000000" w:themeColor="text1"/>
          <w14:textFill>
            <w14:solidFill>
              <w14:schemeClr w14:val="tx1"/>
            </w14:solidFill>
          </w14:textFill>
        </w:rPr>
      </w:pPr>
      <w:r>
        <w:rPr>
          <w:color w:val="000000" w:themeColor="text1"/>
          <w14:textFill>
            <w14:solidFill>
              <w14:schemeClr w14:val="tx1"/>
            </w14:solidFill>
          </w14:textFill>
        </w:rPr>
        <w:t>od jedného roka do piatich rokov</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vrátane,</w:t>
      </w:r>
    </w:p>
    <w:p>
      <w:pPr>
        <w:pStyle w:val="10"/>
        <w:numPr>
          <w:ilvl w:val="2"/>
          <w:numId w:val="1"/>
        </w:numPr>
        <w:tabs>
          <w:tab w:val="left" w:pos="851"/>
          <w:tab w:val="left" w:pos="9781"/>
        </w:tabs>
        <w:spacing w:line="252" w:lineRule="exact"/>
        <w:ind w:left="851" w:hanging="359"/>
        <w:jc w:val="both"/>
        <w:rPr>
          <w:color w:val="000000" w:themeColor="text1"/>
          <w14:textFill>
            <w14:solidFill>
              <w14:schemeClr w14:val="tx1"/>
            </w14:solidFill>
          </w14:textFill>
        </w:rPr>
      </w:pPr>
      <w:r>
        <w:rPr>
          <w:color w:val="000000" w:themeColor="text1"/>
          <w14:textFill>
            <w14:solidFill>
              <w14:schemeClr w14:val="tx1"/>
            </w14:solidFill>
          </w14:textFill>
        </w:rPr>
        <w:t>viac ako päť</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rokov,</w:t>
      </w:r>
    </w:p>
    <w:p>
      <w:pPr>
        <w:pStyle w:val="10"/>
        <w:numPr>
          <w:ilvl w:val="1"/>
          <w:numId w:val="1"/>
        </w:numPr>
        <w:tabs>
          <w:tab w:val="left" w:pos="426"/>
          <w:tab w:val="left" w:pos="9781"/>
        </w:tabs>
        <w:ind w:left="426" w:right="577" w:hanging="284"/>
        <w:jc w:val="both"/>
        <w:rPr>
          <w:color w:val="000000" w:themeColor="text1"/>
          <w14:textFill>
            <w14:solidFill>
              <w14:schemeClr w14:val="tx1"/>
            </w14:solidFill>
          </w14:textFill>
        </w:rPr>
      </w:pPr>
      <w:r>
        <w:rPr>
          <w:color w:val="000000" w:themeColor="text1"/>
          <w14:textFill>
            <w14:solidFill>
              <w14:schemeClr w14:val="tx1"/>
            </w14:solidFill>
          </w14:textFill>
        </w:rPr>
        <w:t>hodnote záväzku zabezpečenom záložným právom alebo zabezpečeným inou formou zabezpečenia a to s uvedením formy</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zabezpečenia,</w:t>
      </w:r>
    </w:p>
    <w:p>
      <w:pPr>
        <w:pStyle w:val="10"/>
        <w:numPr>
          <w:ilvl w:val="1"/>
          <w:numId w:val="1"/>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spôsobe vzniku odloženého daňového</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záväzku,</w:t>
      </w:r>
    </w:p>
    <w:p>
      <w:pPr>
        <w:pStyle w:val="10"/>
        <w:numPr>
          <w:ilvl w:val="1"/>
          <w:numId w:val="1"/>
        </w:numPr>
        <w:tabs>
          <w:tab w:val="left" w:pos="426"/>
          <w:tab w:val="left" w:pos="9781"/>
        </w:tabs>
        <w:spacing w:before="2"/>
        <w:ind w:left="426" w:right="574" w:hanging="284"/>
        <w:jc w:val="both"/>
        <w:rPr>
          <w:color w:val="000000" w:themeColor="text1"/>
          <w14:textFill>
            <w14:solidFill>
              <w14:schemeClr w14:val="tx1"/>
            </w14:solidFill>
          </w14:textFill>
        </w:rPr>
      </w:pPr>
      <w:r>
        <w:rPr>
          <w:color w:val="000000" w:themeColor="text1"/>
          <w14:textFill>
            <w14:solidFill>
              <w14:schemeClr w14:val="tx1"/>
            </w14:solidFill>
          </w14:textFill>
        </w:rPr>
        <w:t>záväzkoch zo sociálneho fondu, s uvedením stavu na začiatku bežného účtovného obdobia, tvorbe  a čerpaní sociálneho fondu počas bežného účtovného obdobia a stavu na konci účtovného</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obdobia,</w:t>
      </w:r>
    </w:p>
    <w:p>
      <w:pPr>
        <w:pStyle w:val="10"/>
        <w:numPr>
          <w:ilvl w:val="1"/>
          <w:numId w:val="1"/>
        </w:numPr>
        <w:tabs>
          <w:tab w:val="left" w:pos="426"/>
          <w:tab w:val="left" w:pos="9781"/>
        </w:tabs>
        <w:spacing w:line="251"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vydaných dlhopisoch, najmä ich menovitá hodnota, emisný kurz, úrok a</w:t>
      </w:r>
      <w:r>
        <w:rPr>
          <w:color w:val="000000" w:themeColor="text1"/>
          <w:spacing w:val="-15"/>
          <w14:textFill>
            <w14:solidFill>
              <w14:schemeClr w14:val="tx1"/>
            </w14:solidFill>
          </w14:textFill>
        </w:rPr>
        <w:t xml:space="preserve"> </w:t>
      </w:r>
      <w:r>
        <w:rPr>
          <w:color w:val="000000" w:themeColor="text1"/>
          <w14:textFill>
            <w14:solidFill>
              <w14:schemeClr w14:val="tx1"/>
            </w14:solidFill>
          </w14:textFill>
        </w:rPr>
        <w:t>splatnosť,</w:t>
      </w:r>
    </w:p>
    <w:p>
      <w:pPr>
        <w:pStyle w:val="10"/>
        <w:numPr>
          <w:ilvl w:val="1"/>
          <w:numId w:val="1"/>
        </w:numPr>
        <w:tabs>
          <w:tab w:val="left" w:pos="426"/>
          <w:tab w:val="left" w:pos="9781"/>
        </w:tabs>
        <w:ind w:left="426" w:right="571" w:hanging="284"/>
        <w:jc w:val="both"/>
        <w:rPr>
          <w:color w:val="000000" w:themeColor="text1"/>
          <w14:textFill>
            <w14:solidFill>
              <w14:schemeClr w14:val="tx1"/>
            </w14:solidFill>
          </w14:textFill>
        </w:rPr>
      </w:pPr>
      <w:r>
        <w:rPr>
          <w:color w:val="000000" w:themeColor="text1"/>
          <w14:textFill>
            <w14:solidFill>
              <w14:schemeClr w14:val="tx1"/>
            </w14:solidFill>
          </w14:textFill>
        </w:rPr>
        <w:t>bankových úveroch, pôžičkách a návratných finančných výpomociach, pričom sa uvádza najmä mena, v ktorej boli poskytnuté, charakter, hodnota v cudzej mene a hodnota v eurách, výška úroku, splatnosť, forma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zabezpečenia,</w:t>
      </w:r>
    </w:p>
    <w:p>
      <w:pPr>
        <w:pStyle w:val="10"/>
        <w:numPr>
          <w:ilvl w:val="1"/>
          <w:numId w:val="1"/>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významných položkách časového rozlíšenia výdavkov budúcich období a výnosov budúcich</w:t>
      </w:r>
      <w:r>
        <w:rPr>
          <w:color w:val="000000" w:themeColor="text1"/>
          <w:spacing w:val="-21"/>
          <w14:textFill>
            <w14:solidFill>
              <w14:schemeClr w14:val="tx1"/>
            </w14:solidFill>
          </w14:textFill>
        </w:rPr>
        <w:t xml:space="preserve"> </w:t>
      </w:r>
      <w:r>
        <w:rPr>
          <w:color w:val="000000" w:themeColor="text1"/>
          <w14:textFill>
            <w14:solidFill>
              <w14:schemeClr w14:val="tx1"/>
            </w14:solidFill>
          </w14:textFill>
        </w:rPr>
        <w:t>období,</w:t>
      </w:r>
    </w:p>
    <w:p>
      <w:pPr>
        <w:pStyle w:val="10"/>
        <w:numPr>
          <w:ilvl w:val="1"/>
          <w:numId w:val="1"/>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významných položkách</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derivátov,</w:t>
      </w:r>
    </w:p>
    <w:p>
      <w:pPr>
        <w:pStyle w:val="10"/>
        <w:numPr>
          <w:ilvl w:val="1"/>
          <w:numId w:val="1"/>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majetku a záväzkoch zabezpečených derivátmi, pričom sa uvádza forma tohto</w:t>
      </w:r>
      <w:r>
        <w:rPr>
          <w:color w:val="000000" w:themeColor="text1"/>
          <w:spacing w:val="-24"/>
          <w14:textFill>
            <w14:solidFill>
              <w14:schemeClr w14:val="tx1"/>
            </w14:solidFill>
          </w14:textFill>
        </w:rPr>
        <w:t xml:space="preserve"> </w:t>
      </w:r>
      <w:r>
        <w:rPr>
          <w:color w:val="000000" w:themeColor="text1"/>
          <w14:textFill>
            <w14:solidFill>
              <w14:schemeClr w14:val="tx1"/>
            </w14:solidFill>
          </w14:textFill>
        </w:rPr>
        <w:t>zabezpečenia,</w:t>
      </w:r>
    </w:p>
    <w:p>
      <w:pPr>
        <w:pStyle w:val="10"/>
        <w:numPr>
          <w:ilvl w:val="1"/>
          <w:numId w:val="1"/>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majetku prenajatom formou finančného prenájmu v poznámkach nájomcu, a</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to</w:t>
      </w:r>
    </w:p>
    <w:p>
      <w:pPr>
        <w:pStyle w:val="10"/>
        <w:numPr>
          <w:ilvl w:val="2"/>
          <w:numId w:val="1"/>
        </w:numPr>
        <w:tabs>
          <w:tab w:val="left" w:pos="851"/>
          <w:tab w:val="left" w:pos="9781"/>
        </w:tabs>
        <w:spacing w:line="242" w:lineRule="auto"/>
        <w:ind w:left="851" w:right="580" w:hanging="360"/>
        <w:jc w:val="both"/>
        <w:rPr>
          <w:color w:val="000000" w:themeColor="text1"/>
          <w14:textFill>
            <w14:solidFill>
              <w14:schemeClr w14:val="tx1"/>
            </w14:solidFill>
          </w14:textFill>
        </w:rPr>
      </w:pPr>
      <w:r>
        <w:rPr>
          <w:color w:val="000000" w:themeColor="text1"/>
          <w14:textFill>
            <w14:solidFill>
              <w14:schemeClr w14:val="tx1"/>
            </w14:solidFill>
          </w14:textFill>
        </w:rPr>
        <w:t>celková suma  dohodnutých platieb ku  dňu,  ku ktorému  sa  zostavuje  účtovná  závierka v členení na istinu u nájomcu a finančný</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náklad,</w:t>
      </w:r>
    </w:p>
    <w:p>
      <w:pPr>
        <w:pStyle w:val="10"/>
        <w:numPr>
          <w:ilvl w:val="2"/>
          <w:numId w:val="1"/>
        </w:numPr>
        <w:tabs>
          <w:tab w:val="left" w:pos="851"/>
          <w:tab w:val="left" w:pos="9781"/>
        </w:tabs>
        <w:ind w:left="851" w:right="2559" w:hanging="360"/>
        <w:jc w:val="both"/>
        <w:rPr>
          <w:color w:val="000000" w:themeColor="text1"/>
          <w14:textFill>
            <w14:solidFill>
              <w14:schemeClr w14:val="tx1"/>
            </w14:solidFill>
          </w14:textFill>
        </w:rPr>
      </w:pPr>
      <w:r>
        <w:rPr>
          <w:color w:val="000000" w:themeColor="text1"/>
          <w14:textFill>
            <w14:solidFill>
              <w14:schemeClr w14:val="tx1"/>
            </w14:solidFill>
          </w14:textFill>
        </w:rPr>
        <w:t xml:space="preserve">suma istiny u nájomcu a finančného nákladu podľa doby splatnosti </w:t>
      </w:r>
    </w:p>
    <w:p>
      <w:pPr>
        <w:pStyle w:val="10"/>
        <w:tabs>
          <w:tab w:val="left" w:pos="9781"/>
        </w:tabs>
        <w:ind w:left="1276" w:right="2559" w:hanging="283"/>
        <w:jc w:val="both"/>
        <w:rPr>
          <w:color w:val="000000" w:themeColor="text1"/>
          <w14:textFill>
            <w14:solidFill>
              <w14:schemeClr w14:val="tx1"/>
            </w14:solidFill>
          </w14:textFill>
        </w:rPr>
      </w:pPr>
      <w:r>
        <w:rPr>
          <w:color w:val="000000" w:themeColor="text1"/>
          <w14:textFill>
            <w14:solidFill>
              <w14:schemeClr w14:val="tx1"/>
            </w14:solidFill>
          </w14:textFill>
        </w:rPr>
        <w:t>2a. do jedného roka</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vrátane,</w:t>
      </w:r>
    </w:p>
    <w:p>
      <w:pPr>
        <w:pStyle w:val="5"/>
        <w:tabs>
          <w:tab w:val="left" w:pos="9781"/>
        </w:tabs>
        <w:ind w:left="1276" w:right="4245" w:hanging="283"/>
        <w:jc w:val="both"/>
        <w:rPr>
          <w:color w:val="000000" w:themeColor="text1"/>
          <w14:textFill>
            <w14:solidFill>
              <w14:schemeClr w14:val="tx1"/>
            </w14:solidFill>
          </w14:textFill>
        </w:rPr>
      </w:pPr>
      <w:r>
        <w:rPr>
          <w:color w:val="000000" w:themeColor="text1"/>
          <w14:textFill>
            <w14:solidFill>
              <w14:schemeClr w14:val="tx1"/>
            </w14:solidFill>
          </w14:textFill>
        </w:rPr>
        <w:t>2b. od jedného roka do piatich rokov vrátane</w:t>
      </w:r>
    </w:p>
    <w:p>
      <w:pPr>
        <w:pStyle w:val="5"/>
        <w:tabs>
          <w:tab w:val="left" w:pos="9781"/>
        </w:tabs>
        <w:ind w:left="1276" w:right="4245" w:hanging="283"/>
        <w:jc w:val="both"/>
        <w:rPr>
          <w:color w:val="000000" w:themeColor="text1"/>
          <w14:textFill>
            <w14:solidFill>
              <w14:schemeClr w14:val="tx1"/>
            </w14:solidFill>
          </w14:textFill>
        </w:rPr>
      </w:pPr>
      <w:r>
        <w:rPr>
          <w:color w:val="000000" w:themeColor="text1"/>
          <w14:textFill>
            <w14:solidFill>
              <w14:schemeClr w14:val="tx1"/>
            </w14:solidFill>
          </w14:textFill>
        </w:rPr>
        <w:t>2c. viac ako päť rokov.</w:t>
      </w:r>
    </w:p>
    <w:p>
      <w:pPr>
        <w:pStyle w:val="5"/>
        <w:tabs>
          <w:tab w:val="left" w:pos="9781"/>
        </w:tabs>
        <w:spacing w:before="9"/>
        <w:jc w:val="both"/>
        <w:rPr>
          <w:color w:val="000000" w:themeColor="text1"/>
          <w:sz w:val="21"/>
          <w14:textFill>
            <w14:solidFill>
              <w14:schemeClr w14:val="tx1"/>
            </w14:solidFill>
          </w14:textFill>
        </w:rPr>
      </w:pPr>
    </w:p>
    <w:p>
      <w:pPr>
        <w:pStyle w:val="2"/>
        <w:numPr>
          <w:ilvl w:val="0"/>
          <w:numId w:val="1"/>
        </w:numPr>
        <w:tabs>
          <w:tab w:val="left" w:pos="9781"/>
        </w:tabs>
        <w:ind w:left="284"/>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časti o výnosoch sa uvádzajú tieto informácie:</w:t>
      </w:r>
    </w:p>
    <w:p>
      <w:pPr>
        <w:pStyle w:val="5"/>
        <w:tabs>
          <w:tab w:val="left" w:pos="9781"/>
        </w:tabs>
        <w:spacing w:before="10"/>
        <w:jc w:val="both"/>
        <w:rPr>
          <w:b/>
          <w:color w:val="000000" w:themeColor="text1"/>
          <w:sz w:val="21"/>
          <w14:textFill>
            <w14:solidFill>
              <w14:schemeClr w14:val="tx1"/>
            </w14:solidFill>
          </w14:textFill>
        </w:rPr>
      </w:pPr>
    </w:p>
    <w:p>
      <w:pPr>
        <w:pStyle w:val="10"/>
        <w:numPr>
          <w:ilvl w:val="1"/>
          <w:numId w:val="1"/>
        </w:numPr>
        <w:tabs>
          <w:tab w:val="left" w:pos="426"/>
          <w:tab w:val="left" w:pos="9781"/>
        </w:tabs>
        <w:spacing w:before="1"/>
        <w:ind w:left="426" w:right="575" w:hanging="284"/>
        <w:jc w:val="both"/>
        <w:rPr>
          <w:color w:val="000000" w:themeColor="text1"/>
          <w14:textFill>
            <w14:solidFill>
              <w14:schemeClr w14:val="tx1"/>
            </w14:solidFill>
          </w14:textFill>
        </w:rPr>
      </w:pPr>
      <w:r>
        <w:rPr>
          <w:color w:val="000000" w:themeColor="text1"/>
          <w14:textFill>
            <w14:solidFill>
              <w14:schemeClr w14:val="tx1"/>
            </w14:solidFill>
          </w14:textFill>
        </w:rPr>
        <w:t>sumy tržieb za vlastné výkony a tovar s uvedením ich opisu a hodnoty tržieb podľa jednotlivých  typov výrobkov a služieb účtovnej jednotky a hlavných oblastí</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odbytu,</w:t>
      </w:r>
    </w:p>
    <w:p>
      <w:pPr>
        <w:pStyle w:val="10"/>
        <w:numPr>
          <w:ilvl w:val="1"/>
          <w:numId w:val="1"/>
        </w:numPr>
        <w:tabs>
          <w:tab w:val="left" w:pos="426"/>
          <w:tab w:val="left" w:pos="9781"/>
        </w:tabs>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dary,</w:t>
      </w:r>
    </w:p>
    <w:p>
      <w:pPr>
        <w:pStyle w:val="10"/>
        <w:numPr>
          <w:ilvl w:val="1"/>
          <w:numId w:val="1"/>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opis a suma významných položiek výnosov pri aktivácii</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nákladov,</w:t>
      </w:r>
    </w:p>
    <w:p>
      <w:pPr>
        <w:pStyle w:val="10"/>
        <w:numPr>
          <w:ilvl w:val="1"/>
          <w:numId w:val="1"/>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opis a suma ostatných významných položiek výnosov z hospodárskej</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1"/>
          <w:numId w:val="1"/>
        </w:numPr>
        <w:tabs>
          <w:tab w:val="left" w:pos="426"/>
          <w:tab w:val="left" w:pos="9781"/>
        </w:tabs>
        <w:ind w:left="426" w:right="572" w:hanging="284"/>
        <w:jc w:val="both"/>
        <w:rPr>
          <w:color w:val="000000" w:themeColor="text1"/>
          <w14:textFill>
            <w14:solidFill>
              <w14:schemeClr w14:val="tx1"/>
            </w14:solidFill>
          </w14:textFill>
        </w:rPr>
      </w:pPr>
      <w:r>
        <w:rPr>
          <w:color w:val="000000" w:themeColor="text1"/>
          <w14:textFill>
            <w14:solidFill>
              <w14:schemeClr w14:val="tx1"/>
            </w14:solidFill>
          </w14:textFill>
        </w:rPr>
        <w:t>opis a suma významných položiek finančných výnosov a celková suma kurzových ziskov; osobitne sa</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uvádza</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hodnota</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kurzových</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ziskov</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účtovaná</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ku</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dňu,</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ku</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ktorému</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sa</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zostavuje</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účtovná</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závierka,</w:t>
      </w:r>
    </w:p>
    <w:p>
      <w:pPr>
        <w:pStyle w:val="10"/>
        <w:numPr>
          <w:ilvl w:val="1"/>
          <w:numId w:val="1"/>
        </w:numPr>
        <w:tabs>
          <w:tab w:val="left" w:pos="426"/>
          <w:tab w:val="left" w:pos="9781"/>
        </w:tabs>
        <w:ind w:left="426" w:right="569" w:hanging="284"/>
        <w:jc w:val="both"/>
        <w:rPr>
          <w:color w:val="000000" w:themeColor="text1"/>
          <w14:textFill>
            <w14:solidFill>
              <w14:schemeClr w14:val="tx1"/>
            </w14:solidFill>
          </w14:textFill>
        </w:rPr>
      </w:pPr>
      <w:r>
        <w:rPr>
          <w:color w:val="000000" w:themeColor="text1"/>
          <w14:textFill>
            <w14:solidFill>
              <w14:schemeClr w14:val="tx1"/>
            </w14:solidFill>
          </w14:textFill>
        </w:rPr>
        <w:t xml:space="preserve">suma položiek </w:t>
      </w:r>
      <w:r>
        <w:rPr>
          <w:b/>
          <w:color w:val="000000" w:themeColor="text1"/>
          <w14:textFill>
            <w14:solidFill>
              <w14:schemeClr w14:val="tx1"/>
            </w14:solidFill>
          </w14:textFill>
        </w:rPr>
        <w:t>výnosov, ktoré majú výnimočný rozsah alebo výskyt</w:t>
      </w:r>
      <w:r>
        <w:rPr>
          <w:color w:val="000000" w:themeColor="text1"/>
          <w14:textFill>
            <w14:solidFill>
              <w14:schemeClr w14:val="tx1"/>
            </w14:solidFill>
          </w14:textFill>
        </w:rPr>
        <w:t>, týkajúcich sa bežného účtovného obdobia a ich opis a suma položiek mimoriadnych výnosov týkajúcich sa predchádzajúcich účtovných období a ich</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opis,</w:t>
      </w:r>
    </w:p>
    <w:p>
      <w:pPr>
        <w:pStyle w:val="10"/>
        <w:numPr>
          <w:ilvl w:val="1"/>
          <w:numId w:val="1"/>
        </w:numPr>
        <w:tabs>
          <w:tab w:val="left" w:pos="426"/>
          <w:tab w:val="left" w:pos="9781"/>
        </w:tabs>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w:t>
      </w:r>
      <w:r>
        <w:rPr>
          <w:color w:val="000000" w:themeColor="text1"/>
          <w:spacing w:val="-21"/>
          <w14:textFill>
            <w14:solidFill>
              <w14:schemeClr w14:val="tx1"/>
            </w14:solidFill>
          </w14:textFill>
        </w:rPr>
        <w:t xml:space="preserve"> </w:t>
      </w:r>
      <w:r>
        <w:rPr>
          <w:color w:val="000000" w:themeColor="text1"/>
          <w14:textFill>
            <w14:solidFill>
              <w14:schemeClr w14:val="tx1"/>
            </w14:solidFill>
          </w14:textFill>
        </w:rPr>
        <w:t>majetku.</w:t>
      </w:r>
    </w:p>
    <w:p>
      <w:pPr>
        <w:tabs>
          <w:tab w:val="left" w:pos="9781"/>
        </w:tabs>
        <w:jc w:val="both"/>
        <w:rPr>
          <w:color w:val="000000" w:themeColor="text1"/>
          <w14:textFill>
            <w14:solidFill>
              <w14:schemeClr w14:val="tx1"/>
            </w14:solidFill>
          </w14:textFill>
        </w:rPr>
      </w:pPr>
    </w:p>
    <w:p>
      <w:pPr>
        <w:pStyle w:val="2"/>
        <w:numPr>
          <w:ilvl w:val="0"/>
          <w:numId w:val="1"/>
        </w:numPr>
        <w:tabs>
          <w:tab w:val="left" w:pos="9781"/>
        </w:tabs>
        <w:ind w:left="284"/>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časti o nákladoch sa uvádzajú tieto informácie:</w:t>
      </w:r>
    </w:p>
    <w:p>
      <w:pPr>
        <w:pStyle w:val="5"/>
        <w:tabs>
          <w:tab w:val="left" w:pos="9781"/>
        </w:tabs>
        <w:spacing w:before="2"/>
        <w:jc w:val="both"/>
        <w:rPr>
          <w:b/>
          <w:color w:val="000000" w:themeColor="text1"/>
          <w14:textFill>
            <w14:solidFill>
              <w14:schemeClr w14:val="tx1"/>
            </w14:solidFill>
          </w14:textFill>
        </w:rPr>
      </w:pPr>
    </w:p>
    <w:p>
      <w:pPr>
        <w:pStyle w:val="10"/>
        <w:numPr>
          <w:ilvl w:val="1"/>
          <w:numId w:val="1"/>
        </w:numPr>
        <w:tabs>
          <w:tab w:val="left" w:pos="426"/>
          <w:tab w:val="left" w:pos="1418"/>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opis a suma významných položiek nákladov za poskytnuté</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služby,</w:t>
      </w:r>
    </w:p>
    <w:p>
      <w:pPr>
        <w:pStyle w:val="10"/>
        <w:numPr>
          <w:ilvl w:val="1"/>
          <w:numId w:val="1"/>
        </w:numPr>
        <w:tabs>
          <w:tab w:val="left" w:pos="426"/>
          <w:tab w:val="left" w:pos="1418"/>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opis a suma významných položiek ostatných nákladov z hospodárskej</w:t>
      </w:r>
      <w:r>
        <w:rPr>
          <w:color w:val="000000" w:themeColor="text1"/>
          <w:spacing w:val="-10"/>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1"/>
          <w:numId w:val="1"/>
        </w:numPr>
        <w:tabs>
          <w:tab w:val="left" w:pos="426"/>
          <w:tab w:val="left" w:pos="1418"/>
          <w:tab w:val="left" w:pos="9781"/>
        </w:tabs>
        <w:ind w:left="426" w:right="571" w:hanging="284"/>
        <w:jc w:val="both"/>
        <w:rPr>
          <w:color w:val="000000" w:themeColor="text1"/>
          <w14:textFill>
            <w14:solidFill>
              <w14:schemeClr w14:val="tx1"/>
            </w14:solidFill>
          </w14:textFill>
        </w:rPr>
      </w:pPr>
      <w:r>
        <w:rPr>
          <w:color w:val="000000" w:themeColor="text1"/>
          <w14:textFill>
            <w14:solidFill>
              <w14:schemeClr w14:val="tx1"/>
            </w14:solidFill>
          </w14:textFill>
        </w:rPr>
        <w:t>opis a suma významných položiek finančných nákladov a celková suma kurzových strát; osobitne sa uvádza suma kurzových strát účtovaná ku dňu, ku ktorému sa zostavuje účtovná</w:t>
      </w:r>
      <w:r>
        <w:rPr>
          <w:color w:val="000000" w:themeColor="text1"/>
          <w:spacing w:val="-24"/>
          <w14:textFill>
            <w14:solidFill>
              <w14:schemeClr w14:val="tx1"/>
            </w14:solidFill>
          </w14:textFill>
        </w:rPr>
        <w:t xml:space="preserve"> </w:t>
      </w:r>
      <w:r>
        <w:rPr>
          <w:color w:val="000000" w:themeColor="text1"/>
          <w14:textFill>
            <w14:solidFill>
              <w14:schemeClr w14:val="tx1"/>
            </w14:solidFill>
          </w14:textFill>
        </w:rPr>
        <w:t>závierka,</w:t>
      </w:r>
    </w:p>
    <w:p>
      <w:pPr>
        <w:pStyle w:val="10"/>
        <w:numPr>
          <w:ilvl w:val="1"/>
          <w:numId w:val="1"/>
        </w:numPr>
        <w:tabs>
          <w:tab w:val="left" w:pos="426"/>
          <w:tab w:val="left" w:pos="1418"/>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 xml:space="preserve">opis a suma položiek </w:t>
      </w:r>
      <w:r>
        <w:rPr>
          <w:b/>
          <w:color w:val="000000" w:themeColor="text1"/>
          <w14:textFill>
            <w14:solidFill>
              <w14:schemeClr w14:val="tx1"/>
            </w14:solidFill>
          </w14:textFill>
        </w:rPr>
        <w:t xml:space="preserve">nákladov, ktoré majú výnimočný rozsah alebo výskyt, </w:t>
      </w:r>
      <w:r>
        <w:rPr>
          <w:color w:val="000000" w:themeColor="text1"/>
          <w14:textFill>
            <w14:solidFill>
              <w14:schemeClr w14:val="tx1"/>
            </w14:solidFill>
          </w14:textFill>
        </w:rPr>
        <w:t>týkajúcich sa bežného účtovného obdobia a položiek mimoriadnych nákladov týkajúcich sa predchádzajúcich účtovných</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období,</w:t>
      </w:r>
    </w:p>
    <w:p>
      <w:pPr>
        <w:pStyle w:val="10"/>
        <w:numPr>
          <w:ilvl w:val="1"/>
          <w:numId w:val="1"/>
        </w:numPr>
        <w:tabs>
          <w:tab w:val="left" w:pos="426"/>
          <w:tab w:val="left" w:pos="1418"/>
          <w:tab w:val="left" w:pos="9781"/>
        </w:tabs>
        <w:ind w:left="426" w:right="574" w:hanging="284"/>
        <w:jc w:val="both"/>
        <w:rPr>
          <w:color w:val="000000" w:themeColor="text1"/>
          <w14:textFill>
            <w14:solidFill>
              <w14:schemeClr w14:val="tx1"/>
            </w14:solidFill>
          </w14:textFill>
        </w:rPr>
      </w:pPr>
      <w:r>
        <w:rPr>
          <w:color w:val="000000" w:themeColor="text1"/>
          <w14:textFill>
            <w14:solidFill>
              <w14:schemeClr w14:val="tx1"/>
            </w14:solidFill>
          </w14:textFill>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spoločnosťou.</w:t>
      </w:r>
    </w:p>
    <w:p>
      <w:pPr>
        <w:pStyle w:val="5"/>
        <w:tabs>
          <w:tab w:val="left" w:pos="9781"/>
        </w:tabs>
        <w:spacing w:before="11"/>
        <w:jc w:val="both"/>
        <w:rPr>
          <w:color w:val="000000" w:themeColor="text1"/>
          <w:sz w:val="21"/>
          <w14:textFill>
            <w14:solidFill>
              <w14:schemeClr w14:val="tx1"/>
            </w14:solidFill>
          </w14:textFill>
        </w:rPr>
      </w:pPr>
    </w:p>
    <w:p>
      <w:pPr>
        <w:pStyle w:val="2"/>
        <w:numPr>
          <w:ilvl w:val="0"/>
          <w:numId w:val="1"/>
        </w:numPr>
        <w:tabs>
          <w:tab w:val="left" w:pos="9781"/>
        </w:tabs>
        <w:ind w:left="284"/>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časti o daniach z príjmov sa uvádzajú informácie o</w:t>
      </w:r>
    </w:p>
    <w:p>
      <w:pPr>
        <w:pStyle w:val="10"/>
        <w:numPr>
          <w:ilvl w:val="1"/>
          <w:numId w:val="1"/>
        </w:numPr>
        <w:tabs>
          <w:tab w:val="left" w:pos="426"/>
          <w:tab w:val="left" w:pos="9781"/>
        </w:tabs>
        <w:ind w:left="426" w:right="574" w:hanging="284"/>
        <w:jc w:val="both"/>
        <w:rPr>
          <w:color w:val="000000" w:themeColor="text1"/>
          <w14:textFill>
            <w14:solidFill>
              <w14:schemeClr w14:val="tx1"/>
            </w14:solidFill>
          </w14:textFill>
        </w:rPr>
      </w:pPr>
      <w:r>
        <w:rPr>
          <w:color w:val="000000" w:themeColor="text1"/>
          <w14:textFill>
            <w14:solidFill>
              <w14:schemeClr w14:val="tx1"/>
            </w14:solidFill>
          </w14:textFill>
        </w:rPr>
        <w:t>sume odložených daní z príjmov účtovaných v bežnom účtovnom období ako náklad alebo výnos vyplývajúcej zo zmeny sadzby dane z</w:t>
      </w:r>
      <w:r>
        <w:rPr>
          <w:color w:val="000000" w:themeColor="text1"/>
          <w:spacing w:val="-11"/>
          <w14:textFill>
            <w14:solidFill>
              <w14:schemeClr w14:val="tx1"/>
            </w14:solidFill>
          </w14:textFill>
        </w:rPr>
        <w:t xml:space="preserve"> </w:t>
      </w:r>
      <w:r>
        <w:rPr>
          <w:color w:val="000000" w:themeColor="text1"/>
          <w14:textFill>
            <w14:solidFill>
              <w14:schemeClr w14:val="tx1"/>
            </w14:solidFill>
          </w14:textFill>
        </w:rPr>
        <w:t>príjmov,</w:t>
      </w:r>
    </w:p>
    <w:p>
      <w:pPr>
        <w:pStyle w:val="10"/>
        <w:numPr>
          <w:ilvl w:val="1"/>
          <w:numId w:val="1"/>
        </w:numPr>
        <w:tabs>
          <w:tab w:val="left" w:pos="426"/>
          <w:tab w:val="left" w:pos="9781"/>
        </w:tabs>
        <w:spacing w:before="1"/>
        <w:ind w:left="426" w:right="571" w:hanging="284"/>
        <w:jc w:val="both"/>
        <w:rPr>
          <w:color w:val="000000" w:themeColor="text1"/>
          <w14:textFill>
            <w14:solidFill>
              <w14:schemeClr w14:val="tx1"/>
            </w14:solidFill>
          </w14:textFill>
        </w:rPr>
      </w:pPr>
      <w:r>
        <w:rPr>
          <w:color w:val="000000" w:themeColor="text1"/>
          <w14:textFill>
            <w14:solidFill>
              <w14:schemeClr w14:val="tx1"/>
            </w14:solidFill>
          </w14:textFill>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neúčtovala,</w:t>
      </w:r>
    </w:p>
    <w:p>
      <w:pPr>
        <w:pStyle w:val="10"/>
        <w:numPr>
          <w:ilvl w:val="1"/>
          <w:numId w:val="1"/>
        </w:numPr>
        <w:tabs>
          <w:tab w:val="left" w:pos="426"/>
          <w:tab w:val="left" w:pos="9781"/>
        </w:tabs>
        <w:spacing w:before="1"/>
        <w:ind w:left="426" w:right="572" w:hanging="284"/>
        <w:jc w:val="both"/>
        <w:rPr>
          <w:color w:val="000000" w:themeColor="text1"/>
          <w14:textFill>
            <w14:solidFill>
              <w14:schemeClr w14:val="tx1"/>
            </w14:solidFill>
          </w14:textFill>
        </w:rPr>
      </w:pPr>
      <w:r>
        <w:rPr>
          <w:color w:val="000000" w:themeColor="text1"/>
          <w14:textFill>
            <w14:solidFill>
              <w14:schemeClr w14:val="tx1"/>
            </w14:solidFill>
          </w14:textFill>
        </w:rPr>
        <w:t>sume odloženého daňového záväzku, ktorý vznikol z dôvodu neúčtovania tej časti odloženej daňovej pohľadávky v bežnom účtovnom období, o ktorej sa účtovalo v predchádzajúcich účtovných obdobiach,</w:t>
      </w:r>
    </w:p>
    <w:p>
      <w:pPr>
        <w:pStyle w:val="10"/>
        <w:numPr>
          <w:ilvl w:val="1"/>
          <w:numId w:val="1"/>
        </w:numPr>
        <w:tabs>
          <w:tab w:val="left" w:pos="426"/>
          <w:tab w:val="left" w:pos="9781"/>
        </w:tabs>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sume neuplatneného umorenia  daňovej  straty,  nevyužitých  daňových  odpočtov  a iných  nárokov a odpočítateľných dočasných rozdielov, ku ktorým nebola účtovaná odložená daňová</w:t>
      </w:r>
      <w:r>
        <w:rPr>
          <w:color w:val="000000" w:themeColor="text1"/>
          <w:spacing w:val="-35"/>
          <w14:textFill>
            <w14:solidFill>
              <w14:schemeClr w14:val="tx1"/>
            </w14:solidFill>
          </w14:textFill>
        </w:rPr>
        <w:t xml:space="preserve"> </w:t>
      </w:r>
      <w:r>
        <w:rPr>
          <w:color w:val="000000" w:themeColor="text1"/>
          <w14:textFill>
            <w14:solidFill>
              <w14:schemeClr w14:val="tx1"/>
            </w14:solidFill>
          </w14:textFill>
        </w:rPr>
        <w:t>pohľadávka,</w:t>
      </w:r>
    </w:p>
    <w:p>
      <w:pPr>
        <w:pStyle w:val="10"/>
        <w:numPr>
          <w:ilvl w:val="1"/>
          <w:numId w:val="1"/>
        </w:numPr>
        <w:tabs>
          <w:tab w:val="left" w:pos="426"/>
          <w:tab w:val="left" w:pos="9781"/>
        </w:tabs>
        <w:spacing w:line="242" w:lineRule="auto"/>
        <w:ind w:left="426" w:right="573" w:hanging="284"/>
        <w:jc w:val="both"/>
        <w:rPr>
          <w:color w:val="000000" w:themeColor="text1"/>
          <w14:textFill>
            <w14:solidFill>
              <w14:schemeClr w14:val="tx1"/>
            </w14:solidFill>
          </w14:textFill>
        </w:rPr>
      </w:pPr>
      <w:r>
        <w:rPr>
          <w:color w:val="000000" w:themeColor="text1"/>
          <w14:textFill>
            <w14:solidFill>
              <w14:schemeClr w14:val="tx1"/>
            </w14:solidFill>
          </w14:textFill>
        </w:rPr>
        <w:t>odloženej dani z príjmov, ktorá sa vzťahuje k položkám účtovaným priamo na účty vlastného imania bez účtovania na účty nákladov 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výnosov,</w:t>
      </w:r>
    </w:p>
    <w:p>
      <w:pPr>
        <w:pStyle w:val="10"/>
        <w:numPr>
          <w:ilvl w:val="1"/>
          <w:numId w:val="1"/>
        </w:numPr>
        <w:tabs>
          <w:tab w:val="left" w:pos="426"/>
          <w:tab w:val="left" w:pos="9781"/>
        </w:tabs>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príjmov,</w:t>
      </w:r>
    </w:p>
    <w:p>
      <w:pPr>
        <w:pStyle w:val="10"/>
        <w:numPr>
          <w:ilvl w:val="1"/>
          <w:numId w:val="1"/>
        </w:numPr>
        <w:tabs>
          <w:tab w:val="left" w:pos="426"/>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zmene sadzby dane z</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príjmov.</w:t>
      </w:r>
    </w:p>
    <w:p>
      <w:pPr>
        <w:pStyle w:val="5"/>
        <w:tabs>
          <w:tab w:val="left" w:pos="9781"/>
        </w:tabs>
        <w:spacing w:before="6"/>
        <w:jc w:val="both"/>
        <w:rPr>
          <w:color w:val="000000" w:themeColor="text1"/>
          <w:sz w:val="21"/>
          <w14:textFill>
            <w14:solidFill>
              <w14:schemeClr w14:val="tx1"/>
            </w14:solidFill>
          </w14:textFill>
        </w:rPr>
      </w:pPr>
    </w:p>
    <w:p>
      <w:pPr>
        <w:pStyle w:val="2"/>
        <w:numPr>
          <w:ilvl w:val="0"/>
          <w:numId w:val="1"/>
        </w:numPr>
        <w:tabs>
          <w:tab w:val="left" w:pos="9781"/>
        </w:tabs>
        <w:ind w:left="284"/>
        <w:jc w:val="both"/>
        <w:rPr>
          <w:b w:val="0"/>
          <w:color w:val="000000" w:themeColor="text1"/>
          <w14:textFill>
            <w14:solidFill>
              <w14:schemeClr w14:val="tx1"/>
            </w14:solidFill>
          </w14:textFill>
        </w:rPr>
      </w:pPr>
      <w:r>
        <w:rPr>
          <w:color w:val="000000" w:themeColor="text1"/>
          <w:sz w:val="24"/>
          <w14:textFill>
            <w14:solidFill>
              <w14:schemeClr w14:val="tx1"/>
            </w14:solidFill>
          </w14:textFill>
        </w:rPr>
        <w:t xml:space="preserve">V časti o údajoch na podsúvahových účtoch </w:t>
      </w:r>
      <w:r>
        <w:rPr>
          <w:b w:val="0"/>
          <w:color w:val="000000" w:themeColor="text1"/>
          <w14:textFill>
            <w14:solidFill>
              <w14:schemeClr w14:val="tx1"/>
            </w14:solidFill>
          </w14:textFill>
        </w:rPr>
        <w:t>sa uvádzajú informácie o významných položkách  prenajatého majetku, majetku prijatého do úschovy, o pohľadávkach a záväzkoch z opcií, o odpísaných pohľadávkach a pohľadávkach a záväzkoch z lízingu.</w:t>
      </w:r>
    </w:p>
    <w:p>
      <w:pPr>
        <w:pStyle w:val="5"/>
        <w:tabs>
          <w:tab w:val="left" w:pos="9781"/>
        </w:tabs>
        <w:jc w:val="both"/>
        <w:rPr>
          <w:color w:val="000000" w:themeColor="text1"/>
          <w14:textFill>
            <w14:solidFill>
              <w14:schemeClr w14:val="tx1"/>
            </w14:solidFill>
          </w14:textFill>
        </w:rPr>
      </w:pPr>
    </w:p>
    <w:p>
      <w:pPr>
        <w:pStyle w:val="2"/>
        <w:numPr>
          <w:ilvl w:val="0"/>
          <w:numId w:val="1"/>
        </w:numPr>
        <w:tabs>
          <w:tab w:val="left" w:pos="9781"/>
        </w:tabs>
        <w:ind w:left="284"/>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V časti o iných aktívach a iných pasívach sa uvádzajú tieto informácie:</w:t>
      </w:r>
    </w:p>
    <w:p>
      <w:pPr>
        <w:pStyle w:val="10"/>
        <w:numPr>
          <w:ilvl w:val="1"/>
          <w:numId w:val="1"/>
        </w:numPr>
        <w:tabs>
          <w:tab w:val="left" w:pos="426"/>
          <w:tab w:val="left" w:pos="9781"/>
        </w:tabs>
        <w:spacing w:before="1"/>
        <w:ind w:left="426" w:right="572" w:hanging="284"/>
        <w:jc w:val="both"/>
        <w:rPr>
          <w:color w:val="000000" w:themeColor="text1"/>
          <w14:textFill>
            <w14:solidFill>
              <w14:schemeClr w14:val="tx1"/>
            </w14:solidFill>
          </w14:textFill>
        </w:rPr>
      </w:pPr>
      <w:r>
        <w:rPr>
          <w:color w:val="000000" w:themeColor="text1"/>
          <w14:textFill>
            <w14:solidFill>
              <w14:schemeClr w14:val="tx1"/>
            </w14:solidFill>
          </w14:textFill>
        </w:rPr>
        <w:t>opis a hodnota podmienených záväzkov vyplývajúcich zo súdnych rozhodnutí, z poskytnutých záruk, zo všeobecne záväzných právnych predpisov, zo zmlúv o podriadenom záväzku</w:t>
      </w:r>
      <w:r>
        <w:rPr>
          <w:color w:val="000000" w:themeColor="text1"/>
          <w:position w:val="6"/>
          <w:sz w:val="14"/>
          <w14:textFill>
            <w14:solidFill>
              <w14:schemeClr w14:val="tx1"/>
            </w14:solidFill>
          </w14:textFill>
        </w:rPr>
        <w:t>1cb</w:t>
      </w:r>
      <w:r>
        <w:rPr>
          <w:color w:val="000000" w:themeColor="text1"/>
          <w14:textFill>
            <w14:solidFill>
              <w14:schemeClr w14:val="tx1"/>
            </w14:solidFill>
          </w14:textFill>
        </w:rPr>
        <w:t>), z ručenia podľa jednotlivých druhov ručenia a podobne; takýmito podmienenými záväzkami</w:t>
      </w:r>
      <w:r>
        <w:rPr>
          <w:color w:val="000000" w:themeColor="text1"/>
          <w:spacing w:val="-16"/>
          <w14:textFill>
            <w14:solidFill>
              <w14:schemeClr w14:val="tx1"/>
            </w14:solidFill>
          </w14:textFill>
        </w:rPr>
        <w:t xml:space="preserve"> </w:t>
      </w:r>
      <w:r>
        <w:rPr>
          <w:color w:val="000000" w:themeColor="text1"/>
          <w14:textFill>
            <w14:solidFill>
              <w14:schemeClr w14:val="tx1"/>
            </w14:solidFill>
          </w14:textFill>
        </w:rPr>
        <w:t>sú</w:t>
      </w:r>
    </w:p>
    <w:p>
      <w:pPr>
        <w:pStyle w:val="10"/>
        <w:numPr>
          <w:ilvl w:val="2"/>
          <w:numId w:val="1"/>
        </w:numPr>
        <w:tabs>
          <w:tab w:val="left" w:pos="851"/>
          <w:tab w:val="left" w:pos="9781"/>
        </w:tabs>
        <w:spacing w:before="76"/>
        <w:ind w:left="851" w:right="571" w:hanging="358"/>
        <w:jc w:val="both"/>
        <w:rPr>
          <w:color w:val="000000" w:themeColor="text1"/>
          <w14:textFill>
            <w14:solidFill>
              <w14:schemeClr w14:val="tx1"/>
            </w14:solidFill>
          </w14:textFill>
        </w:rPr>
      </w:pPr>
      <w:r>
        <w:rPr>
          <w:color w:val="000000" w:themeColor="text1"/>
          <w14:textFill>
            <w14:solidFill>
              <w14:schemeClr w14:val="tx1"/>
            </w14:solidFill>
          </w14:textFill>
        </w:rPr>
        <w:t>možná povinnosť, ktorá vznikla ako dôsledok minulej udalosti a ktorej existencia závisí od toho, či nastane alebo nenastane jedna alebo viac neistých udalostí v budúcnosti, ktorých vznik nezávisí od účtovnej jednotky,</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alebo</w:t>
      </w:r>
    </w:p>
    <w:p>
      <w:pPr>
        <w:pStyle w:val="10"/>
        <w:numPr>
          <w:ilvl w:val="2"/>
          <w:numId w:val="1"/>
        </w:numPr>
        <w:tabs>
          <w:tab w:val="left" w:pos="851"/>
          <w:tab w:val="left" w:pos="9781"/>
        </w:tabs>
        <w:ind w:left="851" w:right="579" w:hanging="358"/>
        <w:jc w:val="both"/>
        <w:rPr>
          <w:color w:val="000000" w:themeColor="text1"/>
          <w14:textFill>
            <w14:solidFill>
              <w14:schemeClr w14:val="tx1"/>
            </w14:solidFill>
          </w14:textFill>
        </w:rPr>
      </w:pPr>
      <w:r>
        <w:rPr>
          <w:color w:val="000000" w:themeColor="text1"/>
          <w14:textFill>
            <w14:solidFill>
              <w14:schemeClr w14:val="tx1"/>
            </w14:solidFill>
          </w14:textFill>
        </w:rPr>
        <w:t>existujúca povinnosť, ktorá vznikla ako dôsledok minulej udalosti, ale ktorá sa nevykazuje v súvahe,</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pretože</w:t>
      </w:r>
    </w:p>
    <w:p>
      <w:pPr>
        <w:pStyle w:val="5"/>
        <w:tabs>
          <w:tab w:val="left" w:pos="9781"/>
        </w:tabs>
        <w:ind w:left="1134" w:right="571" w:hanging="312"/>
        <w:jc w:val="both"/>
        <w:rPr>
          <w:color w:val="000000" w:themeColor="text1"/>
          <w14:textFill>
            <w14:solidFill>
              <w14:schemeClr w14:val="tx1"/>
            </w14:solidFill>
          </w14:textFill>
        </w:rPr>
      </w:pPr>
      <w:r>
        <w:rPr>
          <w:color w:val="000000" w:themeColor="text1"/>
          <w14:textFill>
            <w14:solidFill>
              <w14:schemeClr w14:val="tx1"/>
            </w14:solidFill>
          </w14:textFill>
        </w:rPr>
        <w:t>2a. nie je pravdepodobné, že na splnenie tejto povinnosti bude potrebný úbytok ekonomických úžitkov, alebo</w:t>
      </w:r>
    </w:p>
    <w:p>
      <w:pPr>
        <w:pStyle w:val="5"/>
        <w:tabs>
          <w:tab w:val="left" w:pos="9781"/>
        </w:tabs>
        <w:ind w:left="1134" w:right="571" w:hanging="312"/>
        <w:jc w:val="both"/>
        <w:rPr>
          <w:color w:val="000000" w:themeColor="text1"/>
          <w14:textFill>
            <w14:solidFill>
              <w14:schemeClr w14:val="tx1"/>
            </w14:solidFill>
          </w14:textFill>
        </w:rPr>
      </w:pPr>
      <w:r>
        <w:rPr>
          <w:color w:val="000000" w:themeColor="text1"/>
          <w14:textFill>
            <w14:solidFill>
              <w14:schemeClr w14:val="tx1"/>
            </w14:solidFill>
          </w14:textFill>
        </w:rPr>
        <w:t>2b. výška tejto povinnosti sa nedá spoľahlivo oceniť,</w:t>
      </w:r>
    </w:p>
    <w:p>
      <w:pPr>
        <w:pStyle w:val="10"/>
        <w:numPr>
          <w:ilvl w:val="1"/>
          <w:numId w:val="1"/>
        </w:numPr>
        <w:tabs>
          <w:tab w:val="left" w:pos="426"/>
          <w:tab w:val="left" w:pos="9781"/>
        </w:tabs>
        <w:spacing w:before="1"/>
        <w:ind w:left="426" w:right="572" w:hanging="284"/>
        <w:jc w:val="both"/>
        <w:rPr>
          <w:color w:val="000000" w:themeColor="text1"/>
          <w14:textFill>
            <w14:solidFill>
              <w14:schemeClr w14:val="tx1"/>
            </w14:solidFill>
          </w14:textFill>
        </w:rPr>
      </w:pPr>
      <w:r>
        <w:rPr>
          <w:color w:val="000000" w:themeColor="text1"/>
          <w14:textFill>
            <w14:solidFill>
              <w14:schemeClr w14:val="tx1"/>
            </w14:solidFill>
          </w14:textFill>
        </w:rPr>
        <w:t>opis a hodnota podmienených záväzkov podľa písmena a) voči spriazneným osobám, ktorými sú</w:t>
      </w:r>
    </w:p>
    <w:p>
      <w:pPr>
        <w:pStyle w:val="10"/>
        <w:numPr>
          <w:ilvl w:val="2"/>
          <w:numId w:val="1"/>
        </w:numPr>
        <w:tabs>
          <w:tab w:val="left" w:pos="851"/>
          <w:tab w:val="left" w:pos="9781"/>
        </w:tabs>
        <w:ind w:left="851" w:right="570" w:hanging="360"/>
        <w:jc w:val="both"/>
        <w:rPr>
          <w:color w:val="000000" w:themeColor="text1"/>
          <w14:textFill>
            <w14:solidFill>
              <w14:schemeClr w14:val="tx1"/>
            </w14:solidFill>
          </w14:textFill>
        </w:rPr>
      </w:pPr>
      <w:r>
        <w:rPr>
          <w:color w:val="000000" w:themeColor="text1"/>
          <w14:textFill>
            <w14:solidFill>
              <w14:schemeClr w14:val="tx1"/>
            </w14:solidFill>
          </w14:textFill>
        </w:rPr>
        <w:t>právnické osoby, ktoré sú vo vzťahu k účtovnej jednotke dcérskou účtovnou jednotkou alebo materskou účtovnou jednotkou alebo právnické osoby, ktoré sú spoločne s účtovnou jednotkou vo vzťahu k inej účtovnej jednotke dcérskymi účtovnými</w:t>
      </w:r>
      <w:r>
        <w:rPr>
          <w:color w:val="000000" w:themeColor="text1"/>
          <w:spacing w:val="-13"/>
          <w14:textFill>
            <w14:solidFill>
              <w14:schemeClr w14:val="tx1"/>
            </w14:solidFill>
          </w14:textFill>
        </w:rPr>
        <w:t xml:space="preserve"> </w:t>
      </w:r>
      <w:r>
        <w:rPr>
          <w:color w:val="000000" w:themeColor="text1"/>
          <w14:textFill>
            <w14:solidFill>
              <w14:schemeClr w14:val="tx1"/>
            </w14:solidFill>
          </w14:textFill>
        </w:rPr>
        <w:t>jednotkami,</w:t>
      </w:r>
    </w:p>
    <w:p>
      <w:pPr>
        <w:pStyle w:val="10"/>
        <w:numPr>
          <w:ilvl w:val="2"/>
          <w:numId w:val="1"/>
        </w:numPr>
        <w:tabs>
          <w:tab w:val="left" w:pos="851"/>
          <w:tab w:val="left" w:pos="9781"/>
        </w:tabs>
        <w:spacing w:before="1"/>
        <w:ind w:left="851" w:right="572" w:hanging="360"/>
        <w:jc w:val="both"/>
        <w:rPr>
          <w:color w:val="000000" w:themeColor="text1"/>
          <w14:textFill>
            <w14:solidFill>
              <w14:schemeClr w14:val="tx1"/>
            </w14:solidFill>
          </w14:textFill>
        </w:rPr>
      </w:pPr>
      <w:r>
        <w:rPr>
          <w:color w:val="000000" w:themeColor="text1"/>
          <w14:textFill>
            <w14:solidFill>
              <w14:schemeClr w14:val="tx1"/>
            </w14:solidFill>
          </w14:textFill>
        </w:rPr>
        <w:t>právnické osoby, ktoré vykonávajú podstatný vplyv v účtovnej jednotke alebo je v nich vykonávaný podstatný vplyv účtovnou</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jednotkou,</w:t>
      </w:r>
    </w:p>
    <w:p>
      <w:pPr>
        <w:pStyle w:val="10"/>
        <w:numPr>
          <w:ilvl w:val="2"/>
          <w:numId w:val="1"/>
        </w:numPr>
        <w:tabs>
          <w:tab w:val="left" w:pos="851"/>
          <w:tab w:val="left" w:pos="9781"/>
        </w:tabs>
        <w:ind w:left="851" w:right="578" w:hanging="360"/>
        <w:jc w:val="both"/>
        <w:rPr>
          <w:color w:val="000000" w:themeColor="text1"/>
          <w14:textFill>
            <w14:solidFill>
              <w14:schemeClr w14:val="tx1"/>
            </w14:solidFill>
          </w14:textFill>
        </w:rPr>
      </w:pPr>
      <w:r>
        <w:rPr>
          <w:color w:val="000000" w:themeColor="text1"/>
          <w14:textFill>
            <w14:solidFill>
              <w14:schemeClr w14:val="tx1"/>
            </w14:solidFill>
          </w14:textFill>
        </w:rPr>
        <w:t>fyzické osoby, prostredníctvom ktorých vykonáva iná osoba v účtovnej jednotke podstatný vplyv,</w:t>
      </w:r>
    </w:p>
    <w:p>
      <w:pPr>
        <w:pStyle w:val="10"/>
        <w:numPr>
          <w:ilvl w:val="2"/>
          <w:numId w:val="1"/>
        </w:numPr>
        <w:tabs>
          <w:tab w:val="left" w:pos="851"/>
          <w:tab w:val="left" w:pos="9781"/>
        </w:tabs>
        <w:spacing w:before="1"/>
        <w:ind w:left="851" w:right="573" w:hanging="360"/>
        <w:jc w:val="both"/>
        <w:rPr>
          <w:color w:val="000000" w:themeColor="text1"/>
          <w14:textFill>
            <w14:solidFill>
              <w14:schemeClr w14:val="tx1"/>
            </w14:solidFill>
          </w14:textFill>
        </w:rPr>
      </w:pPr>
      <w:r>
        <w:rPr>
          <w:color w:val="000000" w:themeColor="text1"/>
          <w14:textFill>
            <w14:solidFill>
              <w14:schemeClr w14:val="tx1"/>
            </w14:solidFill>
          </w14:textFill>
        </w:rPr>
        <w:t>zamestnanci zodpovední za riadenie a kontrolu činnosti účtovnej jednotky a ich blízke osoby a osoby zodpovedné za riadenie a kontrolu činnosti účtovnej jednotky, ktoré nie sú zamestnancami a ich blízke</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osoby,</w:t>
      </w:r>
    </w:p>
    <w:p>
      <w:pPr>
        <w:pStyle w:val="10"/>
        <w:numPr>
          <w:ilvl w:val="2"/>
          <w:numId w:val="1"/>
        </w:numPr>
        <w:tabs>
          <w:tab w:val="left" w:pos="851"/>
          <w:tab w:val="left" w:pos="9781"/>
        </w:tabs>
        <w:ind w:left="851" w:right="572" w:hanging="360"/>
        <w:jc w:val="both"/>
        <w:rPr>
          <w:color w:val="000000" w:themeColor="text1"/>
          <w14:textFill>
            <w14:solidFill>
              <w14:schemeClr w14:val="tx1"/>
            </w14:solidFill>
          </w14:textFill>
        </w:rPr>
      </w:pPr>
      <w:r>
        <w:rPr>
          <w:color w:val="000000" w:themeColor="text1"/>
          <w14:textFill>
            <w14:solidFill>
              <w14:schemeClr w14:val="tx1"/>
            </w14:solidFill>
          </w14:textFill>
        </w:rPr>
        <w:t>právnické osoby, v ktorých fyzické osoby uvedené v treťom a štvrtom bode vykonávajú podstatný vplyv a to aj</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sprostredkovane,</w:t>
      </w:r>
    </w:p>
    <w:p>
      <w:pPr>
        <w:pStyle w:val="10"/>
        <w:numPr>
          <w:ilvl w:val="2"/>
          <w:numId w:val="1"/>
        </w:numPr>
        <w:tabs>
          <w:tab w:val="left" w:pos="851"/>
          <w:tab w:val="left" w:pos="9781"/>
        </w:tabs>
        <w:ind w:left="851" w:right="570" w:hanging="360"/>
        <w:jc w:val="both"/>
        <w:rPr>
          <w:color w:val="000000" w:themeColor="text1"/>
          <w14:textFill>
            <w14:solidFill>
              <w14:schemeClr w14:val="tx1"/>
            </w14:solidFill>
          </w14:textFill>
        </w:rPr>
      </w:pPr>
      <w:r>
        <w:rPr>
          <w:color w:val="000000" w:themeColor="text1"/>
          <w14:textFill>
            <w14:solidFill>
              <w14:schemeClr w14:val="tx1"/>
            </w14:solidFill>
          </w14:textFill>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vplyv,</w:t>
      </w:r>
    </w:p>
    <w:p>
      <w:pPr>
        <w:pStyle w:val="10"/>
        <w:numPr>
          <w:ilvl w:val="2"/>
          <w:numId w:val="1"/>
        </w:numPr>
        <w:tabs>
          <w:tab w:val="left" w:pos="851"/>
          <w:tab w:val="left" w:pos="9781"/>
        </w:tabs>
        <w:ind w:left="851" w:right="573" w:hanging="360"/>
        <w:jc w:val="both"/>
        <w:rPr>
          <w:color w:val="000000" w:themeColor="text1"/>
          <w14:textFill>
            <w14:solidFill>
              <w14:schemeClr w14:val="tx1"/>
            </w14:solidFill>
          </w14:textFill>
        </w:rPr>
      </w:pPr>
      <w:r>
        <w:rPr>
          <w:color w:val="000000" w:themeColor="text1"/>
          <w14:textFill>
            <w14:solidFill>
              <w14:schemeClr w14:val="tx1"/>
            </w14:solidFill>
          </w14:textFill>
        </w:rPr>
        <w:t>osoby, ktoré poskytli účtovnej jednotke úver, a z tohto dôvodu sú schopné ovplyvniť ekonomické vzťahy s účtovnou</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jednotkou,</w:t>
      </w:r>
    </w:p>
    <w:p>
      <w:pPr>
        <w:pStyle w:val="10"/>
        <w:numPr>
          <w:ilvl w:val="2"/>
          <w:numId w:val="1"/>
        </w:numPr>
        <w:tabs>
          <w:tab w:val="left" w:pos="851"/>
          <w:tab w:val="left" w:pos="9781"/>
        </w:tabs>
        <w:ind w:left="851" w:right="577" w:hanging="360"/>
        <w:jc w:val="both"/>
        <w:rPr>
          <w:color w:val="000000" w:themeColor="text1"/>
          <w14:textFill>
            <w14:solidFill>
              <w14:schemeClr w14:val="tx1"/>
            </w14:solidFill>
          </w14:textFill>
        </w:rPr>
      </w:pPr>
      <w:r>
        <w:rPr>
          <w:color w:val="000000" w:themeColor="text1"/>
          <w14:textFill>
            <w14:solidFill>
              <w14:schemeClr w14:val="tx1"/>
            </w14:solidFill>
          </w14:textFill>
        </w:rPr>
        <w:t>osoby, s ktorými účtovná jednotka realizuje taký objem obchodov, že je od týchto osôb hospodársky</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závislá,</w:t>
      </w:r>
    </w:p>
    <w:p>
      <w:pPr>
        <w:pStyle w:val="5"/>
        <w:tabs>
          <w:tab w:val="left" w:pos="9781"/>
        </w:tabs>
        <w:spacing w:before="5"/>
        <w:jc w:val="both"/>
        <w:rPr>
          <w:color w:val="000000" w:themeColor="text1"/>
          <w:sz w:val="20"/>
          <w14:textFill>
            <w14:solidFill>
              <w14:schemeClr w14:val="tx1"/>
            </w14:solidFill>
          </w14:textFill>
        </w:rPr>
      </w:pPr>
      <w:r>
        <w:rPr>
          <w:color w:val="000000" w:themeColor="text1"/>
          <w:lang w:eastAsia="sk-SK"/>
          <w14:textFill>
            <w14:solidFill>
              <w14:schemeClr w14:val="tx1"/>
            </w14:solidFill>
          </w14:textFill>
        </w:rPr>
        <mc:AlternateContent>
          <mc:Choice Requires="wps">
            <w:drawing>
              <wp:anchor distT="0" distB="0" distL="0" distR="0" simplePos="0" relativeHeight="251662336" behindDoc="1" locked="0" layoutInCell="1" allowOverlap="1">
                <wp:simplePos x="0" y="0"/>
                <wp:positionH relativeFrom="page">
                  <wp:posOffset>901065</wp:posOffset>
                </wp:positionH>
                <wp:positionV relativeFrom="paragraph">
                  <wp:posOffset>173990</wp:posOffset>
                </wp:positionV>
                <wp:extent cx="1828800" cy="7620"/>
                <wp:effectExtent l="0" t="0" r="0" b="0"/>
                <wp:wrapTopAndBottom/>
                <wp:docPr id="18" name="Rectangle 16"/>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16" o:spid="_x0000_s1026" o:spt="1" style="position:absolute;left:0pt;margin-left:70.95pt;margin-top:13.7pt;height:0.6pt;width:144pt;mso-position-horizontal-relative:page;mso-wrap-distance-bottom:0pt;mso-wrap-distance-top:0pt;z-index:-251654144;mso-width-relative:page;mso-height-relative:page;" fillcolor="#000000" filled="t" stroked="f" coordsize="21600,21600" o:gfxdata="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U05r01wAAAAkBAAAPAAAAAAAAAAEA&#10;IAAAACIAAABkcnMvZG93bnJldi54bWxQSwECFAAUAAAACACHTuJACce8vxACAAApBAAADgAAAAAA&#10;AAABACAAAAAmAQAAZHJzL2Uyb0RvYy54bWxQSwUGAAAAAAYABgBZAQAAqAUAAAAA&#10;">
                <v:fill on="t" focussize="0,0"/>
                <v:stroke on="f"/>
                <v:imagedata o:title=""/>
                <o:lock v:ext="edit" aspectratio="f"/>
                <w10:wrap type="topAndBottom"/>
              </v:rect>
            </w:pict>
          </mc:Fallback>
        </mc:AlternateContent>
      </w:r>
    </w:p>
    <w:p>
      <w:pPr>
        <w:tabs>
          <w:tab w:val="left" w:pos="9781"/>
        </w:tabs>
        <w:spacing w:before="76"/>
        <w:ind w:left="138"/>
        <w:jc w:val="both"/>
        <w:rPr>
          <w:b/>
          <w:color w:val="000000" w:themeColor="text1"/>
          <w:sz w:val="20"/>
          <w14:textFill>
            <w14:solidFill>
              <w14:schemeClr w14:val="tx1"/>
            </w14:solidFill>
          </w14:textFill>
        </w:rPr>
      </w:pPr>
      <w:r>
        <w:rPr>
          <w:color w:val="000000" w:themeColor="text1"/>
          <w:position w:val="5"/>
          <w:sz w:val="13"/>
          <w14:textFill>
            <w14:solidFill>
              <w14:schemeClr w14:val="tx1"/>
            </w14:solidFill>
          </w14:textFill>
        </w:rPr>
        <w:t xml:space="preserve">1cb) </w:t>
      </w:r>
      <w:r>
        <w:rPr>
          <w:color w:val="000000" w:themeColor="text1"/>
          <w:sz w:val="20"/>
          <w14:textFill>
            <w14:solidFill>
              <w14:schemeClr w14:val="tx1"/>
            </w14:solidFill>
          </w14:textFill>
        </w:rPr>
        <w:t>Napríklad § 408a Obchodného zákonníka v znení neskorších predpisov</w:t>
      </w:r>
      <w:r>
        <w:rPr>
          <w:b/>
          <w:color w:val="000000" w:themeColor="text1"/>
          <w:sz w:val="20"/>
          <w14:textFill>
            <w14:solidFill>
              <w14:schemeClr w14:val="tx1"/>
            </w14:solidFill>
          </w14:textFill>
        </w:rPr>
        <w:t>.</w:t>
      </w:r>
    </w:p>
    <w:p>
      <w:pPr>
        <w:tabs>
          <w:tab w:val="left" w:pos="9781"/>
        </w:tabs>
        <w:jc w:val="both"/>
        <w:rPr>
          <w:color w:val="000000" w:themeColor="text1"/>
          <w:sz w:val="20"/>
          <w14:textFill>
            <w14:solidFill>
              <w14:schemeClr w14:val="tx1"/>
            </w14:solidFill>
          </w14:textFill>
        </w:rPr>
        <w:sectPr>
          <w:footerReference r:id="rId3" w:type="default"/>
          <w:pgSz w:w="11910" w:h="16850"/>
          <w:pgMar w:top="1340" w:right="840" w:bottom="1080" w:left="1280" w:header="0" w:footer="897" w:gutter="0"/>
          <w:cols w:space="708" w:num="1"/>
        </w:sectPr>
      </w:pPr>
    </w:p>
    <w:p>
      <w:pPr>
        <w:pStyle w:val="10"/>
        <w:numPr>
          <w:ilvl w:val="1"/>
          <w:numId w:val="1"/>
        </w:numPr>
        <w:tabs>
          <w:tab w:val="left" w:pos="426"/>
          <w:tab w:val="left" w:pos="9781"/>
        </w:tabs>
        <w:ind w:left="426" w:right="569" w:hanging="284"/>
        <w:jc w:val="both"/>
        <w:rPr>
          <w:color w:val="000000" w:themeColor="text1"/>
          <w14:textFill>
            <w14:solidFill>
              <w14:schemeClr w14:val="tx1"/>
            </w14:solidFill>
          </w14:textFill>
        </w:rPr>
      </w:pPr>
      <w:r>
        <w:rPr>
          <w:color w:val="000000" w:themeColor="text1"/>
          <w14:textFill>
            <w14:solidFill>
              <w14:schemeClr w14:val="tx1"/>
            </w14:solidFill>
          </w14:textFill>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pPr>
        <w:pStyle w:val="5"/>
        <w:tabs>
          <w:tab w:val="left" w:pos="9781"/>
        </w:tabs>
        <w:spacing w:before="1"/>
        <w:jc w:val="both"/>
        <w:rPr>
          <w:color w:val="000000" w:themeColor="text1"/>
          <w14:textFill>
            <w14:solidFill>
              <w14:schemeClr w14:val="tx1"/>
            </w14:solidFill>
          </w14:textFill>
        </w:rPr>
      </w:pPr>
    </w:p>
    <w:p>
      <w:pPr>
        <w:pStyle w:val="2"/>
        <w:numPr>
          <w:ilvl w:val="0"/>
          <w:numId w:val="1"/>
        </w:numPr>
        <w:tabs>
          <w:tab w:val="left" w:pos="9781"/>
        </w:tabs>
        <w:ind w:left="284"/>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V časti o príjmoch a výhodách členov štatutárneho orgánu, dozorného orgánu a iného orgánu účtovnej jednotky sa uvádzajú informácie o</w:t>
      </w:r>
    </w:p>
    <w:p>
      <w:pPr>
        <w:pStyle w:val="5"/>
        <w:tabs>
          <w:tab w:val="left" w:pos="9781"/>
        </w:tabs>
        <w:spacing w:before="10"/>
        <w:jc w:val="both"/>
        <w:rPr>
          <w:b/>
          <w:color w:val="000000" w:themeColor="text1"/>
          <w:sz w:val="21"/>
          <w14:textFill>
            <w14:solidFill>
              <w14:schemeClr w14:val="tx1"/>
            </w14:solidFill>
          </w14:textFill>
        </w:rPr>
      </w:pPr>
    </w:p>
    <w:p>
      <w:pPr>
        <w:pStyle w:val="10"/>
        <w:numPr>
          <w:ilvl w:val="1"/>
          <w:numId w:val="1"/>
        </w:numPr>
        <w:tabs>
          <w:tab w:val="left" w:pos="426"/>
          <w:tab w:val="left" w:pos="9781"/>
        </w:tabs>
        <w:ind w:left="426" w:right="571" w:hanging="284"/>
        <w:jc w:val="both"/>
        <w:rPr>
          <w:color w:val="000000" w:themeColor="text1"/>
          <w14:textFill>
            <w14:solidFill>
              <w14:schemeClr w14:val="tx1"/>
            </w14:solidFill>
          </w14:textFill>
        </w:rPr>
      </w:pPr>
      <w:r>
        <w:rPr>
          <w:color w:val="000000" w:themeColor="text1"/>
          <w14:textFill>
            <w14:solidFill>
              <w14:schemeClr w14:val="tx1"/>
            </w14:solidFill>
          </w14:textFill>
        </w:rP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orgány,</w:t>
      </w:r>
    </w:p>
    <w:p>
      <w:pPr>
        <w:pStyle w:val="10"/>
        <w:numPr>
          <w:ilvl w:val="1"/>
          <w:numId w:val="1"/>
        </w:numPr>
        <w:tabs>
          <w:tab w:val="left" w:pos="426"/>
          <w:tab w:val="left" w:pos="9781"/>
        </w:tabs>
        <w:spacing w:before="1"/>
        <w:ind w:left="426" w:right="576" w:hanging="284"/>
        <w:jc w:val="both"/>
        <w:rPr>
          <w:color w:val="000000" w:themeColor="text1"/>
          <w14:textFill>
            <w14:solidFill>
              <w14:schemeClr w14:val="tx1"/>
            </w14:solidFill>
          </w14:textFill>
        </w:rPr>
      </w:pPr>
      <w:r>
        <w:rPr>
          <w:color w:val="000000" w:themeColor="text1"/>
          <w14:textFill>
            <w14:solidFill>
              <w14:schemeClr w14:val="tx1"/>
            </w14:solidFill>
          </w14:textFill>
        </w:rPr>
        <w:t>výške jednotlivých druhov záruk alebo iných zabezpečení poskytnutých pre členov štatutárneho orgánu,</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dozorného</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orgánu</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a</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iného</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orgánu</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účtovnej</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jednotky,</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to</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v</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členení</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za</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jednotlivé</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orgány,</w:t>
      </w:r>
    </w:p>
    <w:p>
      <w:pPr>
        <w:pStyle w:val="10"/>
        <w:numPr>
          <w:ilvl w:val="1"/>
          <w:numId w:val="1"/>
        </w:numPr>
        <w:tabs>
          <w:tab w:val="left" w:pos="426"/>
          <w:tab w:val="left" w:pos="9781"/>
        </w:tabs>
        <w:ind w:left="426" w:right="572" w:hanging="284"/>
        <w:jc w:val="both"/>
        <w:rPr>
          <w:color w:val="000000" w:themeColor="text1"/>
          <w14:textFill>
            <w14:solidFill>
              <w14:schemeClr w14:val="tx1"/>
            </w14:solidFill>
          </w14:textFill>
        </w:rPr>
      </w:pPr>
      <w:r>
        <w:rPr>
          <w:color w:val="000000" w:themeColor="text1"/>
          <w14:textFill>
            <w14:solidFill>
              <w14:schemeClr w14:val="tx1"/>
            </w14:solidFill>
          </w14:textFill>
        </w:rPr>
        <w:t>pôžičkách poskytnutých členom štatutárneho orgánu, dozorného orgánu a iného orgánu účtovnej jednotky, a</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to</w:t>
      </w:r>
    </w:p>
    <w:p>
      <w:pPr>
        <w:pStyle w:val="10"/>
        <w:numPr>
          <w:ilvl w:val="2"/>
          <w:numId w:val="1"/>
        </w:numPr>
        <w:tabs>
          <w:tab w:val="left" w:pos="9781"/>
        </w:tabs>
        <w:ind w:left="851" w:right="570" w:hanging="358"/>
        <w:jc w:val="both"/>
        <w:rPr>
          <w:color w:val="000000" w:themeColor="text1"/>
          <w14:textFill>
            <w14:solidFill>
              <w14:schemeClr w14:val="tx1"/>
            </w14:solidFill>
          </w14:textFill>
        </w:rPr>
      </w:pPr>
      <w:r>
        <w:rPr>
          <w:color w:val="000000" w:themeColor="text1"/>
          <w14:textFill>
            <w14:solidFill>
              <w14:schemeClr w14:val="tx1"/>
            </w14:solidFill>
          </w14:textFill>
        </w:rPr>
        <w:t>celková suma poskytnutých pôžičiek k poslednému dňu účtovného obdobia v členení za jednotlivé</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orgány,</w:t>
      </w:r>
    </w:p>
    <w:p>
      <w:pPr>
        <w:pStyle w:val="10"/>
        <w:numPr>
          <w:ilvl w:val="2"/>
          <w:numId w:val="1"/>
        </w:numPr>
        <w:tabs>
          <w:tab w:val="left" w:pos="9781"/>
        </w:tabs>
        <w:spacing w:before="1"/>
        <w:ind w:left="851" w:right="570" w:hanging="358"/>
        <w:jc w:val="both"/>
        <w:rPr>
          <w:color w:val="000000" w:themeColor="text1"/>
          <w14:textFill>
            <w14:solidFill>
              <w14:schemeClr w14:val="tx1"/>
            </w14:solidFill>
          </w14:textFill>
        </w:rPr>
      </w:pPr>
      <w:r>
        <w:rPr>
          <w:color w:val="000000" w:themeColor="text1"/>
          <w14:textFill>
            <w14:solidFill>
              <w14:schemeClr w14:val="tx1"/>
            </w14:solidFill>
          </w14:textFill>
        </w:rPr>
        <w:t>celková suma splatených pôžičiek k poslednému dňu účtovného obdobia v členení za jednotlivé</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orgány,</w:t>
      </w:r>
    </w:p>
    <w:p>
      <w:pPr>
        <w:pStyle w:val="10"/>
        <w:numPr>
          <w:ilvl w:val="2"/>
          <w:numId w:val="1"/>
        </w:numPr>
        <w:tabs>
          <w:tab w:val="left" w:pos="9781"/>
        </w:tabs>
        <w:ind w:left="851" w:right="571" w:hanging="358"/>
        <w:jc w:val="both"/>
        <w:rPr>
          <w:color w:val="000000" w:themeColor="text1"/>
          <w14:textFill>
            <w14:solidFill>
              <w14:schemeClr w14:val="tx1"/>
            </w14:solidFill>
          </w14:textFill>
        </w:rPr>
      </w:pPr>
      <w:r>
        <w:rPr>
          <w:color w:val="000000" w:themeColor="text1"/>
          <w14:textFill>
            <w14:solidFill>
              <w14:schemeClr w14:val="tx1"/>
            </w14:solidFill>
          </w14:textFill>
        </w:rPr>
        <w:t>celková suma odpustených pôžičiek a odpísaných pôžičiek k poslednému dňu účtovného obdobia v členení za jednotlivé</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orgány,</w:t>
      </w:r>
    </w:p>
    <w:p>
      <w:pPr>
        <w:pStyle w:val="10"/>
        <w:numPr>
          <w:ilvl w:val="1"/>
          <w:numId w:val="1"/>
        </w:numPr>
        <w:tabs>
          <w:tab w:val="left" w:pos="426"/>
          <w:tab w:val="left" w:pos="9781"/>
        </w:tabs>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hlavných podmienkach, na základe ktorých im boli záruky alebo iné zabezpečenia a pôžičky poskytnuté; pri pôžičkách sa uvádzajú aj úrokové</w:t>
      </w:r>
      <w:r>
        <w:rPr>
          <w:color w:val="000000" w:themeColor="text1"/>
          <w:spacing w:val="-12"/>
          <w14:textFill>
            <w14:solidFill>
              <w14:schemeClr w14:val="tx1"/>
            </w14:solidFill>
          </w14:textFill>
        </w:rPr>
        <w:t xml:space="preserve"> </w:t>
      </w:r>
      <w:r>
        <w:rPr>
          <w:color w:val="000000" w:themeColor="text1"/>
          <w14:textFill>
            <w14:solidFill>
              <w14:schemeClr w14:val="tx1"/>
            </w14:solidFill>
          </w14:textFill>
        </w:rPr>
        <w:t>sadzby,</w:t>
      </w:r>
    </w:p>
    <w:p>
      <w:pPr>
        <w:pStyle w:val="10"/>
        <w:numPr>
          <w:ilvl w:val="1"/>
          <w:numId w:val="1"/>
        </w:numPr>
        <w:tabs>
          <w:tab w:val="left" w:pos="426"/>
          <w:tab w:val="left" w:pos="9781"/>
        </w:tabs>
        <w:spacing w:before="76"/>
        <w:ind w:left="426" w:right="576" w:hanging="284"/>
        <w:jc w:val="both"/>
        <w:rPr>
          <w:color w:val="000000" w:themeColor="text1"/>
          <w14:textFill>
            <w14:solidFill>
              <w14:schemeClr w14:val="tx1"/>
            </w14:solidFill>
          </w14:textFill>
        </w:rPr>
      </w:pPr>
      <w:r>
        <w:rPr>
          <w:color w:val="000000" w:themeColor="text1"/>
          <w14:textFill>
            <w14:solidFill>
              <w14:schemeClr w14:val="tx1"/>
            </w14:solidFill>
          </w14:textFill>
        </w:rPr>
        <w:t>celkovej sume použitých finančných prostriedkov alebo iného plnenia na súkromné účely členmi štatutárneho orgánu, dozorného orgánu a iného orgánu účtovnej jednotky, ktoré sa</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vyúčtovávajú.</w:t>
      </w:r>
    </w:p>
    <w:p>
      <w:pPr>
        <w:pStyle w:val="5"/>
        <w:tabs>
          <w:tab w:val="left" w:pos="9781"/>
        </w:tabs>
        <w:spacing w:before="10"/>
        <w:jc w:val="both"/>
        <w:rPr>
          <w:color w:val="000000" w:themeColor="text1"/>
          <w:sz w:val="21"/>
          <w14:textFill>
            <w14:solidFill>
              <w14:schemeClr w14:val="tx1"/>
            </w14:solidFill>
          </w14:textFill>
        </w:rPr>
      </w:pPr>
    </w:p>
    <w:p>
      <w:pPr>
        <w:pStyle w:val="2"/>
        <w:numPr>
          <w:ilvl w:val="0"/>
          <w:numId w:val="1"/>
        </w:numPr>
        <w:tabs>
          <w:tab w:val="left" w:pos="9781"/>
        </w:tabs>
        <w:ind w:left="284"/>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V časti o ekonomických vzťahoch účtovnej jednotky a spriaznených osôb sa uvádzajú tieto informácie:</w:t>
      </w:r>
    </w:p>
    <w:p>
      <w:pPr>
        <w:pStyle w:val="5"/>
        <w:tabs>
          <w:tab w:val="left" w:pos="9781"/>
        </w:tabs>
        <w:spacing w:before="1"/>
        <w:jc w:val="both"/>
        <w:rPr>
          <w:b/>
          <w:color w:val="000000" w:themeColor="text1"/>
          <w14:textFill>
            <w14:solidFill>
              <w14:schemeClr w14:val="tx1"/>
            </w14:solidFill>
          </w14:textFill>
        </w:rPr>
      </w:pPr>
    </w:p>
    <w:p>
      <w:pPr>
        <w:pStyle w:val="10"/>
        <w:numPr>
          <w:ilvl w:val="1"/>
          <w:numId w:val="1"/>
        </w:numPr>
        <w:tabs>
          <w:tab w:val="left" w:pos="426"/>
          <w:tab w:val="left" w:pos="9781"/>
        </w:tabs>
        <w:ind w:left="426" w:right="575" w:hanging="284"/>
        <w:jc w:val="both"/>
        <w:rPr>
          <w:color w:val="000000" w:themeColor="text1"/>
          <w14:textFill>
            <w14:solidFill>
              <w14:schemeClr w14:val="tx1"/>
            </w14:solidFill>
          </w14:textFill>
        </w:rPr>
      </w:pPr>
      <w:r>
        <w:rPr>
          <w:color w:val="000000" w:themeColor="text1"/>
          <w14:textFill>
            <w14:solidFill>
              <w14:schemeClr w14:val="tx1"/>
            </w14:solidFill>
          </w14:textFill>
        </w:rPr>
        <w:t>zoznam obchodov, ktoré sa uskutočnili medzi účtovnou jednotkou a spriaznenými osobami uvedenými v časti L. písm. b), a</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to</w:t>
      </w:r>
    </w:p>
    <w:p>
      <w:pPr>
        <w:pStyle w:val="10"/>
        <w:numPr>
          <w:ilvl w:val="2"/>
          <w:numId w:val="1"/>
        </w:numPr>
        <w:tabs>
          <w:tab w:val="left" w:pos="851"/>
          <w:tab w:val="left" w:pos="9781"/>
        </w:tabs>
        <w:ind w:left="851" w:right="571" w:hanging="358"/>
        <w:jc w:val="both"/>
        <w:rPr>
          <w:color w:val="000000" w:themeColor="text1"/>
          <w14:textFill>
            <w14:solidFill>
              <w14:schemeClr w14:val="tx1"/>
            </w14:solidFill>
          </w14:textFill>
        </w:rPr>
      </w:pPr>
      <w:r>
        <w:rPr>
          <w:color w:val="000000" w:themeColor="text1"/>
          <w14:textFill>
            <w14:solidFill>
              <w14:schemeClr w14:val="tx1"/>
            </w14:solidFill>
          </w14:textFill>
        </w:rPr>
        <w:t>druh obchodu, napríklad kúpa alebo predaj, poskytnutie služby, obchodné zastúpenie, licencie, transfery, know-how, úver, pôžička, výpomoc,</w:t>
      </w:r>
      <w:r>
        <w:rPr>
          <w:color w:val="000000" w:themeColor="text1"/>
          <w:spacing w:val="-17"/>
          <w14:textFill>
            <w14:solidFill>
              <w14:schemeClr w14:val="tx1"/>
            </w14:solidFill>
          </w14:textFill>
        </w:rPr>
        <w:t xml:space="preserve"> </w:t>
      </w:r>
      <w:r>
        <w:rPr>
          <w:color w:val="000000" w:themeColor="text1"/>
          <w14:textFill>
            <w14:solidFill>
              <w14:schemeClr w14:val="tx1"/>
            </w14:solidFill>
          </w14:textFill>
        </w:rPr>
        <w:t>záruka,</w:t>
      </w:r>
    </w:p>
    <w:p>
      <w:pPr>
        <w:pStyle w:val="10"/>
        <w:numPr>
          <w:ilvl w:val="2"/>
          <w:numId w:val="1"/>
        </w:numPr>
        <w:tabs>
          <w:tab w:val="left" w:pos="851"/>
          <w:tab w:val="left" w:pos="9781"/>
        </w:tabs>
        <w:ind w:left="851" w:right="569" w:hanging="358"/>
        <w:jc w:val="both"/>
        <w:rPr>
          <w:color w:val="000000" w:themeColor="text1"/>
          <w14:textFill>
            <w14:solidFill>
              <w14:schemeClr w14:val="tx1"/>
            </w14:solidFill>
          </w14:textFill>
        </w:rPr>
      </w:pPr>
      <w:r>
        <w:rPr>
          <w:color w:val="000000" w:themeColor="text1"/>
          <w14:textFill>
            <w14:solidFill>
              <w14:schemeClr w14:val="tx1"/>
            </w14:solidFill>
          </w14:textFill>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osobami,</w:t>
      </w:r>
    </w:p>
    <w:p>
      <w:pPr>
        <w:pStyle w:val="10"/>
        <w:numPr>
          <w:ilvl w:val="1"/>
          <w:numId w:val="1"/>
        </w:numPr>
        <w:tabs>
          <w:tab w:val="left" w:pos="426"/>
          <w:tab w:val="left" w:pos="9781"/>
        </w:tabs>
        <w:ind w:left="426" w:right="575" w:hanging="284"/>
        <w:jc w:val="both"/>
        <w:rPr>
          <w:color w:val="000000" w:themeColor="text1"/>
          <w14:textFill>
            <w14:solidFill>
              <w14:schemeClr w14:val="tx1"/>
            </w14:solidFill>
          </w14:textFill>
        </w:rPr>
      </w:pPr>
      <w:r>
        <w:rPr>
          <w:color w:val="000000" w:themeColor="text1"/>
          <w14:textFill>
            <w14:solidFill>
              <w14:schemeClr w14:val="tx1"/>
            </w14:solidFill>
          </w14:textFill>
        </w:rPr>
        <w:t>o obchodoch podľa písmena a), ktoré sú rovnakého druhu a uvádzajú sa kumulovane okrem informácií o týchto obchodoch, ktoré sa v súlade s požiadavkami na uvádzané informácie podľa § 3 ods. 1 uvádzajú samostatne.</w:t>
      </w:r>
    </w:p>
    <w:p>
      <w:pPr>
        <w:pStyle w:val="5"/>
        <w:tabs>
          <w:tab w:val="left" w:pos="9781"/>
        </w:tabs>
        <w:jc w:val="both"/>
        <w:rPr>
          <w:color w:val="000000" w:themeColor="text1"/>
          <w14:textFill>
            <w14:solidFill>
              <w14:schemeClr w14:val="tx1"/>
            </w14:solidFill>
          </w14:textFill>
        </w:rPr>
      </w:pPr>
    </w:p>
    <w:p>
      <w:pPr>
        <w:pStyle w:val="2"/>
        <w:numPr>
          <w:ilvl w:val="0"/>
          <w:numId w:val="1"/>
        </w:numPr>
        <w:tabs>
          <w:tab w:val="left" w:pos="9781"/>
        </w:tabs>
        <w:ind w:left="284"/>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V časti o skutočnostiach, ktoré nastali po dni, ku ktorému sa zostavuje účtovná závierka do dňa zostavenia účtovnej závierky sa uvádzajú informácie o</w:t>
      </w:r>
    </w:p>
    <w:p>
      <w:pPr>
        <w:pStyle w:val="5"/>
        <w:tabs>
          <w:tab w:val="left" w:pos="9781"/>
        </w:tabs>
        <w:spacing w:before="10"/>
        <w:jc w:val="both"/>
        <w:rPr>
          <w:b/>
          <w:color w:val="000000" w:themeColor="text1"/>
          <w:sz w:val="21"/>
          <w14:textFill>
            <w14:solidFill>
              <w14:schemeClr w14:val="tx1"/>
            </w14:solidFill>
          </w14:textFill>
        </w:rPr>
      </w:pPr>
    </w:p>
    <w:p>
      <w:pPr>
        <w:pStyle w:val="10"/>
        <w:numPr>
          <w:ilvl w:val="1"/>
          <w:numId w:val="1"/>
        </w:numPr>
        <w:tabs>
          <w:tab w:val="left" w:pos="426"/>
          <w:tab w:val="left" w:pos="9781"/>
        </w:tabs>
        <w:spacing w:before="1"/>
        <w:ind w:left="426" w:right="571" w:hanging="284"/>
        <w:jc w:val="both"/>
        <w:rPr>
          <w:color w:val="000000" w:themeColor="text1"/>
          <w14:textFill>
            <w14:solidFill>
              <w14:schemeClr w14:val="tx1"/>
            </w14:solidFill>
          </w14:textFill>
        </w:rPr>
      </w:pPr>
      <w:r>
        <w:rPr>
          <w:color w:val="000000" w:themeColor="text1"/>
          <w14:textFill>
            <w14:solidFill>
              <w14:schemeClr w14:val="tx1"/>
            </w14:solidFill>
          </w14:textFill>
        </w:rPr>
        <w:t>poklese alebo zvýšení trhovej ceny finančného majetku ako dôsledku okolností, ktoré nastali po dni, ku ktorému sa zostavuje účtovná závierka do dňa zostavenia účtovnej závierky s uvedením dôvodu týchto</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zmien,</w:t>
      </w:r>
    </w:p>
    <w:p>
      <w:pPr>
        <w:pStyle w:val="10"/>
        <w:numPr>
          <w:ilvl w:val="1"/>
          <w:numId w:val="1"/>
        </w:numPr>
        <w:tabs>
          <w:tab w:val="left" w:pos="426"/>
          <w:tab w:val="left" w:pos="9781"/>
        </w:tabs>
        <w:spacing w:before="1"/>
        <w:ind w:left="426" w:right="572" w:hanging="284"/>
        <w:jc w:val="both"/>
        <w:rPr>
          <w:color w:val="000000" w:themeColor="text1"/>
          <w14:textFill>
            <w14:solidFill>
              <w14:schemeClr w14:val="tx1"/>
            </w14:solidFill>
          </w14:textFill>
        </w:rPr>
      </w:pPr>
      <w:r>
        <w:rPr>
          <w:color w:val="000000" w:themeColor="text1"/>
          <w14:textFill>
            <w14:solidFill>
              <w14:schemeClr w14:val="tx1"/>
            </w14:solidFill>
          </w14:textFill>
        </w:rPr>
        <w:t>dôvodoch pre zmenu výšky rezerv a opravných položiek, o ktorých sa účtovná jednotka dozvedela medzi dňom, ku ktorému účtovná závierka zostavuje a dňom jej zostavenia a ktoré sa týkajú ich stavu ku dňu, ku ktorému sa zostavuje účtovná</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závierka,</w:t>
      </w:r>
    </w:p>
    <w:p>
      <w:pPr>
        <w:pStyle w:val="10"/>
        <w:numPr>
          <w:ilvl w:val="1"/>
          <w:numId w:val="1"/>
        </w:numPr>
        <w:tabs>
          <w:tab w:val="left" w:pos="426"/>
          <w:tab w:val="left" w:pos="9781"/>
        </w:tabs>
        <w:spacing w:line="251"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zmene spoločníkov účtovnej</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jednotky,</w:t>
      </w:r>
    </w:p>
    <w:p>
      <w:pPr>
        <w:pStyle w:val="10"/>
        <w:numPr>
          <w:ilvl w:val="1"/>
          <w:numId w:val="1"/>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prijatí rozhodnutia o predaji účtovnej jednotky alebo jej</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časti,</w:t>
      </w:r>
    </w:p>
    <w:p>
      <w:pPr>
        <w:pStyle w:val="10"/>
        <w:numPr>
          <w:ilvl w:val="1"/>
          <w:numId w:val="1"/>
        </w:numPr>
        <w:tabs>
          <w:tab w:val="left" w:pos="426"/>
          <w:tab w:val="left" w:pos="9781"/>
        </w:tabs>
        <w:spacing w:before="2"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zmenách významných položiek dlhodobého finančného</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majetku,</w:t>
      </w:r>
    </w:p>
    <w:p>
      <w:pPr>
        <w:pStyle w:val="10"/>
        <w:numPr>
          <w:ilvl w:val="1"/>
          <w:numId w:val="1"/>
        </w:numPr>
        <w:tabs>
          <w:tab w:val="left" w:pos="426"/>
          <w:tab w:val="left" w:pos="9781"/>
        </w:tabs>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začatí alebo ukončení činnosti časti účtovnej jednotky, napríklad odštepného závodu, organizačnej zložky,</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prevádzkarne,</w:t>
      </w:r>
    </w:p>
    <w:p>
      <w:pPr>
        <w:pStyle w:val="10"/>
        <w:numPr>
          <w:ilvl w:val="1"/>
          <w:numId w:val="1"/>
        </w:numPr>
        <w:tabs>
          <w:tab w:val="left" w:pos="426"/>
          <w:tab w:val="left" w:pos="9781"/>
        </w:tabs>
        <w:spacing w:line="251"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vydaných dlhopisoch a iných cenných</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papierov,</w:t>
      </w:r>
    </w:p>
    <w:p>
      <w:pPr>
        <w:pStyle w:val="10"/>
        <w:numPr>
          <w:ilvl w:val="1"/>
          <w:numId w:val="1"/>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zlúčení, splynutí, rozdelení a zmene právnej formy účtovnej</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jednotky,</w:t>
      </w:r>
    </w:p>
    <w:p>
      <w:pPr>
        <w:pStyle w:val="10"/>
        <w:numPr>
          <w:ilvl w:val="1"/>
          <w:numId w:val="1"/>
        </w:numPr>
        <w:tabs>
          <w:tab w:val="left" w:pos="426"/>
          <w:tab w:val="left" w:pos="9781"/>
        </w:tabs>
        <w:spacing w:line="242" w:lineRule="auto"/>
        <w:ind w:left="426" w:right="577" w:hanging="284"/>
        <w:jc w:val="both"/>
        <w:rPr>
          <w:color w:val="000000" w:themeColor="text1"/>
          <w14:textFill>
            <w14:solidFill>
              <w14:schemeClr w14:val="tx1"/>
            </w14:solidFill>
          </w14:textFill>
        </w:rPr>
      </w:pPr>
      <w:r>
        <w:rPr>
          <w:color w:val="000000" w:themeColor="text1"/>
          <w14:textFill>
            <w14:solidFill>
              <w14:schemeClr w14:val="tx1"/>
            </w14:solidFill>
          </w14:textFill>
        </w:rPr>
        <w:t>mimoriadnych udalostiach, ak majú vplyv na hospodárenie účtovnej jednotky, napríklad o živelnej pohrome,</w:t>
      </w:r>
    </w:p>
    <w:p>
      <w:pPr>
        <w:pStyle w:val="10"/>
        <w:numPr>
          <w:ilvl w:val="1"/>
          <w:numId w:val="1"/>
        </w:numPr>
        <w:tabs>
          <w:tab w:val="left" w:pos="426"/>
          <w:tab w:val="left" w:pos="9781"/>
        </w:tabs>
        <w:spacing w:line="250"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získaní alebo odobratí licencií alebo iných povolení významných pre činnosť účtovnej</w:t>
      </w:r>
      <w:r>
        <w:rPr>
          <w:color w:val="000000" w:themeColor="text1"/>
          <w:spacing w:val="-23"/>
          <w14:textFill>
            <w14:solidFill>
              <w14:schemeClr w14:val="tx1"/>
            </w14:solidFill>
          </w14:textFill>
        </w:rPr>
        <w:t xml:space="preserve"> </w:t>
      </w:r>
      <w:r>
        <w:rPr>
          <w:color w:val="000000" w:themeColor="text1"/>
          <w14:textFill>
            <w14:solidFill>
              <w14:schemeClr w14:val="tx1"/>
            </w14:solidFill>
          </w14:textFill>
        </w:rPr>
        <w:t>jednotky.</w:t>
      </w:r>
    </w:p>
    <w:p>
      <w:pPr>
        <w:pStyle w:val="5"/>
        <w:tabs>
          <w:tab w:val="left" w:pos="9781"/>
        </w:tabs>
        <w:spacing w:before="10"/>
        <w:jc w:val="both"/>
        <w:rPr>
          <w:color w:val="000000" w:themeColor="text1"/>
          <w:sz w:val="21"/>
          <w14:textFill>
            <w14:solidFill>
              <w14:schemeClr w14:val="tx1"/>
            </w14:solidFill>
          </w14:textFill>
        </w:rPr>
      </w:pPr>
    </w:p>
    <w:p>
      <w:pPr>
        <w:pStyle w:val="2"/>
        <w:numPr>
          <w:ilvl w:val="0"/>
          <w:numId w:val="1"/>
        </w:numPr>
        <w:tabs>
          <w:tab w:val="left" w:pos="9781"/>
        </w:tabs>
        <w:ind w:left="284"/>
        <w:jc w:val="both"/>
        <w:rPr>
          <w:b w:val="0"/>
          <w:color w:val="000000" w:themeColor="text1"/>
          <w14:textFill>
            <w14:solidFill>
              <w14:schemeClr w14:val="tx1"/>
            </w14:solidFill>
          </w14:textFill>
        </w:rPr>
      </w:pPr>
      <w:r>
        <w:rPr>
          <w:color w:val="000000" w:themeColor="text1"/>
          <w:sz w:val="24"/>
          <w14:textFill>
            <w14:solidFill>
              <w14:schemeClr w14:val="tx1"/>
            </w14:solidFill>
          </w14:textFill>
        </w:rPr>
        <w:t xml:space="preserve">V časti o prehľade zmien vlastného imania </w:t>
      </w:r>
      <w:r>
        <w:rPr>
          <w:b w:val="0"/>
          <w:color w:val="000000" w:themeColor="text1"/>
          <w14:textFill>
            <w14:solidFill>
              <w14:schemeClr w14:val="tx1"/>
            </w14:solidFill>
          </w14:textFill>
        </w:rPr>
        <w:t>sa uvádza stav vlastného imania na začiatku bežného účtovného obdobia, zvýšenie alebo zníženie počas bežného účtovného obdobia a stav na konci bežného účtovného obdobia a dôvody zmien v členení na</w:t>
      </w:r>
    </w:p>
    <w:p>
      <w:pPr>
        <w:pStyle w:val="5"/>
        <w:tabs>
          <w:tab w:val="left" w:pos="9781"/>
        </w:tabs>
        <w:spacing w:before="1"/>
        <w:jc w:val="both"/>
        <w:rPr>
          <w:color w:val="000000" w:themeColor="text1"/>
          <w14:textFill>
            <w14:solidFill>
              <w14:schemeClr w14:val="tx1"/>
            </w14:solidFill>
          </w14:textFill>
        </w:rPr>
      </w:pPr>
    </w:p>
    <w:p>
      <w:pPr>
        <w:pStyle w:val="10"/>
        <w:numPr>
          <w:ilvl w:val="1"/>
          <w:numId w:val="1"/>
        </w:numPr>
        <w:tabs>
          <w:tab w:val="left" w:pos="426"/>
          <w:tab w:val="left" w:pos="9781"/>
        </w:tabs>
        <w:spacing w:line="252" w:lineRule="exact"/>
        <w:ind w:left="426"/>
        <w:jc w:val="both"/>
        <w:rPr>
          <w:color w:val="000000" w:themeColor="text1"/>
          <w14:textFill>
            <w14:solidFill>
              <w14:schemeClr w14:val="tx1"/>
            </w14:solidFill>
          </w14:textFill>
        </w:rPr>
      </w:pPr>
      <w:r>
        <w:rPr>
          <w:color w:val="000000" w:themeColor="text1"/>
          <w14:textFill>
            <w14:solidFill>
              <w14:schemeClr w14:val="tx1"/>
            </w14:solidFill>
          </w14:textFill>
        </w:rPr>
        <w:t>základné imanie zapísané do obchodného</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registra,</w:t>
      </w:r>
    </w:p>
    <w:p>
      <w:pPr>
        <w:pStyle w:val="10"/>
        <w:numPr>
          <w:ilvl w:val="1"/>
          <w:numId w:val="1"/>
        </w:numPr>
        <w:tabs>
          <w:tab w:val="left" w:pos="426"/>
          <w:tab w:val="left" w:pos="9781"/>
        </w:tabs>
        <w:spacing w:line="252" w:lineRule="exact"/>
        <w:ind w:left="426"/>
        <w:jc w:val="both"/>
        <w:rPr>
          <w:color w:val="000000" w:themeColor="text1"/>
          <w14:textFill>
            <w14:solidFill>
              <w14:schemeClr w14:val="tx1"/>
            </w14:solidFill>
          </w14:textFill>
        </w:rPr>
      </w:pPr>
      <w:r>
        <w:rPr>
          <w:color w:val="000000" w:themeColor="text1"/>
          <w14:textFill>
            <w14:solidFill>
              <w14:schemeClr w14:val="tx1"/>
            </w14:solidFill>
          </w14:textFill>
        </w:rPr>
        <w:t>základné imanie nezapísané do obchodného</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registra,</w:t>
      </w:r>
    </w:p>
    <w:p>
      <w:pPr>
        <w:pStyle w:val="10"/>
        <w:numPr>
          <w:ilvl w:val="1"/>
          <w:numId w:val="1"/>
        </w:numPr>
        <w:tabs>
          <w:tab w:val="left" w:pos="426"/>
          <w:tab w:val="left" w:pos="9781"/>
        </w:tabs>
        <w:spacing w:line="252" w:lineRule="exact"/>
        <w:ind w:left="426"/>
        <w:jc w:val="both"/>
        <w:rPr>
          <w:color w:val="000000" w:themeColor="text1"/>
          <w14:textFill>
            <w14:solidFill>
              <w14:schemeClr w14:val="tx1"/>
            </w14:solidFill>
          </w14:textFill>
        </w:rPr>
      </w:pPr>
      <w:r>
        <w:rPr>
          <w:color w:val="000000" w:themeColor="text1"/>
          <w14:textFill>
            <w14:solidFill>
              <w14:schemeClr w14:val="tx1"/>
            </w14:solidFill>
          </w14:textFill>
        </w:rPr>
        <w:t>emisné</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ážio,</w:t>
      </w:r>
    </w:p>
    <w:p>
      <w:pPr>
        <w:pStyle w:val="2"/>
        <w:numPr>
          <w:ilvl w:val="1"/>
          <w:numId w:val="1"/>
        </w:numPr>
        <w:tabs>
          <w:tab w:val="left" w:pos="426"/>
          <w:tab w:val="left" w:pos="9781"/>
        </w:tabs>
        <w:spacing w:line="252" w:lineRule="exact"/>
        <w:ind w:left="426"/>
        <w:jc w:val="both"/>
        <w:rPr>
          <w:color w:val="000000" w:themeColor="text1"/>
          <w14:textFill>
            <w14:solidFill>
              <w14:schemeClr w14:val="tx1"/>
            </w14:solidFill>
          </w14:textFill>
        </w:rPr>
      </w:pPr>
      <w:r>
        <w:rPr>
          <w:color w:val="000000" w:themeColor="text1"/>
          <w14:textFill>
            <w14:solidFill>
              <w14:schemeClr w14:val="tx1"/>
            </w14:solidFill>
          </w14:textFill>
        </w:rPr>
        <w:t>zákonné rezervné</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fondy,</w:t>
      </w:r>
    </w:p>
    <w:p>
      <w:pPr>
        <w:pStyle w:val="10"/>
        <w:numPr>
          <w:ilvl w:val="1"/>
          <w:numId w:val="1"/>
        </w:numPr>
        <w:tabs>
          <w:tab w:val="left" w:pos="426"/>
          <w:tab w:val="left" w:pos="9781"/>
        </w:tabs>
        <w:spacing w:before="2"/>
        <w:ind w:left="426"/>
        <w:jc w:val="both"/>
        <w:rPr>
          <w:color w:val="000000" w:themeColor="text1"/>
          <w14:textFill>
            <w14:solidFill>
              <w14:schemeClr w14:val="tx1"/>
            </w14:solidFill>
          </w14:textFill>
        </w:rPr>
      </w:pPr>
      <w:r>
        <w:rPr>
          <w:color w:val="000000" w:themeColor="text1"/>
          <w14:textFill>
            <w14:solidFill>
              <w14:schemeClr w14:val="tx1"/>
            </w14:solidFill>
          </w14:textFill>
        </w:rPr>
        <w:t>ostatné kapitálové</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fondy,</w:t>
      </w:r>
    </w:p>
    <w:p>
      <w:pPr>
        <w:pStyle w:val="10"/>
        <w:numPr>
          <w:ilvl w:val="1"/>
          <w:numId w:val="1"/>
        </w:numPr>
        <w:tabs>
          <w:tab w:val="left" w:pos="426"/>
          <w:tab w:val="left" w:pos="9781"/>
        </w:tabs>
        <w:spacing w:line="252" w:lineRule="exact"/>
        <w:ind w:left="426"/>
        <w:jc w:val="both"/>
        <w:rPr>
          <w:color w:val="000000" w:themeColor="text1"/>
          <w14:textFill>
            <w14:solidFill>
              <w14:schemeClr w14:val="tx1"/>
            </w14:solidFill>
          </w14:textFill>
        </w:rPr>
      </w:pPr>
      <w:r>
        <w:rPr>
          <w:color w:val="000000" w:themeColor="text1"/>
          <w14:textFill>
            <w14:solidFill>
              <w14:schemeClr w14:val="tx1"/>
            </w14:solidFill>
          </w14:textFill>
        </w:rPr>
        <w:t>oceňovacie rozdiely nezahrnuté do výsledku</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hospodárenia,</w:t>
      </w:r>
    </w:p>
    <w:p>
      <w:pPr>
        <w:pStyle w:val="10"/>
        <w:numPr>
          <w:ilvl w:val="1"/>
          <w:numId w:val="1"/>
        </w:numPr>
        <w:tabs>
          <w:tab w:val="left" w:pos="426"/>
          <w:tab w:val="left" w:pos="9781"/>
        </w:tabs>
        <w:spacing w:line="252" w:lineRule="exact"/>
        <w:ind w:left="426"/>
        <w:jc w:val="both"/>
        <w:rPr>
          <w:color w:val="000000" w:themeColor="text1"/>
          <w14:textFill>
            <w14:solidFill>
              <w14:schemeClr w14:val="tx1"/>
            </w14:solidFill>
          </w14:textFill>
        </w:rPr>
      </w:pPr>
      <w:r>
        <w:rPr>
          <w:b/>
          <w:color w:val="000000" w:themeColor="text1"/>
          <w14:textFill>
            <w14:solidFill>
              <w14:schemeClr w14:val="tx1"/>
            </w14:solidFill>
          </w14:textFill>
        </w:rPr>
        <w:t xml:space="preserve">ostatné fondy </w:t>
      </w:r>
      <w:r>
        <w:rPr>
          <w:color w:val="000000" w:themeColor="text1"/>
          <w14:textFill>
            <w14:solidFill>
              <w14:schemeClr w14:val="tx1"/>
            </w14:solidFill>
          </w14:textFill>
        </w:rPr>
        <w:t>tvorené zo</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zisku,</w:t>
      </w:r>
    </w:p>
    <w:p>
      <w:pPr>
        <w:pStyle w:val="10"/>
        <w:numPr>
          <w:ilvl w:val="1"/>
          <w:numId w:val="1"/>
        </w:numPr>
        <w:tabs>
          <w:tab w:val="left" w:pos="426"/>
          <w:tab w:val="left" w:pos="9781"/>
        </w:tabs>
        <w:spacing w:line="252" w:lineRule="exact"/>
        <w:ind w:left="426"/>
        <w:jc w:val="both"/>
        <w:rPr>
          <w:color w:val="000000" w:themeColor="text1"/>
          <w14:textFill>
            <w14:solidFill>
              <w14:schemeClr w14:val="tx1"/>
            </w14:solidFill>
          </w14:textFill>
        </w:rPr>
      </w:pPr>
      <w:r>
        <w:rPr>
          <w:color w:val="000000" w:themeColor="text1"/>
          <w14:textFill>
            <w14:solidFill>
              <w14:schemeClr w14:val="tx1"/>
            </w14:solidFill>
          </w14:textFill>
        </w:rPr>
        <w:t>nerozdelený zisk minulých</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rokov,</w:t>
      </w:r>
    </w:p>
    <w:p>
      <w:pPr>
        <w:pStyle w:val="10"/>
        <w:numPr>
          <w:ilvl w:val="1"/>
          <w:numId w:val="1"/>
        </w:numPr>
        <w:tabs>
          <w:tab w:val="left" w:pos="426"/>
          <w:tab w:val="left" w:pos="9781"/>
        </w:tabs>
        <w:spacing w:line="252" w:lineRule="exact"/>
        <w:ind w:left="426"/>
        <w:jc w:val="both"/>
        <w:rPr>
          <w:color w:val="000000" w:themeColor="text1"/>
          <w14:textFill>
            <w14:solidFill>
              <w14:schemeClr w14:val="tx1"/>
            </w14:solidFill>
          </w14:textFill>
        </w:rPr>
      </w:pPr>
      <w:r>
        <w:rPr>
          <w:color w:val="000000" w:themeColor="text1"/>
          <w14:textFill>
            <w14:solidFill>
              <w14:schemeClr w14:val="tx1"/>
            </w14:solidFill>
          </w14:textFill>
        </w:rPr>
        <w:t>neuhradená strata minulých</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rokov,</w:t>
      </w:r>
    </w:p>
    <w:p>
      <w:pPr>
        <w:pStyle w:val="10"/>
        <w:numPr>
          <w:ilvl w:val="1"/>
          <w:numId w:val="1"/>
        </w:numPr>
        <w:tabs>
          <w:tab w:val="left" w:pos="426"/>
          <w:tab w:val="left" w:pos="9781"/>
        </w:tabs>
        <w:spacing w:before="2" w:line="252" w:lineRule="exact"/>
        <w:ind w:left="426"/>
        <w:jc w:val="both"/>
        <w:rPr>
          <w:color w:val="000000" w:themeColor="text1"/>
          <w14:textFill>
            <w14:solidFill>
              <w14:schemeClr w14:val="tx1"/>
            </w14:solidFill>
          </w14:textFill>
        </w:rPr>
      </w:pPr>
      <w:r>
        <w:rPr>
          <w:color w:val="000000" w:themeColor="text1"/>
          <w14:textFill>
            <w14:solidFill>
              <w14:schemeClr w14:val="tx1"/>
            </w14:solidFill>
          </w14:textFill>
        </w:rPr>
        <w:t>účtovný zisk alebo účtovná</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strata,</w:t>
      </w:r>
    </w:p>
    <w:p>
      <w:pPr>
        <w:pStyle w:val="10"/>
        <w:numPr>
          <w:ilvl w:val="1"/>
          <w:numId w:val="1"/>
        </w:numPr>
        <w:tabs>
          <w:tab w:val="left" w:pos="426"/>
          <w:tab w:val="left" w:pos="9781"/>
        </w:tabs>
        <w:spacing w:line="252" w:lineRule="exact"/>
        <w:ind w:left="426"/>
        <w:jc w:val="both"/>
        <w:rPr>
          <w:color w:val="000000" w:themeColor="text1"/>
          <w14:textFill>
            <w14:solidFill>
              <w14:schemeClr w14:val="tx1"/>
            </w14:solidFill>
          </w14:textFill>
        </w:rPr>
      </w:pPr>
      <w:r>
        <w:rPr>
          <w:color w:val="000000" w:themeColor="text1"/>
          <w14:textFill>
            <w14:solidFill>
              <w14:schemeClr w14:val="tx1"/>
            </w14:solidFill>
          </w14:textFill>
        </w:rPr>
        <w:t>vyplatené</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dividendy,</w:t>
      </w:r>
    </w:p>
    <w:p>
      <w:pPr>
        <w:pStyle w:val="10"/>
        <w:numPr>
          <w:ilvl w:val="1"/>
          <w:numId w:val="1"/>
        </w:numPr>
        <w:tabs>
          <w:tab w:val="left" w:pos="426"/>
          <w:tab w:val="left" w:pos="9781"/>
        </w:tabs>
        <w:spacing w:line="252" w:lineRule="exact"/>
        <w:ind w:left="426"/>
        <w:jc w:val="both"/>
        <w:rPr>
          <w:color w:val="000000" w:themeColor="text1"/>
          <w14:textFill>
            <w14:solidFill>
              <w14:schemeClr w14:val="tx1"/>
            </w14:solidFill>
          </w14:textFill>
        </w:rPr>
      </w:pPr>
      <w:r>
        <w:rPr>
          <w:color w:val="000000" w:themeColor="text1"/>
          <w14:textFill>
            <w14:solidFill>
              <w14:schemeClr w14:val="tx1"/>
            </w14:solidFill>
          </w14:textFill>
        </w:rPr>
        <w:t>ďalšie zmeny vlastného</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imania,</w:t>
      </w:r>
    </w:p>
    <w:p>
      <w:pPr>
        <w:pStyle w:val="10"/>
        <w:numPr>
          <w:ilvl w:val="1"/>
          <w:numId w:val="1"/>
        </w:numPr>
        <w:tabs>
          <w:tab w:val="left" w:pos="426"/>
          <w:tab w:val="left" w:pos="9781"/>
        </w:tabs>
        <w:spacing w:line="252" w:lineRule="exact"/>
        <w:ind w:left="426"/>
        <w:jc w:val="both"/>
        <w:rPr>
          <w:color w:val="000000" w:themeColor="text1"/>
          <w14:textFill>
            <w14:solidFill>
              <w14:schemeClr w14:val="tx1"/>
            </w14:solidFill>
          </w14:textFill>
        </w:rPr>
      </w:pPr>
      <w:r>
        <w:rPr>
          <w:color w:val="000000" w:themeColor="text1"/>
          <w14:textFill>
            <w14:solidFill>
              <w14:schemeClr w14:val="tx1"/>
            </w14:solidFill>
          </w14:textFill>
        </w:rPr>
        <w:t>zmeny účtované na účte 491 – Vlastné imanie fyzickej osoby –</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podnikateľa.</w:t>
      </w:r>
    </w:p>
    <w:p>
      <w:pPr>
        <w:pStyle w:val="5"/>
        <w:tabs>
          <w:tab w:val="left" w:pos="9781"/>
        </w:tabs>
        <w:spacing w:before="10"/>
        <w:jc w:val="both"/>
        <w:rPr>
          <w:color w:val="000000" w:themeColor="text1"/>
          <w:sz w:val="21"/>
          <w14:textFill>
            <w14:solidFill>
              <w14:schemeClr w14:val="tx1"/>
            </w14:solidFill>
          </w14:textFill>
        </w:rPr>
      </w:pPr>
    </w:p>
    <w:p>
      <w:pPr>
        <w:pStyle w:val="2"/>
        <w:numPr>
          <w:ilvl w:val="0"/>
          <w:numId w:val="9"/>
        </w:numPr>
        <w:tabs>
          <w:tab w:val="left" w:pos="9781"/>
        </w:tabs>
        <w:ind w:left="284"/>
        <w:jc w:val="both"/>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V časti o prehľade peňažných tokov sa uvádzajú informácie o</w:t>
      </w:r>
    </w:p>
    <w:p>
      <w:pPr>
        <w:pStyle w:val="5"/>
        <w:tabs>
          <w:tab w:val="left" w:pos="9781"/>
        </w:tabs>
        <w:spacing w:before="1"/>
        <w:jc w:val="both"/>
        <w:rPr>
          <w:b/>
          <w:color w:val="000000" w:themeColor="text1"/>
          <w14:textFill>
            <w14:solidFill>
              <w14:schemeClr w14:val="tx1"/>
            </w14:solidFill>
          </w14:textFill>
        </w:rPr>
      </w:pP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peňažných tokoch, ktorými sú príjmy a výdavky peňažných prostriedkov a prírastky a úbytky peňažných ekvivalentov,</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pričom</w:t>
      </w:r>
    </w:p>
    <w:p>
      <w:pPr>
        <w:pStyle w:val="10"/>
        <w:numPr>
          <w:ilvl w:val="2"/>
          <w:numId w:val="10"/>
        </w:numPr>
        <w:tabs>
          <w:tab w:val="left" w:pos="851"/>
          <w:tab w:val="left" w:pos="9781"/>
        </w:tabs>
        <w:ind w:left="851" w:right="569" w:hanging="358"/>
        <w:jc w:val="both"/>
        <w:rPr>
          <w:color w:val="000000" w:themeColor="text1"/>
          <w14:textFill>
            <w14:solidFill>
              <w14:schemeClr w14:val="tx1"/>
            </w14:solidFill>
          </w14:textFill>
        </w:rPr>
      </w:pPr>
      <w:r>
        <w:rPr>
          <w:color w:val="000000" w:themeColor="text1"/>
          <w14:textFill>
            <w14:solidFill>
              <w14:schemeClr w14:val="tx1"/>
            </w14:solidFill>
          </w14:textFill>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účtami,</w:t>
      </w:r>
    </w:p>
    <w:p>
      <w:pPr>
        <w:pStyle w:val="10"/>
        <w:numPr>
          <w:ilvl w:val="2"/>
          <w:numId w:val="10"/>
        </w:numPr>
        <w:tabs>
          <w:tab w:val="left" w:pos="851"/>
          <w:tab w:val="left" w:pos="9781"/>
        </w:tabs>
        <w:ind w:left="851" w:right="572" w:hanging="358"/>
        <w:jc w:val="both"/>
        <w:rPr>
          <w:color w:val="000000" w:themeColor="text1"/>
          <w14:textFill>
            <w14:solidFill>
              <w14:schemeClr w14:val="tx1"/>
            </w14:solidFill>
          </w14:textFill>
        </w:rPr>
      </w:pPr>
      <w:r>
        <w:rPr>
          <w:color w:val="000000" w:themeColor="text1"/>
          <w14:textFill>
            <w14:solidFill>
              <w14:schemeClr w14:val="tx1"/>
            </w14:solidFill>
          </w14:textFill>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závierka,</w:t>
      </w:r>
    </w:p>
    <w:p>
      <w:pPr>
        <w:tabs>
          <w:tab w:val="left" w:pos="851"/>
          <w:tab w:val="left" w:pos="9781"/>
        </w:tabs>
        <w:spacing w:before="120"/>
        <w:ind w:left="493" w:right="573"/>
        <w:jc w:val="both"/>
        <w:rPr>
          <w:color w:val="000000" w:themeColor="text1"/>
          <w14:textFill>
            <w14:solidFill>
              <w14:schemeClr w14:val="tx1"/>
            </w14:solidFill>
          </w14:textFill>
        </w:rPr>
      </w:pPr>
      <w:r>
        <w:rPr>
          <w:b/>
          <w:color w:val="000000" w:themeColor="text1"/>
          <w14:textFill>
            <w14:solidFill>
              <w14:schemeClr w14:val="tx1"/>
            </w14:solidFill>
          </w14:textFill>
        </w:rPr>
        <w:t xml:space="preserve">RSP malo </w:t>
      </w:r>
      <w:r>
        <w:rPr>
          <w:color w:val="000000" w:themeColor="text1"/>
          <w14:textFill>
            <w14:solidFill>
              <w14:schemeClr w14:val="tx1"/>
            </w14:solidFill>
          </w14:textFill>
        </w:rPr>
        <w:t xml:space="preserve">v období, za ktoré je zostavená účtovná závierka, nasledujúce </w:t>
      </w:r>
      <w:r>
        <w:rPr>
          <w:b/>
          <w:color w:val="000000" w:themeColor="text1"/>
          <w14:textFill>
            <w14:solidFill>
              <w14:schemeClr w14:val="tx1"/>
            </w14:solidFill>
          </w14:textFill>
        </w:rPr>
        <w:t>príjmy v členení podľa zdrojov</w:t>
      </w:r>
      <w:r>
        <w:rPr>
          <w:color w:val="000000" w:themeColor="text1"/>
          <w14:textFill>
            <w14:solidFill>
              <w14:schemeClr w14:val="tx1"/>
            </w14:solidFill>
          </w14:textFill>
        </w:rPr>
        <w:t>:</w:t>
      </w:r>
    </w:p>
    <w:p>
      <w:pPr>
        <w:tabs>
          <w:tab w:val="left" w:pos="851"/>
          <w:tab w:val="left" w:pos="9781"/>
        </w:tabs>
        <w:ind w:left="493" w:right="572"/>
        <w:jc w:val="both"/>
        <w:rPr>
          <w:color w:val="000000" w:themeColor="text1"/>
          <w14:textFill>
            <w14:solidFill>
              <w14:schemeClr w14:val="tx1"/>
            </w14:solidFill>
          </w14:textFill>
        </w:rPr>
      </w:pPr>
      <w:r>
        <w:rPr>
          <w:color w:val="000000" w:themeColor="text1"/>
          <w14:textFill>
            <w14:solidFill>
              <w14:schemeClr w14:val="tx1"/>
            </w14:solidFill>
          </w14:textFill>
        </w:rPr>
        <w:t>.................</w:t>
      </w:r>
      <w:r>
        <w:rPr>
          <w:rFonts w:hint="default"/>
          <w:color w:val="000000" w:themeColor="text1"/>
          <w:lang w:val="sk-SK"/>
          <w14:textFill>
            <w14:solidFill>
              <w14:schemeClr w14:val="tx1"/>
            </w14:solidFill>
          </w14:textFill>
        </w:rPr>
        <w:t>1 470,00</w:t>
      </w:r>
      <w:bookmarkStart w:id="0" w:name="_GoBack"/>
      <w:bookmarkEnd w:id="0"/>
      <w:r>
        <w:rPr>
          <w:color w:val="000000" w:themeColor="text1"/>
          <w14:textFill>
            <w14:solidFill>
              <w14:schemeClr w14:val="tx1"/>
            </w14:solidFill>
          </w14:textFill>
        </w:rPr>
        <w:t>............................</w:t>
      </w:r>
    </w:p>
    <w:p>
      <w:pPr>
        <w:pStyle w:val="10"/>
        <w:numPr>
          <w:ilvl w:val="1"/>
          <w:numId w:val="10"/>
        </w:numPr>
        <w:tabs>
          <w:tab w:val="left" w:pos="426"/>
          <w:tab w:val="left" w:pos="9781"/>
        </w:tabs>
        <w:spacing w:before="120"/>
        <w:ind w:left="426" w:right="573" w:hanging="284"/>
        <w:jc w:val="both"/>
        <w:rPr>
          <w:color w:val="000000" w:themeColor="text1"/>
          <w14:textFill>
            <w14:solidFill>
              <w14:schemeClr w14:val="tx1"/>
            </w14:solidFill>
          </w14:textFill>
        </w:rPr>
      </w:pPr>
      <w:r>
        <w:rPr>
          <w:color w:val="000000" w:themeColor="text1"/>
          <w14:textFill>
            <w14:solidFill>
              <w14:schemeClr w14:val="tx1"/>
            </w14:solidFill>
          </w14:textFill>
        </w:rPr>
        <w:t>peňažných tokoch v členení na</w:t>
      </w:r>
    </w:p>
    <w:p>
      <w:pPr>
        <w:pStyle w:val="10"/>
        <w:numPr>
          <w:ilvl w:val="2"/>
          <w:numId w:val="10"/>
        </w:numPr>
        <w:tabs>
          <w:tab w:val="left" w:pos="851"/>
          <w:tab w:val="left" w:pos="9781"/>
        </w:tabs>
        <w:ind w:left="851" w:right="571" w:hanging="358"/>
        <w:jc w:val="both"/>
        <w:rPr>
          <w:color w:val="000000" w:themeColor="text1"/>
          <w14:textFill>
            <w14:solidFill>
              <w14:schemeClr w14:val="tx1"/>
            </w14:solidFill>
          </w14:textFill>
        </w:rPr>
      </w:pPr>
      <w:r>
        <w:rPr>
          <w:color w:val="000000" w:themeColor="text1"/>
          <w14:textFill>
            <w14:solidFill>
              <w14:schemeClr w14:val="tx1"/>
            </w14:solidFill>
          </w14:textFill>
        </w:rPr>
        <w:t>peňažné toky z prevádzkovej činnosti, ktorou je činnosť, ktorá súvisí s predmetom podnikania účtovnej jednotky a ostatné činnosti, ktoré súvisia s hospodárskou činnosťou účtovnej jednotky, okrem investičnej činnosti a finančnej</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2"/>
          <w:numId w:val="10"/>
        </w:numPr>
        <w:tabs>
          <w:tab w:val="left" w:pos="851"/>
          <w:tab w:val="left" w:pos="9781"/>
        </w:tabs>
        <w:ind w:left="851" w:right="572" w:hanging="358"/>
        <w:jc w:val="both"/>
        <w:rPr>
          <w:color w:val="000000" w:themeColor="text1"/>
          <w14:textFill>
            <w14:solidFill>
              <w14:schemeClr w14:val="tx1"/>
            </w14:solidFill>
          </w14:textFill>
        </w:rPr>
      </w:pPr>
      <w:r>
        <w:rPr>
          <w:color w:val="000000" w:themeColor="text1"/>
          <w14:textFill>
            <w14:solidFill>
              <w14:schemeClr w14:val="tx1"/>
            </w14:solidFill>
          </w14:textFill>
        </w:rPr>
        <w:t>peňažné toky z investičnej činnosti, ktorou je obstaranie a vyradenie dlhodobého nehmotného majetku, dlhodobého hmotného majetku a tej časti dlhodobého finančného majetku, ktorý nie je súčasťou peňažných</w:t>
      </w:r>
      <w:r>
        <w:rPr>
          <w:color w:val="000000" w:themeColor="text1"/>
          <w:spacing w:val="-12"/>
          <w14:textFill>
            <w14:solidFill>
              <w14:schemeClr w14:val="tx1"/>
            </w14:solidFill>
          </w14:textFill>
        </w:rPr>
        <w:t xml:space="preserve"> </w:t>
      </w:r>
      <w:r>
        <w:rPr>
          <w:color w:val="000000" w:themeColor="text1"/>
          <w14:textFill>
            <w14:solidFill>
              <w14:schemeClr w14:val="tx1"/>
            </w14:solidFill>
          </w14:textFill>
        </w:rPr>
        <w:t>ekvivalentov,</w:t>
      </w:r>
    </w:p>
    <w:p>
      <w:pPr>
        <w:pStyle w:val="10"/>
        <w:numPr>
          <w:ilvl w:val="2"/>
          <w:numId w:val="10"/>
        </w:numPr>
        <w:tabs>
          <w:tab w:val="left" w:pos="851"/>
          <w:tab w:val="left" w:pos="9781"/>
        </w:tabs>
        <w:ind w:left="851" w:right="571" w:hanging="358"/>
        <w:jc w:val="both"/>
        <w:rPr>
          <w:color w:val="000000" w:themeColor="text1"/>
          <w14:textFill>
            <w14:solidFill>
              <w14:schemeClr w14:val="tx1"/>
            </w14:solidFill>
          </w14:textFill>
        </w:rPr>
      </w:pPr>
      <w:r>
        <w:rPr>
          <w:color w:val="000000" w:themeColor="text1"/>
          <w14:textFill>
            <w14:solidFill>
              <w14:schemeClr w14:val="tx1"/>
            </w14:solidFill>
          </w14:textFill>
        </w:rPr>
        <w:t>peňažné toky z finančnej činnosti, ktorou je činnosť, ktorej dôsledkom sú zmeny v hodnote a štruktúre vlastného imania a zmeny dlhodobých záväzkov a krátkodobých záväzkov, ktoré nesúvisia s prevádzkovou činnosťou a investičnou</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činnosťou,</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štruktúre peňažných prostriedkov a peňažných ekvivalentov a dôvody prípadného nesúladu medzi sumami prehľadu peňažných tokov a príslušnými položkami vykázanými v súvahe,</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použitých zásadách prijatých na určenie obsahovej náplne a štruktúry peňažných prostriedkov a peňažných ekvivalentov v bežnom účtovnom období,</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o zmenách  použitých  zásad  na  určenie  obsahovej  náplne  a štruktúry   peňažných  prostriedkov  a peňažných ekvivalentov oproti bezprostredne predchádzajúcemu účtovnému obdobiu,</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peňažných  tokoch  z prevádzkovej   činnosti,   ktorými   sú   najmä   peňažné   toky,   ktoré   súvisia s predmetom podnikania účtovnej jednotky a spôsobujú vznik zisku alebo straty, napríklad</w:t>
      </w:r>
    </w:p>
    <w:p>
      <w:pPr>
        <w:pStyle w:val="10"/>
        <w:numPr>
          <w:ilvl w:val="2"/>
          <w:numId w:val="10"/>
        </w:numPr>
        <w:tabs>
          <w:tab w:val="left" w:pos="851"/>
          <w:tab w:val="left" w:pos="9781"/>
        </w:tabs>
        <w:spacing w:line="252" w:lineRule="exact"/>
        <w:ind w:left="851" w:hanging="358"/>
        <w:jc w:val="both"/>
        <w:rPr>
          <w:color w:val="000000" w:themeColor="text1"/>
          <w14:textFill>
            <w14:solidFill>
              <w14:schemeClr w14:val="tx1"/>
            </w14:solidFill>
          </w14:textFill>
        </w:rPr>
      </w:pPr>
      <w:r>
        <w:rPr>
          <w:color w:val="000000" w:themeColor="text1"/>
          <w14:textFill>
            <w14:solidFill>
              <w14:schemeClr w14:val="tx1"/>
            </w14:solidFill>
          </w14:textFill>
        </w:rPr>
        <w:t>príjmy z predaja tovaru, výrobkov a služieb, vrátane prijatých</w:t>
      </w:r>
      <w:r>
        <w:rPr>
          <w:color w:val="000000" w:themeColor="text1"/>
          <w:spacing w:val="-16"/>
          <w14:textFill>
            <w14:solidFill>
              <w14:schemeClr w14:val="tx1"/>
            </w14:solidFill>
          </w14:textFill>
        </w:rPr>
        <w:t xml:space="preserve"> </w:t>
      </w:r>
      <w:r>
        <w:rPr>
          <w:color w:val="000000" w:themeColor="text1"/>
          <w14:textFill>
            <w14:solidFill>
              <w14:schemeClr w14:val="tx1"/>
            </w14:solidFill>
          </w14:textFill>
        </w:rPr>
        <w:t>preddavkov,</w:t>
      </w:r>
    </w:p>
    <w:p>
      <w:pPr>
        <w:pStyle w:val="10"/>
        <w:numPr>
          <w:ilvl w:val="2"/>
          <w:numId w:val="10"/>
        </w:numPr>
        <w:tabs>
          <w:tab w:val="left" w:pos="851"/>
          <w:tab w:val="left" w:pos="9781"/>
        </w:tabs>
        <w:spacing w:before="2"/>
        <w:ind w:left="851" w:right="571" w:hanging="358"/>
        <w:jc w:val="both"/>
        <w:rPr>
          <w:color w:val="000000" w:themeColor="text1"/>
          <w14:textFill>
            <w14:solidFill>
              <w14:schemeClr w14:val="tx1"/>
            </w14:solidFill>
          </w14:textFill>
        </w:rPr>
      </w:pPr>
      <w:r>
        <w:rPr>
          <w:color w:val="000000" w:themeColor="text1"/>
          <w14:textFill>
            <w14:solidFill>
              <w14:schemeClr w14:val="tx1"/>
            </w14:solidFill>
          </w14:textFill>
        </w:rPr>
        <w:t>príjmy z poplatkov za priemyselné práva a autorské práva, z provízií a ďalšie príjmy vzťahujúce sa k výnosom z bežnej</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2"/>
          <w:numId w:val="10"/>
        </w:numPr>
        <w:tabs>
          <w:tab w:val="left" w:pos="851"/>
          <w:tab w:val="left" w:pos="9781"/>
        </w:tabs>
        <w:ind w:left="851" w:right="580" w:hanging="358"/>
        <w:jc w:val="both"/>
        <w:rPr>
          <w:color w:val="000000" w:themeColor="text1"/>
          <w14:textFill>
            <w14:solidFill>
              <w14:schemeClr w14:val="tx1"/>
            </w14:solidFill>
          </w14:textFill>
        </w:rPr>
      </w:pPr>
      <w:r>
        <w:rPr>
          <w:color w:val="000000" w:themeColor="text1"/>
          <w14:textFill>
            <w14:solidFill>
              <w14:schemeClr w14:val="tx1"/>
            </w14:solidFill>
          </w14:textFill>
        </w:rPr>
        <w:t>výdavky na úhrady za dodávky materiálu, tovaru a externých služieb, vrátane zaplatených preddavkov,</w:t>
      </w:r>
    </w:p>
    <w:p>
      <w:pPr>
        <w:pStyle w:val="10"/>
        <w:numPr>
          <w:ilvl w:val="2"/>
          <w:numId w:val="10"/>
        </w:numPr>
        <w:tabs>
          <w:tab w:val="left" w:pos="851"/>
          <w:tab w:val="left" w:pos="9781"/>
        </w:tabs>
        <w:ind w:left="851" w:right="569" w:hanging="358"/>
        <w:jc w:val="both"/>
        <w:rPr>
          <w:color w:val="000000" w:themeColor="text1"/>
          <w14:textFill>
            <w14:solidFill>
              <w14:schemeClr w14:val="tx1"/>
            </w14:solidFill>
          </w14:textFill>
        </w:rPr>
      </w:pPr>
      <w:r>
        <w:rPr>
          <w:color w:val="000000" w:themeColor="text1"/>
          <w14:textFill>
            <w14:solidFill>
              <w14:schemeClr w14:val="tx1"/>
            </w14:solidFill>
          </w14:textFill>
        </w:rPr>
        <w:t>výdavky na zamestnancov, napríklad mzdy a odmeny a výdavky platené v mene zamestnancov, napríklad na zdravotné poistenie, nemocenské poistenie, dôchodkové poistenie, poistenie v nezamestnanosti a preddavky na daň z príjmov, odvádzané za zamestnancov,</w:t>
      </w:r>
    </w:p>
    <w:p>
      <w:pPr>
        <w:pStyle w:val="10"/>
        <w:numPr>
          <w:ilvl w:val="2"/>
          <w:numId w:val="10"/>
        </w:numPr>
        <w:tabs>
          <w:tab w:val="left" w:pos="851"/>
          <w:tab w:val="left" w:pos="9781"/>
        </w:tabs>
        <w:ind w:left="851" w:right="571" w:hanging="358"/>
        <w:jc w:val="both"/>
        <w:rPr>
          <w:color w:val="000000" w:themeColor="text1"/>
          <w14:textFill>
            <w14:solidFill>
              <w14:schemeClr w14:val="tx1"/>
            </w14:solidFill>
          </w14:textFill>
        </w:rPr>
      </w:pPr>
      <w:r>
        <w:rPr>
          <w:color w:val="000000" w:themeColor="text1"/>
          <w14:textFill>
            <w14:solidFill>
              <w14:schemeClr w14:val="tx1"/>
            </w14:solidFill>
          </w14:textFill>
        </w:rPr>
        <w:t>výdavky na daň z príjmov účtovnej jednotky po odpočítaní príjmov z vrátenia preplatku dane z príjmov, s výnimkou takýchto výdavkov za investičnú činnosť a finančnú</w:t>
      </w:r>
      <w:r>
        <w:rPr>
          <w:color w:val="000000" w:themeColor="text1"/>
          <w:spacing w:val="-20"/>
          <w14:textFill>
            <w14:solidFill>
              <w14:schemeClr w14:val="tx1"/>
            </w14:solidFill>
          </w14:textFill>
        </w:rPr>
        <w:t xml:space="preserve"> </w:t>
      </w:r>
      <w:r>
        <w:rPr>
          <w:color w:val="000000" w:themeColor="text1"/>
          <w14:textFill>
            <w14:solidFill>
              <w14:schemeClr w14:val="tx1"/>
            </w14:solidFill>
          </w14:textFill>
        </w:rPr>
        <w:t>činnosť,</w:t>
      </w:r>
    </w:p>
    <w:p>
      <w:pPr>
        <w:pStyle w:val="10"/>
        <w:numPr>
          <w:ilvl w:val="2"/>
          <w:numId w:val="10"/>
        </w:numPr>
        <w:tabs>
          <w:tab w:val="left" w:pos="851"/>
          <w:tab w:val="left" w:pos="9781"/>
        </w:tabs>
        <w:ind w:left="851" w:right="580" w:hanging="358"/>
        <w:jc w:val="both"/>
        <w:rPr>
          <w:color w:val="000000" w:themeColor="text1"/>
          <w14:textFill>
            <w14:solidFill>
              <w14:schemeClr w14:val="tx1"/>
            </w14:solidFill>
          </w14:textFill>
        </w:rPr>
      </w:pPr>
      <w:r>
        <w:rPr>
          <w:color w:val="000000" w:themeColor="text1"/>
          <w14:textFill>
            <w14:solidFill>
              <w14:schemeClr w14:val="tx1"/>
            </w14:solidFill>
          </w14:textFill>
        </w:rPr>
        <w:t>príjmy a výdavky zo zmlúv, ktorých predmetom je uplatnenie práva kúpy alebo predaja, ktoré je určené na predaj alebo na</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obchodovanie,</w:t>
      </w:r>
    </w:p>
    <w:p>
      <w:pPr>
        <w:pStyle w:val="10"/>
        <w:numPr>
          <w:ilvl w:val="2"/>
          <w:numId w:val="10"/>
        </w:numPr>
        <w:tabs>
          <w:tab w:val="left" w:pos="851"/>
          <w:tab w:val="left" w:pos="9781"/>
        </w:tabs>
        <w:ind w:left="851" w:right="573" w:hanging="358"/>
        <w:jc w:val="both"/>
        <w:rPr>
          <w:color w:val="000000" w:themeColor="text1"/>
          <w14:textFill>
            <w14:solidFill>
              <w14:schemeClr w14:val="tx1"/>
            </w14:solidFill>
          </w14:textFill>
        </w:rPr>
      </w:pPr>
      <w:r>
        <w:rPr>
          <w:color w:val="000000" w:themeColor="text1"/>
          <w14:textFill>
            <w14:solidFill>
              <w14:schemeClr w14:val="tx1"/>
            </w14:solidFill>
          </w14:textFill>
        </w:rPr>
        <w:t>príjmy a výdavky z nákupu a predaja cenných papierov určených na predaj alebo na obchodovanie,</w:t>
      </w:r>
    </w:p>
    <w:p>
      <w:pPr>
        <w:pStyle w:val="10"/>
        <w:numPr>
          <w:ilvl w:val="2"/>
          <w:numId w:val="10"/>
        </w:numPr>
        <w:tabs>
          <w:tab w:val="left" w:pos="851"/>
          <w:tab w:val="left" w:pos="9781"/>
        </w:tabs>
        <w:ind w:left="851" w:right="569" w:hanging="358"/>
        <w:jc w:val="both"/>
        <w:rPr>
          <w:color w:val="000000" w:themeColor="text1"/>
          <w14:textFill>
            <w14:solidFill>
              <w14:schemeClr w14:val="tx1"/>
            </w14:solidFill>
          </w14:textFill>
        </w:rPr>
      </w:pPr>
      <w:r>
        <w:rPr>
          <w:color w:val="000000" w:themeColor="text1"/>
          <w14:textFill>
            <w14:solidFill>
              <w14:schemeClr w14:val="tx1"/>
            </w14:solidFill>
          </w14:textFill>
        </w:rPr>
        <w:t>príjmy z pôžičiek a úverov, ktoré poskytla účtovnej jednotke banka alebo pobočka zahraničnej banky, ak sa vzťahujú na činnosť súvisiacu s jej predmetom</w:t>
      </w:r>
      <w:r>
        <w:rPr>
          <w:color w:val="000000" w:themeColor="text1"/>
          <w:spacing w:val="-26"/>
          <w14:textFill>
            <w14:solidFill>
              <w14:schemeClr w14:val="tx1"/>
            </w14:solidFill>
          </w14:textFill>
        </w:rPr>
        <w:t xml:space="preserve"> </w:t>
      </w:r>
      <w:r>
        <w:rPr>
          <w:color w:val="000000" w:themeColor="text1"/>
          <w14:textFill>
            <w14:solidFill>
              <w14:schemeClr w14:val="tx1"/>
            </w14:solidFill>
          </w14:textFill>
        </w:rPr>
        <w:t>podnikania,</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použitej metóde vykazovania peňažných tokov z prevádzkovej činnosti, ktorou môže byť priama metóda alebo nepriama metóda, pričom</w:t>
      </w:r>
    </w:p>
    <w:p>
      <w:pPr>
        <w:pStyle w:val="10"/>
        <w:numPr>
          <w:ilvl w:val="2"/>
          <w:numId w:val="10"/>
        </w:numPr>
        <w:tabs>
          <w:tab w:val="left" w:pos="851"/>
          <w:tab w:val="left" w:pos="9781"/>
        </w:tabs>
        <w:spacing w:before="76"/>
        <w:ind w:left="873" w:right="572" w:hanging="380"/>
        <w:jc w:val="both"/>
        <w:rPr>
          <w:color w:val="000000" w:themeColor="text1"/>
          <w14:textFill>
            <w14:solidFill>
              <w14:schemeClr w14:val="tx1"/>
            </w14:solidFill>
          </w14:textFill>
        </w:rPr>
      </w:pPr>
      <w:r>
        <w:rPr>
          <w:color w:val="000000" w:themeColor="text1"/>
          <w14:textFill>
            <w14:solidFill>
              <w14:schemeClr w14:val="tx1"/>
            </w14:solidFill>
          </w14:textFill>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w:t>
      </w:r>
      <w:r>
        <w:rPr>
          <w:color w:val="000000" w:themeColor="text1"/>
          <w:spacing w:val="-11"/>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2"/>
          <w:numId w:val="10"/>
        </w:numPr>
        <w:tabs>
          <w:tab w:val="left" w:pos="851"/>
          <w:tab w:val="left" w:pos="9781"/>
        </w:tabs>
        <w:ind w:left="873" w:right="570" w:hanging="380"/>
        <w:jc w:val="both"/>
        <w:rPr>
          <w:color w:val="000000" w:themeColor="text1"/>
          <w14:textFill>
            <w14:solidFill>
              <w14:schemeClr w14:val="tx1"/>
            </w14:solidFill>
          </w14:textFill>
        </w:rPr>
      </w:pPr>
      <w:r>
        <w:rPr>
          <w:color w:val="000000" w:themeColor="text1"/>
          <w14:textFill>
            <w14:solidFill>
              <w14:schemeClr w14:val="tx1"/>
            </w14:solidFill>
          </w14:textFill>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peňažných tokoch z investičnej činnosti, ktorými sú napríklad</w:t>
      </w:r>
    </w:p>
    <w:p>
      <w:pPr>
        <w:pStyle w:val="10"/>
        <w:numPr>
          <w:ilvl w:val="2"/>
          <w:numId w:val="10"/>
        </w:numPr>
        <w:tabs>
          <w:tab w:val="left" w:pos="851"/>
          <w:tab w:val="left" w:pos="1896"/>
          <w:tab w:val="left" w:pos="9781"/>
        </w:tabs>
        <w:spacing w:line="252" w:lineRule="exact"/>
        <w:ind w:left="873" w:hanging="380"/>
        <w:jc w:val="both"/>
        <w:rPr>
          <w:color w:val="000000" w:themeColor="text1"/>
          <w14:textFill>
            <w14:solidFill>
              <w14:schemeClr w14:val="tx1"/>
            </w14:solidFill>
          </w14:textFill>
        </w:rPr>
      </w:pPr>
      <w:r>
        <w:rPr>
          <w:color w:val="000000" w:themeColor="text1"/>
          <w14:textFill>
            <w14:solidFill>
              <w14:schemeClr w14:val="tx1"/>
            </w14:solidFill>
          </w14:textFill>
        </w:rPr>
        <w:t>výdavky na obstaranie dlhodobého nehmotného majetku a dlhodobého hmotného</w:t>
      </w:r>
      <w:r>
        <w:rPr>
          <w:color w:val="000000" w:themeColor="text1"/>
          <w:spacing w:val="-15"/>
          <w14:textFill>
            <w14:solidFill>
              <w14:schemeClr w14:val="tx1"/>
            </w14:solidFill>
          </w14:textFill>
        </w:rPr>
        <w:t xml:space="preserve"> </w:t>
      </w:r>
      <w:r>
        <w:rPr>
          <w:color w:val="000000" w:themeColor="text1"/>
          <w14:textFill>
            <w14:solidFill>
              <w14:schemeClr w14:val="tx1"/>
            </w14:solidFill>
          </w14:textFill>
        </w:rPr>
        <w:t>majetku,</w:t>
      </w:r>
    </w:p>
    <w:p>
      <w:pPr>
        <w:pStyle w:val="10"/>
        <w:numPr>
          <w:ilvl w:val="2"/>
          <w:numId w:val="10"/>
        </w:numPr>
        <w:tabs>
          <w:tab w:val="left" w:pos="851"/>
          <w:tab w:val="left" w:pos="1896"/>
          <w:tab w:val="left" w:pos="9781"/>
        </w:tabs>
        <w:spacing w:line="252" w:lineRule="exact"/>
        <w:ind w:left="873" w:hanging="380"/>
        <w:jc w:val="both"/>
        <w:rPr>
          <w:color w:val="000000" w:themeColor="text1"/>
          <w14:textFill>
            <w14:solidFill>
              <w14:schemeClr w14:val="tx1"/>
            </w14:solidFill>
          </w14:textFill>
        </w:rPr>
      </w:pPr>
      <w:r>
        <w:rPr>
          <w:color w:val="000000" w:themeColor="text1"/>
          <w14:textFill>
            <w14:solidFill>
              <w14:schemeClr w14:val="tx1"/>
            </w14:solidFill>
          </w14:textFill>
        </w:rPr>
        <w:t>príjmy z predaja dlhodobého nehmotného majetku a dlhodobého hmotného</w:t>
      </w:r>
      <w:r>
        <w:rPr>
          <w:color w:val="000000" w:themeColor="text1"/>
          <w:spacing w:val="-14"/>
          <w14:textFill>
            <w14:solidFill>
              <w14:schemeClr w14:val="tx1"/>
            </w14:solidFill>
          </w14:textFill>
        </w:rPr>
        <w:t xml:space="preserve"> </w:t>
      </w:r>
      <w:r>
        <w:rPr>
          <w:color w:val="000000" w:themeColor="text1"/>
          <w14:textFill>
            <w14:solidFill>
              <w14:schemeClr w14:val="tx1"/>
            </w14:solidFill>
          </w14:textFill>
        </w:rPr>
        <w:t>majetku,</w:t>
      </w:r>
    </w:p>
    <w:p>
      <w:pPr>
        <w:pStyle w:val="10"/>
        <w:numPr>
          <w:ilvl w:val="2"/>
          <w:numId w:val="10"/>
        </w:numPr>
        <w:tabs>
          <w:tab w:val="left" w:pos="851"/>
          <w:tab w:val="left" w:pos="1896"/>
          <w:tab w:val="left" w:pos="9781"/>
        </w:tabs>
        <w:ind w:left="873" w:right="574" w:hanging="380"/>
        <w:jc w:val="both"/>
        <w:rPr>
          <w:color w:val="000000" w:themeColor="text1"/>
          <w14:textFill>
            <w14:solidFill>
              <w14:schemeClr w14:val="tx1"/>
            </w14:solidFill>
          </w14:textFill>
        </w:rPr>
      </w:pPr>
      <w:r>
        <w:rPr>
          <w:color w:val="000000" w:themeColor="text1"/>
          <w14:textFill>
            <w14:solidFill>
              <w14:schemeClr w14:val="tx1"/>
            </w14:solidFill>
          </w14:textFill>
        </w:rPr>
        <w:t>výdavky na obstaranie dlhodobých cenných papierov a podielov v iných účtovných jednotkách, s výnimkou cenných papierov, ktoré sa považujú za peňažné ekvivalenty a cenných papierov, ktoré sú určené na predaj alebo na</w:t>
      </w:r>
      <w:r>
        <w:rPr>
          <w:color w:val="000000" w:themeColor="text1"/>
          <w:spacing w:val="-13"/>
          <w14:textFill>
            <w14:solidFill>
              <w14:schemeClr w14:val="tx1"/>
            </w14:solidFill>
          </w14:textFill>
        </w:rPr>
        <w:t xml:space="preserve"> </w:t>
      </w:r>
      <w:r>
        <w:rPr>
          <w:color w:val="000000" w:themeColor="text1"/>
          <w14:textFill>
            <w14:solidFill>
              <w14:schemeClr w14:val="tx1"/>
            </w14:solidFill>
          </w14:textFill>
        </w:rPr>
        <w:t>obchodovanie,</w:t>
      </w:r>
    </w:p>
    <w:p>
      <w:pPr>
        <w:pStyle w:val="10"/>
        <w:numPr>
          <w:ilvl w:val="2"/>
          <w:numId w:val="10"/>
        </w:numPr>
        <w:tabs>
          <w:tab w:val="left" w:pos="851"/>
          <w:tab w:val="left" w:pos="1896"/>
          <w:tab w:val="left" w:pos="9781"/>
        </w:tabs>
        <w:spacing w:before="1"/>
        <w:ind w:left="873" w:right="574" w:hanging="380"/>
        <w:jc w:val="both"/>
        <w:rPr>
          <w:color w:val="000000" w:themeColor="text1"/>
          <w14:textFill>
            <w14:solidFill>
              <w14:schemeClr w14:val="tx1"/>
            </w14:solidFill>
          </w14:textFill>
        </w:rPr>
      </w:pPr>
      <w:r>
        <w:rPr>
          <w:color w:val="000000" w:themeColor="text1"/>
          <w14:textFill>
            <w14:solidFill>
              <w14:schemeClr w14:val="tx1"/>
            </w14:solidFill>
          </w14:textFill>
        </w:rPr>
        <w:t>príjmy z predaja dlhodobých cenných papierov a podielov v iných účtovných jednotkách,    s výnimkou cenných papierov, ktoré sa považujú za peňažné ekvivalenty a cenných papierov, ktoré sú určené na predaj alebo na</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obchodovanie,</w:t>
      </w:r>
    </w:p>
    <w:p>
      <w:pPr>
        <w:pStyle w:val="10"/>
        <w:numPr>
          <w:ilvl w:val="2"/>
          <w:numId w:val="10"/>
        </w:numPr>
        <w:tabs>
          <w:tab w:val="left" w:pos="851"/>
          <w:tab w:val="left" w:pos="1896"/>
          <w:tab w:val="left" w:pos="9781"/>
        </w:tabs>
        <w:spacing w:line="252" w:lineRule="exact"/>
        <w:ind w:left="873" w:hanging="380"/>
        <w:jc w:val="both"/>
        <w:rPr>
          <w:color w:val="000000" w:themeColor="text1"/>
          <w14:textFill>
            <w14:solidFill>
              <w14:schemeClr w14:val="tx1"/>
            </w14:solidFill>
          </w14:textFill>
        </w:rPr>
      </w:pPr>
      <w:r>
        <w:rPr>
          <w:color w:val="000000" w:themeColor="text1"/>
          <w14:textFill>
            <w14:solidFill>
              <w14:schemeClr w14:val="tx1"/>
            </w14:solidFill>
          </w14:textFill>
        </w:rPr>
        <w:t>výdavky na pôžičky poskytnuté tretím</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osobám,</w:t>
      </w:r>
    </w:p>
    <w:p>
      <w:pPr>
        <w:pStyle w:val="10"/>
        <w:numPr>
          <w:ilvl w:val="2"/>
          <w:numId w:val="10"/>
        </w:numPr>
        <w:tabs>
          <w:tab w:val="left" w:pos="851"/>
          <w:tab w:val="left" w:pos="1896"/>
          <w:tab w:val="left" w:pos="9781"/>
        </w:tabs>
        <w:spacing w:before="2" w:line="252" w:lineRule="exact"/>
        <w:ind w:left="873" w:hanging="380"/>
        <w:jc w:val="both"/>
        <w:rPr>
          <w:color w:val="000000" w:themeColor="text1"/>
          <w14:textFill>
            <w14:solidFill>
              <w14:schemeClr w14:val="tx1"/>
            </w14:solidFill>
          </w14:textFill>
        </w:rPr>
      </w:pPr>
      <w:r>
        <w:rPr>
          <w:color w:val="000000" w:themeColor="text1"/>
          <w14:textFill>
            <w14:solidFill>
              <w14:schemeClr w14:val="tx1"/>
            </w14:solidFill>
          </w14:textFill>
        </w:rPr>
        <w:t>príjmy zo splácania pôžičiek od tretích</w:t>
      </w:r>
      <w:r>
        <w:rPr>
          <w:color w:val="000000" w:themeColor="text1"/>
          <w:spacing w:val="-12"/>
          <w14:textFill>
            <w14:solidFill>
              <w14:schemeClr w14:val="tx1"/>
            </w14:solidFill>
          </w14:textFill>
        </w:rPr>
        <w:t xml:space="preserve"> </w:t>
      </w:r>
      <w:r>
        <w:rPr>
          <w:color w:val="000000" w:themeColor="text1"/>
          <w14:textFill>
            <w14:solidFill>
              <w14:schemeClr w14:val="tx1"/>
            </w14:solidFill>
          </w14:textFill>
        </w:rPr>
        <w:t>osôb,</w:t>
      </w:r>
    </w:p>
    <w:p>
      <w:pPr>
        <w:pStyle w:val="10"/>
        <w:numPr>
          <w:ilvl w:val="2"/>
          <w:numId w:val="10"/>
        </w:numPr>
        <w:tabs>
          <w:tab w:val="left" w:pos="851"/>
          <w:tab w:val="left" w:pos="1896"/>
          <w:tab w:val="left" w:pos="9781"/>
        </w:tabs>
        <w:ind w:left="873" w:right="577" w:hanging="380"/>
        <w:jc w:val="both"/>
        <w:rPr>
          <w:color w:val="000000" w:themeColor="text1"/>
          <w14:textFill>
            <w14:solidFill>
              <w14:schemeClr w14:val="tx1"/>
            </w14:solidFill>
          </w14:textFill>
        </w:rPr>
      </w:pPr>
      <w:r>
        <w:rPr>
          <w:color w:val="000000" w:themeColor="text1"/>
          <w14:textFill>
            <w14:solidFill>
              <w14:schemeClr w14:val="tx1"/>
            </w14:solidFill>
          </w14:textFill>
        </w:rPr>
        <w:t>príjmy z prenájmu súboru hnuteľného majetku a nehnuteľného majetku používaného a odpisovaného</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nájomcom,</w:t>
      </w:r>
    </w:p>
    <w:p>
      <w:pPr>
        <w:pStyle w:val="10"/>
        <w:numPr>
          <w:ilvl w:val="2"/>
          <w:numId w:val="10"/>
        </w:numPr>
        <w:tabs>
          <w:tab w:val="left" w:pos="851"/>
          <w:tab w:val="left" w:pos="1896"/>
          <w:tab w:val="left" w:pos="9781"/>
        </w:tabs>
        <w:ind w:left="873" w:right="579" w:hanging="380"/>
        <w:jc w:val="both"/>
        <w:rPr>
          <w:color w:val="000000" w:themeColor="text1"/>
          <w14:textFill>
            <w14:solidFill>
              <w14:schemeClr w14:val="tx1"/>
            </w14:solidFill>
          </w14:textFill>
        </w:rPr>
      </w:pPr>
      <w:r>
        <w:rPr>
          <w:color w:val="000000" w:themeColor="text1"/>
          <w14:textFill>
            <w14:solidFill>
              <w14:schemeClr w14:val="tx1"/>
            </w14:solidFill>
          </w14:textFill>
        </w:rPr>
        <w:t>výdavky súvisiace s derivátmi, s výnimkou, ak sú určené na predaj alebo na obchodovanie, alebo ak sa tieto výdavky považujú za peňažné toky z finančnej</w:t>
      </w:r>
      <w:r>
        <w:rPr>
          <w:color w:val="000000" w:themeColor="text1"/>
          <w:spacing w:val="-14"/>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2"/>
          <w:numId w:val="10"/>
        </w:numPr>
        <w:tabs>
          <w:tab w:val="left" w:pos="851"/>
          <w:tab w:val="left" w:pos="1896"/>
          <w:tab w:val="left" w:pos="9781"/>
        </w:tabs>
        <w:spacing w:before="1"/>
        <w:ind w:left="873" w:right="576" w:hanging="380"/>
        <w:jc w:val="both"/>
        <w:rPr>
          <w:color w:val="000000" w:themeColor="text1"/>
          <w14:textFill>
            <w14:solidFill>
              <w14:schemeClr w14:val="tx1"/>
            </w14:solidFill>
          </w14:textFill>
        </w:rPr>
      </w:pPr>
      <w:r>
        <w:rPr>
          <w:color w:val="000000" w:themeColor="text1"/>
          <w14:textFill>
            <w14:solidFill>
              <w14:schemeClr w14:val="tx1"/>
            </w14:solidFill>
          </w14:textFill>
        </w:rPr>
        <w:t>príjmy súvisiace s derivátmi s výnimkou, ak sú určené na predaj alebo na obchodovanie, alebo ak sa tieto výdavky považujú za peňažné toky z finančnej</w:t>
      </w:r>
      <w:r>
        <w:rPr>
          <w:color w:val="000000" w:themeColor="text1"/>
          <w:spacing w:val="-15"/>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2"/>
          <w:numId w:val="10"/>
        </w:numPr>
        <w:tabs>
          <w:tab w:val="left" w:pos="851"/>
          <w:tab w:val="left" w:pos="1896"/>
          <w:tab w:val="left" w:pos="9781"/>
        </w:tabs>
        <w:ind w:left="873" w:right="573" w:hanging="380"/>
        <w:jc w:val="both"/>
        <w:rPr>
          <w:color w:val="000000" w:themeColor="text1"/>
          <w14:textFill>
            <w14:solidFill>
              <w14:schemeClr w14:val="tx1"/>
            </w14:solidFill>
          </w14:textFill>
        </w:rPr>
      </w:pPr>
      <w:r>
        <w:rPr>
          <w:color w:val="000000" w:themeColor="text1"/>
          <w14:textFill>
            <w14:solidFill>
              <w14:schemeClr w14:val="tx1"/>
            </w14:solidFill>
          </w14:textFill>
        </w:rPr>
        <w:t>príjmy a výdavky súvisiace s derivátmi, ak sa nimi zabezpečuje majetok alebo záväzky účtovnej jednotky, pričom sa vykazujú  rovnakým spôsobom  ako  peňažný  tok  súvisiaci   s rizikom, ktoré sa</w:t>
      </w:r>
      <w:r>
        <w:rPr>
          <w:color w:val="000000" w:themeColor="text1"/>
          <w:spacing w:val="44"/>
          <w14:textFill>
            <w14:solidFill>
              <w14:schemeClr w14:val="tx1"/>
            </w14:solidFill>
          </w14:textFill>
        </w:rPr>
        <w:t xml:space="preserve"> </w:t>
      </w:r>
      <w:r>
        <w:rPr>
          <w:color w:val="000000" w:themeColor="text1"/>
          <w14:textFill>
            <w14:solidFill>
              <w14:schemeClr w14:val="tx1"/>
            </w14:solidFill>
          </w14:textFill>
        </w:rPr>
        <w:t>zabezpečuje,</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peňažných tokoch z finančnej činnosti, ktorými sú napríklad</w:t>
      </w:r>
    </w:p>
    <w:p>
      <w:pPr>
        <w:pStyle w:val="10"/>
        <w:numPr>
          <w:ilvl w:val="2"/>
          <w:numId w:val="10"/>
        </w:numPr>
        <w:tabs>
          <w:tab w:val="left" w:pos="851"/>
          <w:tab w:val="left" w:pos="1896"/>
          <w:tab w:val="left" w:pos="9781"/>
        </w:tabs>
        <w:ind w:left="873" w:right="573" w:hanging="380"/>
        <w:jc w:val="both"/>
        <w:rPr>
          <w:color w:val="000000" w:themeColor="text1"/>
          <w14:textFill>
            <w14:solidFill>
              <w14:schemeClr w14:val="tx1"/>
            </w14:solidFill>
          </w14:textFill>
        </w:rPr>
      </w:pPr>
      <w:r>
        <w:rPr>
          <w:color w:val="000000" w:themeColor="text1"/>
          <w14:textFill>
            <w14:solidFill>
              <w14:schemeClr w14:val="tx1"/>
            </w14:solidFill>
          </w14:textFill>
        </w:rPr>
        <w:t>príjmy z emisie akcií, príjmy z upísaných obchodných podielov a príjmy z iného zvýšenia vlastného</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imania,</w:t>
      </w:r>
    </w:p>
    <w:p>
      <w:pPr>
        <w:pStyle w:val="10"/>
        <w:numPr>
          <w:ilvl w:val="2"/>
          <w:numId w:val="10"/>
        </w:numPr>
        <w:tabs>
          <w:tab w:val="left" w:pos="851"/>
          <w:tab w:val="left" w:pos="1896"/>
          <w:tab w:val="left" w:pos="9781"/>
        </w:tabs>
        <w:ind w:left="873" w:right="574" w:hanging="380"/>
        <w:jc w:val="both"/>
        <w:rPr>
          <w:color w:val="000000" w:themeColor="text1"/>
          <w14:textFill>
            <w14:solidFill>
              <w14:schemeClr w14:val="tx1"/>
            </w14:solidFill>
          </w14:textFill>
        </w:rPr>
      </w:pPr>
      <w:r>
        <w:rPr>
          <w:color w:val="000000" w:themeColor="text1"/>
          <w14:textFill>
            <w14:solidFill>
              <w14:schemeClr w14:val="tx1"/>
            </w14:solidFill>
          </w14:textFill>
        </w:rPr>
        <w:t>výdavky na obstaranie alebo spätné odkúpenie vlastných akcií alebo vlastných obchodných podielov a výdavky na iné zníženie vlastného</w:t>
      </w:r>
      <w:r>
        <w:rPr>
          <w:color w:val="000000" w:themeColor="text1"/>
          <w:spacing w:val="-10"/>
          <w14:textFill>
            <w14:solidFill>
              <w14:schemeClr w14:val="tx1"/>
            </w14:solidFill>
          </w14:textFill>
        </w:rPr>
        <w:t xml:space="preserve"> </w:t>
      </w:r>
      <w:r>
        <w:rPr>
          <w:color w:val="000000" w:themeColor="text1"/>
          <w14:textFill>
            <w14:solidFill>
              <w14:schemeClr w14:val="tx1"/>
            </w14:solidFill>
          </w14:textFill>
        </w:rPr>
        <w:t>imania,</w:t>
      </w:r>
    </w:p>
    <w:p>
      <w:pPr>
        <w:pStyle w:val="10"/>
        <w:numPr>
          <w:ilvl w:val="2"/>
          <w:numId w:val="10"/>
        </w:numPr>
        <w:tabs>
          <w:tab w:val="left" w:pos="851"/>
          <w:tab w:val="left" w:pos="1896"/>
          <w:tab w:val="left" w:pos="9781"/>
        </w:tabs>
        <w:spacing w:line="251" w:lineRule="exact"/>
        <w:ind w:left="873" w:hanging="380"/>
        <w:jc w:val="both"/>
        <w:rPr>
          <w:color w:val="000000" w:themeColor="text1"/>
          <w14:textFill>
            <w14:solidFill>
              <w14:schemeClr w14:val="tx1"/>
            </w14:solidFill>
          </w14:textFill>
        </w:rPr>
      </w:pPr>
      <w:r>
        <w:rPr>
          <w:color w:val="000000" w:themeColor="text1"/>
          <w14:textFill>
            <w14:solidFill>
              <w14:schemeClr w14:val="tx1"/>
            </w14:solidFill>
          </w14:textFill>
        </w:rPr>
        <w:t>príjmy z emisie dlhových cenných papierov, úverov a</w:t>
      </w:r>
      <w:r>
        <w:rPr>
          <w:color w:val="000000" w:themeColor="text1"/>
          <w:spacing w:val="42"/>
          <w14:textFill>
            <w14:solidFill>
              <w14:schemeClr w14:val="tx1"/>
            </w14:solidFill>
          </w14:textFill>
        </w:rPr>
        <w:t xml:space="preserve"> </w:t>
      </w:r>
      <w:r>
        <w:rPr>
          <w:color w:val="000000" w:themeColor="text1"/>
          <w14:textFill>
            <w14:solidFill>
              <w14:schemeClr w14:val="tx1"/>
            </w14:solidFill>
          </w14:textFill>
        </w:rPr>
        <w:t>pôžičiek,</w:t>
      </w:r>
    </w:p>
    <w:p>
      <w:pPr>
        <w:pStyle w:val="10"/>
        <w:numPr>
          <w:ilvl w:val="2"/>
          <w:numId w:val="10"/>
        </w:numPr>
        <w:tabs>
          <w:tab w:val="left" w:pos="851"/>
          <w:tab w:val="left" w:pos="1896"/>
          <w:tab w:val="left" w:pos="9781"/>
        </w:tabs>
        <w:spacing w:line="252" w:lineRule="exact"/>
        <w:ind w:left="873" w:hanging="380"/>
        <w:jc w:val="both"/>
        <w:rPr>
          <w:color w:val="000000" w:themeColor="text1"/>
          <w14:textFill>
            <w14:solidFill>
              <w14:schemeClr w14:val="tx1"/>
            </w14:solidFill>
          </w14:textFill>
        </w:rPr>
      </w:pPr>
      <w:r>
        <w:rPr>
          <w:color w:val="000000" w:themeColor="text1"/>
          <w14:textFill>
            <w14:solidFill>
              <w14:schemeClr w14:val="tx1"/>
            </w14:solidFill>
          </w14:textFill>
        </w:rPr>
        <w:t>výdavky na úhradu záväzkov z cenných papierov, na splácanie úverov a</w:t>
      </w:r>
      <w:r>
        <w:rPr>
          <w:color w:val="000000" w:themeColor="text1"/>
          <w:spacing w:val="-18"/>
          <w14:textFill>
            <w14:solidFill>
              <w14:schemeClr w14:val="tx1"/>
            </w14:solidFill>
          </w14:textFill>
        </w:rPr>
        <w:t xml:space="preserve"> </w:t>
      </w:r>
      <w:r>
        <w:rPr>
          <w:color w:val="000000" w:themeColor="text1"/>
          <w14:textFill>
            <w14:solidFill>
              <w14:schemeClr w14:val="tx1"/>
            </w14:solidFill>
          </w14:textFill>
        </w:rPr>
        <w:t>pôžičiek,</w:t>
      </w:r>
    </w:p>
    <w:p>
      <w:pPr>
        <w:pStyle w:val="10"/>
        <w:numPr>
          <w:ilvl w:val="2"/>
          <w:numId w:val="10"/>
        </w:numPr>
        <w:tabs>
          <w:tab w:val="left" w:pos="851"/>
          <w:tab w:val="left" w:pos="1896"/>
          <w:tab w:val="left" w:pos="9781"/>
        </w:tabs>
        <w:spacing w:before="1"/>
        <w:ind w:left="873" w:right="574" w:hanging="380"/>
        <w:jc w:val="both"/>
        <w:rPr>
          <w:color w:val="000000" w:themeColor="text1"/>
          <w14:textFill>
            <w14:solidFill>
              <w14:schemeClr w14:val="tx1"/>
            </w14:solidFill>
          </w14:textFill>
        </w:rPr>
      </w:pPr>
      <w:r>
        <w:rPr>
          <w:color w:val="000000" w:themeColor="text1"/>
          <w14:textFill>
            <w14:solidFill>
              <w14:schemeClr w14:val="tx1"/>
            </w14:solidFill>
          </w14:textFill>
        </w:rPr>
        <w:t>výdavky na úhradu záväzkov z používania majetku, ktorý je predmetom zmluvy o kúpe prenajatej</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veci,</w:t>
      </w:r>
    </w:p>
    <w:p>
      <w:pPr>
        <w:pStyle w:val="10"/>
        <w:numPr>
          <w:ilvl w:val="2"/>
          <w:numId w:val="10"/>
        </w:numPr>
        <w:tabs>
          <w:tab w:val="left" w:pos="851"/>
          <w:tab w:val="left" w:pos="1896"/>
          <w:tab w:val="left" w:pos="9781"/>
        </w:tabs>
        <w:ind w:left="873" w:right="578" w:hanging="380"/>
        <w:jc w:val="both"/>
        <w:rPr>
          <w:color w:val="000000" w:themeColor="text1"/>
          <w14:textFill>
            <w14:solidFill>
              <w14:schemeClr w14:val="tx1"/>
            </w14:solidFill>
          </w14:textFill>
        </w:rPr>
      </w:pPr>
      <w:r>
        <w:rPr>
          <w:color w:val="000000" w:themeColor="text1"/>
          <w14:textFill>
            <w14:solidFill>
              <w14:schemeClr w14:val="tx1"/>
            </w14:solidFill>
          </w14:textFill>
        </w:rPr>
        <w:t>výdavky za nájom súboru hnuteľného majetku a nehnuteľného majetku používaného a odpisovaného</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nájomcom,</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čistých peňažných tokoch z prevádzkovej činnosti, investičnej činnosti a finančnej činnosti, pričom ako čisté peňažné toky sa môžu uvádzať</w:t>
      </w:r>
    </w:p>
    <w:p>
      <w:pPr>
        <w:pStyle w:val="10"/>
        <w:numPr>
          <w:ilvl w:val="2"/>
          <w:numId w:val="10"/>
        </w:numPr>
        <w:tabs>
          <w:tab w:val="left" w:pos="851"/>
          <w:tab w:val="left" w:pos="1896"/>
          <w:tab w:val="left" w:pos="9781"/>
        </w:tabs>
        <w:ind w:left="873" w:right="572" w:hanging="380"/>
        <w:jc w:val="both"/>
        <w:rPr>
          <w:color w:val="000000" w:themeColor="text1"/>
          <w14:textFill>
            <w14:solidFill>
              <w14:schemeClr w14:val="tx1"/>
            </w14:solidFill>
          </w14:textFill>
        </w:rPr>
      </w:pPr>
      <w:r>
        <w:rPr>
          <w:color w:val="000000" w:themeColor="text1"/>
          <w14:textFill>
            <w14:solidFill>
              <w14:schemeClr w14:val="tx1"/>
            </w14:solidFill>
          </w14:textFill>
        </w:rPr>
        <w:t>príjmy a výdavky uskutočnené v mene tretích osôb, ak sa peňažné toky vzťahujú na činnosť tretích osôb, napríklad príjmy a výdavky uskutočnené na bežných bankových účtoch, nájomné vyberané v mene majiteľov nehnuteľností a zaplatené týmto</w:t>
      </w:r>
      <w:r>
        <w:rPr>
          <w:color w:val="000000" w:themeColor="text1"/>
          <w:spacing w:val="13"/>
          <w14:textFill>
            <w14:solidFill>
              <w14:schemeClr w14:val="tx1"/>
            </w14:solidFill>
          </w14:textFill>
        </w:rPr>
        <w:t xml:space="preserve"> </w:t>
      </w:r>
      <w:r>
        <w:rPr>
          <w:color w:val="000000" w:themeColor="text1"/>
          <w14:textFill>
            <w14:solidFill>
              <w14:schemeClr w14:val="tx1"/>
            </w14:solidFill>
          </w14:textFill>
        </w:rPr>
        <w:t>majiteľom,</w:t>
      </w:r>
    </w:p>
    <w:p>
      <w:pPr>
        <w:pStyle w:val="10"/>
        <w:numPr>
          <w:ilvl w:val="2"/>
          <w:numId w:val="10"/>
        </w:numPr>
        <w:tabs>
          <w:tab w:val="left" w:pos="851"/>
          <w:tab w:val="left" w:pos="1896"/>
          <w:tab w:val="left" w:pos="9781"/>
        </w:tabs>
        <w:ind w:left="873" w:right="578" w:hanging="380"/>
        <w:jc w:val="both"/>
        <w:rPr>
          <w:color w:val="000000" w:themeColor="text1"/>
          <w14:textFill>
            <w14:solidFill>
              <w14:schemeClr w14:val="tx1"/>
            </w14:solidFill>
          </w14:textFill>
        </w:rPr>
      </w:pPr>
      <w:r>
        <w:rPr>
          <w:color w:val="000000" w:themeColor="text1"/>
          <w14:textFill>
            <w14:solidFill>
              <w14:schemeClr w14:val="tx1"/>
            </w14:solidFill>
          </w14:textFill>
        </w:rPr>
        <w:t>príjmy a výdavky na nákup a na predaj cenných papierov, na krátkodobé pôžičky, na preddavky alebo splátky prostredníctvom kreditných kariet, ktorých dohodnutá doba splatnosti je najviac tri</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mesiace,</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peňažných tokoch v príslušných cudzích menách, pričom sa</w:t>
      </w:r>
    </w:p>
    <w:p>
      <w:pPr>
        <w:pStyle w:val="10"/>
        <w:numPr>
          <w:ilvl w:val="2"/>
          <w:numId w:val="10"/>
        </w:numPr>
        <w:tabs>
          <w:tab w:val="left" w:pos="851"/>
          <w:tab w:val="left" w:pos="9781"/>
        </w:tabs>
        <w:ind w:left="851" w:right="572" w:hanging="339"/>
        <w:jc w:val="both"/>
        <w:rPr>
          <w:color w:val="000000" w:themeColor="text1"/>
          <w14:textFill>
            <w14:solidFill>
              <w14:schemeClr w14:val="tx1"/>
            </w14:solidFill>
          </w14:textFill>
        </w:rPr>
      </w:pPr>
      <w:r>
        <w:rPr>
          <w:color w:val="000000" w:themeColor="text1"/>
          <w14:textFill>
            <w14:solidFill>
              <w14:schemeClr w14:val="tx1"/>
            </w14:solidFill>
          </w14:textFill>
        </w:rPr>
        <w:t>peňažné toky vyplývajúce z účtovných prípadov v cudzej mene vykazujú v eurách prepočítané referenčným výmenným kurzom určeným a vyhláseným Európskou centrálnou bankou alebo Národnou bankou Slovenska</w:t>
      </w:r>
      <w:r>
        <w:rPr>
          <w:color w:val="000000" w:themeColor="text1"/>
          <w:position w:val="6"/>
          <w:sz w:val="14"/>
          <w14:textFill>
            <w14:solidFill>
              <w14:schemeClr w14:val="tx1"/>
            </w14:solidFill>
          </w14:textFill>
        </w:rPr>
        <w:t xml:space="preserve">1d) </w:t>
      </w:r>
      <w:r>
        <w:rPr>
          <w:color w:val="000000" w:themeColor="text1"/>
          <w14:textFill>
            <w14:solidFill>
              <w14:schemeClr w14:val="tx1"/>
            </w14:solidFill>
          </w14:textFill>
        </w:rPr>
        <w:t>ku dňu, ku ktorému sa zostavuje účtovná závierka,</w:t>
      </w:r>
    </w:p>
    <w:p>
      <w:pPr>
        <w:pStyle w:val="10"/>
        <w:numPr>
          <w:ilvl w:val="2"/>
          <w:numId w:val="10"/>
        </w:numPr>
        <w:tabs>
          <w:tab w:val="left" w:pos="851"/>
          <w:tab w:val="left" w:pos="9781"/>
        </w:tabs>
        <w:ind w:left="851" w:right="575" w:hanging="339"/>
        <w:jc w:val="both"/>
        <w:rPr>
          <w:color w:val="000000" w:themeColor="text1"/>
          <w14:textFill>
            <w14:solidFill>
              <w14:schemeClr w14:val="tx1"/>
            </w14:solidFill>
          </w14:textFill>
        </w:rPr>
      </w:pPr>
      <w:r>
        <w:rPr>
          <w:color w:val="000000" w:themeColor="text1"/>
          <w14:textFill>
            <w14:solidFill>
              <w14:schemeClr w14:val="tx1"/>
            </w14:solidFill>
          </w14:textFill>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w:t>
      </w:r>
      <w:r>
        <w:rPr>
          <w:color w:val="000000" w:themeColor="text1"/>
          <w:spacing w:val="-11"/>
          <w14:textFill>
            <w14:solidFill>
              <w14:schemeClr w14:val="tx1"/>
            </w14:solidFill>
          </w14:textFill>
        </w:rPr>
        <w:t xml:space="preserve"> </w:t>
      </w:r>
      <w:r>
        <w:rPr>
          <w:color w:val="000000" w:themeColor="text1"/>
          <w14:textFill>
            <w14:solidFill>
              <w14:schemeClr w14:val="tx1"/>
            </w14:solidFill>
          </w14:textFill>
        </w:rPr>
        <w:t>tokmi,</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peňažných tokoch pri úrokoch, dividendách a iných podieloch na zisku, pričom</w:t>
      </w:r>
    </w:p>
    <w:p>
      <w:pPr>
        <w:pStyle w:val="10"/>
        <w:numPr>
          <w:ilvl w:val="2"/>
          <w:numId w:val="10"/>
        </w:numPr>
        <w:tabs>
          <w:tab w:val="left" w:pos="851"/>
          <w:tab w:val="left" w:pos="9781"/>
        </w:tabs>
        <w:spacing w:line="242" w:lineRule="auto"/>
        <w:ind w:left="851" w:right="579" w:hanging="339"/>
        <w:jc w:val="both"/>
        <w:rPr>
          <w:color w:val="000000" w:themeColor="text1"/>
          <w14:textFill>
            <w14:solidFill>
              <w14:schemeClr w14:val="tx1"/>
            </w14:solidFill>
          </w14:textFill>
        </w:rPr>
      </w:pPr>
      <w:r>
        <w:rPr>
          <w:color w:val="000000" w:themeColor="text1"/>
          <w14:textFill>
            <w14:solidFill>
              <w14:schemeClr w14:val="tx1"/>
            </w14:solidFill>
          </w14:textFill>
        </w:rPr>
        <w:t>prijaté a zaplatené úroky, dividendy a iné podiely na zisku, ak sa zahŕňajú do výsledku hospodárenia z bežnej činnosti, uvádzajú sa ako peňažné toky z prevádzkovej</w:t>
      </w:r>
      <w:r>
        <w:rPr>
          <w:color w:val="000000" w:themeColor="text1"/>
          <w:spacing w:val="-33"/>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2"/>
          <w:numId w:val="10"/>
        </w:numPr>
        <w:tabs>
          <w:tab w:val="left" w:pos="851"/>
          <w:tab w:val="left" w:pos="9781"/>
        </w:tabs>
        <w:ind w:left="851" w:right="574" w:hanging="339"/>
        <w:jc w:val="both"/>
        <w:rPr>
          <w:color w:val="000000" w:themeColor="text1"/>
          <w14:textFill>
            <w14:solidFill>
              <w14:schemeClr w14:val="tx1"/>
            </w14:solidFill>
          </w14:textFill>
        </w:rPr>
      </w:pPr>
      <w:r>
        <w:rPr>
          <w:color w:val="000000" w:themeColor="text1"/>
          <w14:textFill>
            <w14:solidFill>
              <w14:schemeClr w14:val="tx1"/>
            </w14:solidFill>
          </w14:textFill>
        </w:rPr>
        <w:t>prijaté úroky, prijaté dividendy a iné podiely na zisku, ak vyjadrujú spôsob návratnosti investícií, uvádzajú sa ako peňažné toky z investičnej</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2"/>
          <w:numId w:val="10"/>
        </w:numPr>
        <w:tabs>
          <w:tab w:val="left" w:pos="851"/>
          <w:tab w:val="left" w:pos="9781"/>
        </w:tabs>
        <w:ind w:left="851" w:right="573" w:hanging="339"/>
        <w:jc w:val="both"/>
        <w:rPr>
          <w:color w:val="000000" w:themeColor="text1"/>
          <w14:textFill>
            <w14:solidFill>
              <w14:schemeClr w14:val="tx1"/>
            </w14:solidFill>
          </w14:textFill>
        </w:rPr>
      </w:pPr>
      <w:r>
        <w:rPr>
          <w:color w:val="000000" w:themeColor="text1"/>
          <w14:textFill>
            <w14:solidFill>
              <w14:schemeClr w14:val="tx1"/>
            </w14:solidFill>
          </w14:textFill>
        </w:rPr>
        <w:t>zaplatené úroky, zaplatené dividendy a iné podiely na zisku, ak vyjadrujú výdavky na získanie finančných zdrojov, uvádzajú sa ako peňažné toky z finančnej</w:t>
      </w:r>
      <w:r>
        <w:rPr>
          <w:color w:val="000000" w:themeColor="text1"/>
          <w:spacing w:val="-14"/>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peňažných tokoch dane z príjmov účtovnej jednotky, ktoré sa uvádzajú ako samostatná položka, podľa charakteru z prevádzkovej činnosti, finančnej činnosti alebo investičnej činnosti,</w:t>
      </w:r>
    </w:p>
    <w:p>
      <w:pPr>
        <w:pStyle w:val="10"/>
        <w:numPr>
          <w:ilvl w:val="1"/>
          <w:numId w:val="10"/>
        </w:numPr>
        <w:tabs>
          <w:tab w:val="left" w:pos="426"/>
          <w:tab w:val="left" w:pos="9781"/>
        </w:tabs>
        <w:spacing w:before="1"/>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skutočnostiach, ktoré nemajú priamy vplyv na peňažné toky, ale</w:t>
      </w:r>
    </w:p>
    <w:p>
      <w:pPr>
        <w:pStyle w:val="10"/>
        <w:numPr>
          <w:ilvl w:val="2"/>
          <w:numId w:val="10"/>
        </w:numPr>
        <w:tabs>
          <w:tab w:val="left" w:pos="851"/>
          <w:tab w:val="left" w:pos="1936"/>
          <w:tab w:val="left" w:pos="1937"/>
          <w:tab w:val="left" w:pos="9781"/>
        </w:tabs>
        <w:ind w:left="851" w:right="574" w:hanging="358"/>
        <w:jc w:val="both"/>
        <w:rPr>
          <w:color w:val="000000" w:themeColor="text1"/>
          <w14:textFill>
            <w14:solidFill>
              <w14:schemeClr w14:val="tx1"/>
            </w14:solidFill>
          </w14:textFill>
        </w:rPr>
      </w:pPr>
      <w:r>
        <w:rPr>
          <w:color w:val="000000" w:themeColor="text1"/>
          <w14:textFill>
            <w14:solidFill>
              <w14:schemeClr w14:val="tx1"/>
            </w14:solidFill>
          </w14:textFill>
        </w:rPr>
        <w:t>ovplyvňujú v bežnom účtovnom období štruktúru majetku, záväzkov a vlastného imania účtovnej jednotky a vznikajú z investičnej činnosti a finančnej</w:t>
      </w:r>
      <w:r>
        <w:rPr>
          <w:color w:val="000000" w:themeColor="text1"/>
          <w:spacing w:val="-13"/>
          <w14:textFill>
            <w14:solidFill>
              <w14:schemeClr w14:val="tx1"/>
            </w14:solidFill>
          </w14:textFill>
        </w:rPr>
        <w:t xml:space="preserve"> </w:t>
      </w:r>
      <w:r>
        <w:rPr>
          <w:color w:val="000000" w:themeColor="text1"/>
          <w14:textFill>
            <w14:solidFill>
              <w14:schemeClr w14:val="tx1"/>
            </w14:solidFill>
          </w14:textFill>
        </w:rPr>
        <w:t>činnosti,</w:t>
      </w:r>
    </w:p>
    <w:p>
      <w:pPr>
        <w:pStyle w:val="10"/>
        <w:numPr>
          <w:ilvl w:val="2"/>
          <w:numId w:val="10"/>
        </w:numPr>
        <w:tabs>
          <w:tab w:val="left" w:pos="851"/>
          <w:tab w:val="left" w:pos="1936"/>
          <w:tab w:val="left" w:pos="1937"/>
          <w:tab w:val="left" w:pos="9781"/>
        </w:tabs>
        <w:ind w:left="851" w:right="573" w:hanging="358"/>
        <w:jc w:val="both"/>
        <w:rPr>
          <w:color w:val="000000" w:themeColor="text1"/>
          <w14:textFill>
            <w14:solidFill>
              <w14:schemeClr w14:val="tx1"/>
            </w14:solidFill>
          </w14:textFill>
        </w:rPr>
      </w:pPr>
      <w:r>
        <w:rPr>
          <w:color w:val="000000" w:themeColor="text1"/>
          <w14:textFill>
            <w14:solidFill>
              <w14:schemeClr w14:val="tx1"/>
            </w14:solidFill>
          </w14:textFill>
        </w:rPr>
        <w:t>vplývajú na výsledok hospodárenia z bežnej činnosti; uvádzajú sa len, ak sa použije nepriama metóda vykazovania peňažných tokov z prevádzkovej</w:t>
      </w:r>
      <w:r>
        <w:rPr>
          <w:color w:val="000000" w:themeColor="text1"/>
          <w:spacing w:val="-12"/>
          <w14:textFill>
            <w14:solidFill>
              <w14:schemeClr w14:val="tx1"/>
            </w14:solidFill>
          </w14:textFill>
        </w:rPr>
        <w:t xml:space="preserve"> </w:t>
      </w:r>
      <w:r>
        <w:rPr>
          <w:color w:val="000000" w:themeColor="text1"/>
          <w14:textFill>
            <w14:solidFill>
              <w14:schemeClr w14:val="tx1"/>
            </w14:solidFill>
          </w14:textFill>
        </w:rPr>
        <w:t>činnosti.</w:t>
      </w:r>
    </w:p>
    <w:p>
      <w:pPr>
        <w:pStyle w:val="5"/>
        <w:tabs>
          <w:tab w:val="left" w:pos="9781"/>
        </w:tabs>
        <w:spacing w:before="8"/>
        <w:ind w:left="438"/>
        <w:jc w:val="both"/>
        <w:rPr>
          <w:color w:val="000000" w:themeColor="text1"/>
          <w:sz w:val="17"/>
          <w14:textFill>
            <w14:solidFill>
              <w14:schemeClr w14:val="tx1"/>
            </w14:solidFill>
          </w14:textFill>
        </w:rPr>
      </w:pPr>
      <w:r>
        <w:rPr>
          <w:color w:val="000000" w:themeColor="text1"/>
          <w:lang w:eastAsia="sk-SK"/>
          <w14:textFill>
            <w14:solidFill>
              <w14:schemeClr w14:val="tx1"/>
            </w14:solidFill>
          </w14:textFill>
        </w:rPr>
        <mc:AlternateContent>
          <mc:Choice Requires="wps">
            <w:drawing>
              <wp:anchor distT="0" distB="0" distL="0" distR="0" simplePos="0" relativeHeight="251665408" behindDoc="1" locked="0" layoutInCell="1" allowOverlap="1">
                <wp:simplePos x="0" y="0"/>
                <wp:positionH relativeFrom="page">
                  <wp:posOffset>901065</wp:posOffset>
                </wp:positionH>
                <wp:positionV relativeFrom="paragraph">
                  <wp:posOffset>153670</wp:posOffset>
                </wp:positionV>
                <wp:extent cx="1828800" cy="7620"/>
                <wp:effectExtent l="0" t="0" r="0" b="0"/>
                <wp:wrapTopAndBottom/>
                <wp:docPr id="17" name="Rectangle 20"/>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20" o:spid="_x0000_s1026" o:spt="1" style="position:absolute;left:0pt;margin-left:70.95pt;margin-top:12.1pt;height:0.6pt;width:144pt;mso-position-horizontal-relative:page;mso-wrap-distance-bottom:0pt;mso-wrap-distance-top:0pt;z-index:-251651072;mso-width-relative:page;mso-height-relative:page;" fillcolor="#000000" filled="t" stroked="f" coordsize="21600,21600" o:gfxdata="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lBvepdcAAAAJAQAADwAAAAAAAAABACAA&#10;AAAiAAAAZHJzL2Rvd25yZXYueG1sUEsBAhQAFAAAAAgAh07iQNtOA/IOAgAAKQQAAA4AAAAAAAAA&#10;AQAgAAAAJgEAAGRycy9lMm9Eb2MueG1sUEsFBgAAAAAGAAYAWQEAAKYFAAAAAA==&#10;">
                <v:fill on="t" focussize="0,0"/>
                <v:stroke on="f"/>
                <v:imagedata o:title=""/>
                <o:lock v:ext="edit" aspectratio="f"/>
                <w10:wrap type="topAndBottom"/>
              </v:rect>
            </w:pict>
          </mc:Fallback>
        </mc:AlternateContent>
      </w:r>
    </w:p>
    <w:p>
      <w:pPr>
        <w:pStyle w:val="10"/>
        <w:tabs>
          <w:tab w:val="left" w:pos="9781"/>
        </w:tabs>
        <w:spacing w:before="76"/>
        <w:ind w:left="438" w:right="851" w:firstLine="0"/>
        <w:jc w:val="both"/>
        <w:rPr>
          <w:color w:val="000000" w:themeColor="text1"/>
          <w:sz w:val="20"/>
          <w14:textFill>
            <w14:solidFill>
              <w14:schemeClr w14:val="tx1"/>
            </w14:solidFill>
          </w14:textFill>
        </w:rPr>
      </w:pPr>
      <w:r>
        <w:rPr>
          <w:color w:val="000000" w:themeColor="text1"/>
          <w:position w:val="5"/>
          <w:sz w:val="13"/>
          <w14:textFill>
            <w14:solidFill>
              <w14:schemeClr w14:val="tx1"/>
            </w14:solidFill>
          </w14:textFill>
        </w:rPr>
        <w:t xml:space="preserve">1d) </w:t>
      </w:r>
      <w:r>
        <w:rPr>
          <w:color w:val="000000" w:themeColor="text1"/>
          <w:sz w:val="20"/>
          <w14:textFill>
            <w14:solidFill>
              <w14:schemeClr w14:val="tx1"/>
            </w14:solidFill>
          </w14:textFill>
        </w:rPr>
        <w:t>Čl. 12 ods. 12.1 Protokolu o Štatúte Európskeho systému centrálnych bánk a Európskej centrálnej banky (Ú. v. EÚ C 321E, 29.12.2006) § 28 ods. 2 zákona Národnej rady Slovenskej republiky č. 566/1992 Zb. o Národnej banke Slovenska v znení zákona č. 659/2007 Z. z.</w:t>
      </w:r>
    </w:p>
    <w:p>
      <w:pPr>
        <w:tabs>
          <w:tab w:val="left" w:pos="9781"/>
        </w:tabs>
        <w:jc w:val="both"/>
        <w:rPr>
          <w:color w:val="000000" w:themeColor="text1"/>
          <w:sz w:val="20"/>
          <w14:textFill>
            <w14:solidFill>
              <w14:schemeClr w14:val="tx1"/>
            </w14:solidFill>
          </w14:textFill>
        </w:rPr>
      </w:pPr>
    </w:p>
    <w:p>
      <w:pPr>
        <w:tabs>
          <w:tab w:val="left" w:pos="9781"/>
        </w:tabs>
        <w:jc w:val="both"/>
        <w:rPr>
          <w:color w:val="000000" w:themeColor="text1"/>
          <w:sz w:val="20"/>
          <w14:textFill>
            <w14:solidFill>
              <w14:schemeClr w14:val="tx1"/>
            </w14:solidFill>
          </w14:textFill>
        </w:rPr>
      </w:pPr>
    </w:p>
    <w:p>
      <w:pPr>
        <w:pStyle w:val="2"/>
        <w:numPr>
          <w:ilvl w:val="0"/>
          <w:numId w:val="10"/>
        </w:numPr>
        <w:tabs>
          <w:tab w:val="left" w:pos="284"/>
          <w:tab w:val="left" w:pos="9781"/>
        </w:tabs>
        <w:ind w:left="284" w:right="576"/>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prehľade  peňažných   tokov   sa   pri   použití   priamej   metódy   vykazovania   peňažných   tokov  z prevádzkovej činnosti môžu uvádzať jeho položky v takomto usporiadaní a s týmto</w:t>
      </w:r>
      <w:r>
        <w:rPr>
          <w:color w:val="000000" w:themeColor="text1"/>
          <w:spacing w:val="-18"/>
          <w:sz w:val="24"/>
          <w14:textFill>
            <w14:solidFill>
              <w14:schemeClr w14:val="tx1"/>
            </w14:solidFill>
          </w14:textFill>
        </w:rPr>
        <w:t xml:space="preserve"> </w:t>
      </w:r>
      <w:r>
        <w:rPr>
          <w:color w:val="000000" w:themeColor="text1"/>
          <w:sz w:val="24"/>
          <w14:textFill>
            <w14:solidFill>
              <w14:schemeClr w14:val="tx1"/>
            </w14:solidFill>
          </w14:textFill>
        </w:rPr>
        <w:t>označením:</w:t>
      </w:r>
    </w:p>
    <w:p>
      <w:pPr>
        <w:pStyle w:val="5"/>
        <w:tabs>
          <w:tab w:val="left" w:pos="9781"/>
        </w:tabs>
        <w:spacing w:before="10"/>
        <w:jc w:val="both"/>
        <w:rPr>
          <w:b/>
          <w:color w:val="000000" w:themeColor="text1"/>
          <w:sz w:val="21"/>
          <w14:textFill>
            <w14:solidFill>
              <w14:schemeClr w14:val="tx1"/>
            </w14:solidFill>
          </w14:textFill>
        </w:rPr>
      </w:pPr>
    </w:p>
    <w:p>
      <w:pPr>
        <w:tabs>
          <w:tab w:val="left" w:pos="2262"/>
          <w:tab w:val="left" w:pos="9781"/>
        </w:tabs>
        <w:ind w:left="498"/>
        <w:jc w:val="both"/>
        <w:rPr>
          <w:b/>
          <w:color w:val="000000" w:themeColor="text1"/>
          <w14:textFill>
            <w14:solidFill>
              <w14:schemeClr w14:val="tx1"/>
            </w14:solidFill>
          </w14:textFill>
        </w:rPr>
      </w:pPr>
      <w:r>
        <w:rPr>
          <w:b/>
          <w:color w:val="000000" w:themeColor="text1"/>
          <w14:textFill>
            <w14:solidFill>
              <w14:schemeClr w14:val="tx1"/>
            </w14:solidFill>
          </w14:textFill>
        </w:rPr>
        <w:t>Označenie</w:t>
      </w:r>
      <w:r>
        <w:rPr>
          <w:b/>
          <w:color w:val="000000" w:themeColor="text1"/>
          <w14:textFill>
            <w14:solidFill>
              <w14:schemeClr w14:val="tx1"/>
            </w14:solidFill>
          </w14:textFill>
        </w:rPr>
        <w:tab/>
      </w:r>
      <w:r>
        <w:rPr>
          <w:b/>
          <w:color w:val="000000" w:themeColor="text1"/>
          <w14:textFill>
            <w14:solidFill>
              <w14:schemeClr w14:val="tx1"/>
            </w14:solidFill>
          </w14:textFill>
        </w:rPr>
        <w:t>Obsah</w:t>
      </w:r>
    </w:p>
    <w:p>
      <w:pPr>
        <w:pStyle w:val="2"/>
        <w:tabs>
          <w:tab w:val="left" w:pos="2313"/>
          <w:tab w:val="left" w:pos="9781"/>
        </w:tabs>
        <w:spacing w:before="2" w:after="21"/>
        <w:ind w:left="498"/>
        <w:jc w:val="both"/>
        <w:rPr>
          <w:color w:val="000000" w:themeColor="text1"/>
          <w14:textFill>
            <w14:solidFill>
              <w14:schemeClr w14:val="tx1"/>
            </w14:solidFill>
          </w14:textFill>
        </w:rPr>
      </w:pPr>
      <w:r>
        <w:rPr>
          <w:color w:val="000000" w:themeColor="text1"/>
          <w14:textFill>
            <w14:solidFill>
              <w14:schemeClr w14:val="tx1"/>
            </w14:solidFill>
          </w14:textFill>
        </w:rPr>
        <w:t>položky</w:t>
      </w:r>
      <w:r>
        <w:rPr>
          <w:color w:val="000000" w:themeColor="text1"/>
          <w14:textFill>
            <w14:solidFill>
              <w14:schemeClr w14:val="tx1"/>
            </w14:solidFill>
          </w14:textFill>
        </w:rPr>
        <w:tab/>
      </w:r>
      <w:r>
        <w:rPr>
          <w:color w:val="000000" w:themeColor="text1"/>
          <w14:textFill>
            <w14:solidFill>
              <w14:schemeClr w14:val="tx1"/>
            </w14:solidFill>
          </w14:textFill>
        </w:rPr>
        <w:t>položky</w:t>
      </w:r>
    </w:p>
    <w:p>
      <w:pPr>
        <w:pStyle w:val="5"/>
        <w:tabs>
          <w:tab w:val="left" w:pos="9781"/>
        </w:tabs>
        <w:spacing w:line="28" w:lineRule="exact"/>
        <w:ind w:left="110"/>
        <w:jc w:val="both"/>
        <w:rPr>
          <w:color w:val="000000" w:themeColor="text1"/>
          <w:sz w:val="2"/>
          <w14:textFill>
            <w14:solidFill>
              <w14:schemeClr w14:val="tx1"/>
            </w14:solidFill>
          </w14:textFill>
        </w:rPr>
      </w:pPr>
      <w:r>
        <w:rPr>
          <w:color w:val="000000" w:themeColor="text1"/>
          <w:sz w:val="2"/>
          <w:lang w:eastAsia="sk-SK"/>
          <w14:textFill>
            <w14:solidFill>
              <w14:schemeClr w14:val="tx1"/>
            </w14:solidFill>
          </w14:textFill>
        </w:rPr>
        <mc:AlternateContent>
          <mc:Choice Requires="wpg">
            <w:drawing>
              <wp:inline distT="0" distB="0" distL="0" distR="0">
                <wp:extent cx="5798185" cy="18415"/>
                <wp:effectExtent l="0" t="0" r="0" b="0"/>
                <wp:docPr id="15" name="Group 14"/>
                <wp:cNvGraphicFramePr/>
                <a:graphic xmlns:a="http://schemas.openxmlformats.org/drawingml/2006/main">
                  <a:graphicData uri="http://schemas.microsoft.com/office/word/2010/wordprocessingGroup">
                    <wpg:wgp>
                      <wpg:cNvGrpSpPr/>
                      <wpg:grpSpPr>
                        <a:xfrm>
                          <a:off x="0" y="0"/>
                          <a:ext cx="5798185" cy="18415"/>
                          <a:chOff x="0" y="0"/>
                          <a:chExt cx="9131" cy="29"/>
                        </a:xfrm>
                      </wpg:grpSpPr>
                      <wps:wsp>
                        <wps:cNvPr id="16" name="Rectangle 15"/>
                        <wps:cNvSpPr>
                          <a:spLocks noChangeArrowheads="1"/>
                        </wps:cNvSpPr>
                        <wps:spPr bwMode="auto">
                          <a:xfrm>
                            <a:off x="0" y="0"/>
                            <a:ext cx="9131" cy="29"/>
                          </a:xfrm>
                          <a:prstGeom prst="rect">
                            <a:avLst/>
                          </a:prstGeom>
                          <a:solidFill>
                            <a:srgbClr val="000000"/>
                          </a:solidFill>
                          <a:ln>
                            <a:noFill/>
                          </a:ln>
                        </wps:spPr>
                        <wps:bodyPr rot="0" vert="horz" wrap="square" lIns="91440" tIns="45720" rIns="91440" bIns="45720" anchor="t" anchorCtr="0" upright="1">
                          <a:noAutofit/>
                        </wps:bodyPr>
                      </wps:wsp>
                    </wpg:wgp>
                  </a:graphicData>
                </a:graphic>
              </wp:inline>
            </w:drawing>
          </mc:Choice>
          <mc:Fallback>
            <w:pict>
              <v:group id="Group 14" o:spid="_x0000_s1026" o:spt="203" style="height:1.45pt;width:456.55pt;" coordsize="9131,29" o:gfxdata="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K2e&#10;2WrUAAAAAwEAAA8AAAAAAAAAAQAgAAAAIgAAAGRycy9kb3ducmV2LnhtbFBLAQIUABQAAAAIAIdO&#10;4kDLdVxuYAIAAEwFAAAOAAAAAAAAAAEAIAAAACMBAABkcnMvZTJvRG9jLnhtbFBLBQYAAAAABgAG&#10;AFkBAAD1BQAAAAA=&#10;">
                <o:lock v:ext="edit" aspectratio="f"/>
                <v:rect id="Rectangle 15" o:spid="_x0000_s1026" o:spt="1" style="position:absolute;left:0;top:0;height:29;width:9131;" fillcolor="#000000" filled="t" stroked="f" coordsize="21600,21600" o:gfxdata="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Y5QIK8AAAA&#10;2wAAAA8AAAAAAAAAAQAgAAAAIgAAAGRycy9kb3ducmV2LnhtbFBLAQIUABQAAAAIAIdO4kAzLwWe&#10;OwAAADkAAAAQAAAAAAAAAAEAIAAAAAsBAABkcnMvc2hhcGV4bWwueG1sUEsFBgAAAAAGAAYAWwEA&#10;ALUDAAAAAA==&#10;">
                  <v:fill on="t" focussize="0,0"/>
                  <v:stroke on="f"/>
                  <v:imagedata o:title=""/>
                  <o:lock v:ext="edit" aspectratio="f"/>
                </v:rect>
                <w10:wrap type="none"/>
                <w10:anchorlock/>
              </v:group>
            </w:pict>
          </mc:Fallback>
        </mc:AlternateContent>
      </w:r>
    </w:p>
    <w:p>
      <w:pPr>
        <w:pStyle w:val="5"/>
        <w:tabs>
          <w:tab w:val="left" w:pos="9781"/>
        </w:tabs>
        <w:spacing w:before="3"/>
        <w:jc w:val="both"/>
        <w:rPr>
          <w:b/>
          <w:color w:val="000000" w:themeColor="text1"/>
          <w:sz w:val="13"/>
          <w14:textFill>
            <w14:solidFill>
              <w14:schemeClr w14:val="tx1"/>
            </w14:solidFill>
          </w14:textFill>
        </w:rPr>
      </w:pPr>
    </w:p>
    <w:p>
      <w:pPr>
        <w:tabs>
          <w:tab w:val="left" w:pos="4387"/>
          <w:tab w:val="left" w:pos="9781"/>
        </w:tabs>
        <w:spacing w:before="101" w:line="252" w:lineRule="exact"/>
        <w:ind w:left="498"/>
        <w:jc w:val="both"/>
        <w:rPr>
          <w:b/>
          <w:color w:val="000000" w:themeColor="text1"/>
          <w14:textFill>
            <w14:solidFill>
              <w14:schemeClr w14:val="tx1"/>
            </w14:solidFill>
          </w14:textFill>
        </w:rPr>
      </w:pPr>
      <w:r>
        <w:rPr>
          <w:rFonts w:ascii="Times New Roman" w:hAnsi="Times New Roman"/>
          <w:color w:val="000000" w:themeColor="text1"/>
          <w:spacing w:val="-56"/>
          <w:u w:val="single"/>
          <w14:textFill>
            <w14:solidFill>
              <w14:schemeClr w14:val="tx1"/>
            </w14:solidFill>
          </w14:textFill>
        </w:rPr>
        <w:t xml:space="preserve"> </w:t>
      </w:r>
      <w:r>
        <w:rPr>
          <w:b/>
          <w:color w:val="000000" w:themeColor="text1"/>
          <w:u w:val="single"/>
          <w14:textFill>
            <w14:solidFill>
              <w14:schemeClr w14:val="tx1"/>
            </w14:solidFill>
          </w14:textFill>
        </w:rPr>
        <w:t>Peňažné toky z prevádzkovej</w:t>
      </w:r>
      <w:r>
        <w:rPr>
          <w:b/>
          <w:color w:val="000000" w:themeColor="text1"/>
          <w:spacing w:val="-19"/>
          <w:u w:val="single"/>
          <w14:textFill>
            <w14:solidFill>
              <w14:schemeClr w14:val="tx1"/>
            </w14:solidFill>
          </w14:textFill>
        </w:rPr>
        <w:t xml:space="preserve"> </w:t>
      </w:r>
      <w:r>
        <w:rPr>
          <w:b/>
          <w:color w:val="000000" w:themeColor="text1"/>
          <w:u w:val="single"/>
          <w14:textFill>
            <w14:solidFill>
              <w14:schemeClr w14:val="tx1"/>
            </w14:solidFill>
          </w14:textFill>
        </w:rPr>
        <w:t>činnosti</w:t>
      </w:r>
      <w:r>
        <w:rPr>
          <w:b/>
          <w:color w:val="000000" w:themeColor="text1"/>
          <w:u w:val="single"/>
          <w14:textFill>
            <w14:solidFill>
              <w14:schemeClr w14:val="tx1"/>
            </w14:solidFill>
          </w14:textFill>
        </w:rPr>
        <w:tab/>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w:t>
      </w:r>
      <w:r>
        <w:rPr>
          <w:color w:val="000000" w:themeColor="text1"/>
          <w14:textFill>
            <w14:solidFill>
              <w14:schemeClr w14:val="tx1"/>
            </w14:solidFill>
          </w14:textFill>
        </w:rPr>
        <w:tab/>
      </w:r>
      <w:r>
        <w:rPr>
          <w:color w:val="000000" w:themeColor="text1"/>
          <w14:textFill>
            <w14:solidFill>
              <w14:schemeClr w14:val="tx1"/>
            </w14:solidFill>
          </w14:textFill>
        </w:rPr>
        <w:t>Príjmy z predaja tovaru</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w:t>
      </w:r>
      <w:r>
        <w:rPr>
          <w:color w:val="000000" w:themeColor="text1"/>
          <w14:textFill>
            <w14:solidFill>
              <w14:schemeClr w14:val="tx1"/>
            </w14:solidFill>
          </w14:textFill>
        </w:rPr>
        <w:tab/>
      </w:r>
      <w:r>
        <w:rPr>
          <w:color w:val="000000" w:themeColor="text1"/>
          <w14:textFill>
            <w14:solidFill>
              <w14:schemeClr w14:val="tx1"/>
            </w14:solidFill>
          </w14:textFill>
        </w:rPr>
        <w:t>Výdavky na nákup tovaru</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3.</w:t>
      </w:r>
      <w:r>
        <w:rPr>
          <w:color w:val="000000" w:themeColor="text1"/>
          <w14:textFill>
            <w14:solidFill>
              <w14:schemeClr w14:val="tx1"/>
            </w14:solidFill>
          </w14:textFill>
        </w:rPr>
        <w:tab/>
      </w:r>
      <w:r>
        <w:rPr>
          <w:color w:val="000000" w:themeColor="text1"/>
          <w14:textFill>
            <w14:solidFill>
              <w14:schemeClr w14:val="tx1"/>
            </w14:solidFill>
          </w14:textFill>
        </w:rPr>
        <w:t>Príjmy z predaja vlastných výrobkov</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4.</w:t>
      </w:r>
      <w:r>
        <w:rPr>
          <w:color w:val="000000" w:themeColor="text1"/>
          <w14:textFill>
            <w14:solidFill>
              <w14:schemeClr w14:val="tx1"/>
            </w14:solidFill>
          </w14:textFill>
        </w:rPr>
        <w:tab/>
      </w:r>
      <w:r>
        <w:rPr>
          <w:color w:val="000000" w:themeColor="text1"/>
          <w14:textFill>
            <w14:solidFill>
              <w14:schemeClr w14:val="tx1"/>
            </w14:solidFill>
          </w14:textFill>
        </w:rPr>
        <w:t>Príjmy z predaja služieb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2"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5.</w:t>
      </w:r>
      <w:r>
        <w:rPr>
          <w:color w:val="000000" w:themeColor="text1"/>
          <w14:textFill>
            <w14:solidFill>
              <w14:schemeClr w14:val="tx1"/>
            </w14:solidFill>
          </w14:textFill>
        </w:rPr>
        <w:tab/>
      </w:r>
      <w:r>
        <w:rPr>
          <w:color w:val="000000" w:themeColor="text1"/>
          <w14:textFill>
            <w14:solidFill>
              <w14:schemeClr w14:val="tx1"/>
            </w14:solidFill>
          </w14:textFill>
        </w:rPr>
        <w:t>Výdavky na obstaranie materiálu, energie a ostatných neskladovateľných dodávok</w:t>
      </w:r>
      <w:r>
        <w:rPr>
          <w:color w:val="000000" w:themeColor="text1"/>
          <w:spacing w:val="-20"/>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6.</w:t>
      </w:r>
      <w:r>
        <w:rPr>
          <w:color w:val="000000" w:themeColor="text1"/>
          <w14:textFill>
            <w14:solidFill>
              <w14:schemeClr w14:val="tx1"/>
            </w14:solidFill>
          </w14:textFill>
        </w:rPr>
        <w:tab/>
      </w:r>
      <w:r>
        <w:rPr>
          <w:color w:val="000000" w:themeColor="text1"/>
          <w14:textFill>
            <w14:solidFill>
              <w14:schemeClr w14:val="tx1"/>
            </w14:solidFill>
          </w14:textFill>
        </w:rPr>
        <w:t>Výdavky na služby</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7.</w:t>
      </w:r>
      <w:r>
        <w:rPr>
          <w:color w:val="000000" w:themeColor="text1"/>
          <w14:textFill>
            <w14:solidFill>
              <w14:schemeClr w14:val="tx1"/>
            </w14:solidFill>
          </w14:textFill>
        </w:rPr>
        <w:tab/>
      </w:r>
      <w:r>
        <w:rPr>
          <w:color w:val="000000" w:themeColor="text1"/>
          <w14:textFill>
            <w14:solidFill>
              <w14:schemeClr w14:val="tx1"/>
            </w14:solidFill>
          </w14:textFill>
        </w:rPr>
        <w:t>Výdavky na osobné náklady</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2"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8.</w:t>
      </w:r>
      <w:r>
        <w:rPr>
          <w:color w:val="000000" w:themeColor="text1"/>
          <w14:textFill>
            <w14:solidFill>
              <w14:schemeClr w14:val="tx1"/>
            </w14:solidFill>
          </w14:textFill>
        </w:rPr>
        <w:tab/>
      </w:r>
      <w:r>
        <w:rPr>
          <w:color w:val="000000" w:themeColor="text1"/>
          <w14:textFill>
            <w14:solidFill>
              <w14:schemeClr w14:val="tx1"/>
            </w14:solidFill>
          </w14:textFill>
        </w:rPr>
        <w:t>Výdavky na dane a poplatky, s výnimkou výdavkov na daň z príjmov účtovnej jednotky (-)</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9.</w:t>
      </w:r>
      <w:r>
        <w:rPr>
          <w:color w:val="000000" w:themeColor="text1"/>
          <w14:textFill>
            <w14:solidFill>
              <w14:schemeClr w14:val="tx1"/>
            </w14:solidFill>
          </w14:textFill>
        </w:rPr>
        <w:tab/>
      </w:r>
      <w:r>
        <w:rPr>
          <w:color w:val="000000" w:themeColor="text1"/>
          <w14:textFill>
            <w14:solidFill>
              <w14:schemeClr w14:val="tx1"/>
            </w14:solidFill>
          </w14:textFill>
        </w:rPr>
        <w:t>Príjmy z predaja cenných papierov určených na predaj alebo na obchodovanie</w:t>
      </w:r>
      <w:r>
        <w:rPr>
          <w:color w:val="000000" w:themeColor="text1"/>
          <w:spacing w:val="-20"/>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2"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10.</w:t>
      </w:r>
      <w:r>
        <w:rPr>
          <w:color w:val="000000" w:themeColor="text1"/>
          <w14:textFill>
            <w14:solidFill>
              <w14:schemeClr w14:val="tx1"/>
            </w14:solidFill>
          </w14:textFill>
        </w:rPr>
        <w:tab/>
      </w:r>
      <w:r>
        <w:rPr>
          <w:color w:val="000000" w:themeColor="text1"/>
          <w14:textFill>
            <w14:solidFill>
              <w14:schemeClr w14:val="tx1"/>
            </w14:solidFill>
          </w14:textFill>
        </w:rPr>
        <w:t>Výdavky na nákup cenných papierov určených na predaj alebo na obchodovanie</w:t>
      </w:r>
      <w:r>
        <w:rPr>
          <w:color w:val="000000" w:themeColor="text1"/>
          <w:spacing w:val="-1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62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11.</w:t>
      </w:r>
      <w:r>
        <w:rPr>
          <w:color w:val="000000" w:themeColor="text1"/>
          <w14:textFill>
            <w14:solidFill>
              <w14:schemeClr w14:val="tx1"/>
            </w14:solidFill>
          </w14:textFill>
        </w:rPr>
        <w:tab/>
      </w:r>
      <w:r>
        <w:rPr>
          <w:color w:val="000000" w:themeColor="text1"/>
          <w14:textFill>
            <w14:solidFill>
              <w14:schemeClr w14:val="tx1"/>
            </w14:solidFill>
          </w14:textFill>
        </w:rPr>
        <w:t>Príjmy z uzatvorených zmlúv, ktorých predmetom je právo určené na predaj alebo na obchodovanie (+)</w:t>
      </w:r>
    </w:p>
    <w:p>
      <w:pPr>
        <w:pStyle w:val="5"/>
        <w:tabs>
          <w:tab w:val="left" w:pos="2262"/>
          <w:tab w:val="left" w:pos="9781"/>
        </w:tabs>
        <w:ind w:left="2262" w:right="62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12.</w:t>
      </w:r>
      <w:r>
        <w:rPr>
          <w:color w:val="000000" w:themeColor="text1"/>
          <w14:textFill>
            <w14:solidFill>
              <w14:schemeClr w14:val="tx1"/>
            </w14:solidFill>
          </w14:textFill>
        </w:rPr>
        <w:tab/>
      </w:r>
      <w:r>
        <w:rPr>
          <w:color w:val="000000" w:themeColor="text1"/>
          <w14:textFill>
            <w14:solidFill>
              <w14:schemeClr w14:val="tx1"/>
            </w14:solidFill>
          </w14:textFill>
        </w:rPr>
        <w:t>Výdavky z uzatvorených zmlúv, ktorých predmetom je právo určené na predaj alebo  na obchodovanie</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621" w:hanging="1416"/>
        <w:jc w:val="both"/>
        <w:rPr>
          <w:color w:val="000000" w:themeColor="text1"/>
          <w14:textFill>
            <w14:solidFill>
              <w14:schemeClr w14:val="tx1"/>
            </w14:solidFill>
          </w14:textFill>
        </w:rPr>
      </w:pPr>
      <w:r>
        <w:rPr>
          <w:color w:val="000000" w:themeColor="text1"/>
          <w14:textFill>
            <w14:solidFill>
              <w14:schemeClr w14:val="tx1"/>
            </w14:solidFill>
          </w14:textFill>
        </w:rPr>
        <w:t>A. 13.</w:t>
      </w:r>
      <w:r>
        <w:rPr>
          <w:color w:val="000000" w:themeColor="text1"/>
          <w14:textFill>
            <w14:solidFill>
              <w14:schemeClr w14:val="tx1"/>
            </w14:solidFill>
          </w14:textFill>
        </w:rPr>
        <w:tab/>
      </w:r>
      <w:r>
        <w:rPr>
          <w:color w:val="000000" w:themeColor="text1"/>
          <w14:textFill>
            <w14:solidFill>
              <w14:schemeClr w14:val="tx1"/>
            </w14:solidFill>
          </w14:textFill>
        </w:rPr>
        <w:t>Príjmy z úverov, ktoré účtovnej jednotke poskytla banka alebo pobočka zahraničnej banky, ak boli úvery poskytnuté na zabezpečenie hlavného predmetu činnosti</w:t>
      </w:r>
      <w:r>
        <w:rPr>
          <w:color w:val="000000" w:themeColor="text1"/>
          <w:spacing w:val="-2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76"/>
        <w:ind w:left="2262" w:right="574"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14.</w:t>
      </w:r>
      <w:r>
        <w:rPr>
          <w:color w:val="000000" w:themeColor="text1"/>
          <w14:textFill>
            <w14:solidFill>
              <w14:schemeClr w14:val="tx1"/>
            </w14:solidFill>
          </w14:textFill>
        </w:rPr>
        <w:tab/>
      </w:r>
      <w:r>
        <w:rPr>
          <w:color w:val="000000" w:themeColor="text1"/>
          <w14:textFill>
            <w14:solidFill>
              <w14:schemeClr w14:val="tx1"/>
            </w14:solidFill>
          </w14:textFill>
        </w:rPr>
        <w:t>Výdavky na splácanie úverov, ktoré účtovnej jednotke poskytla banka alebo pobočka zahraničnej banky, ak boli úvery poskytnuté na zabezpečenie hlavného predmetu činnosti</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6"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15.</w:t>
      </w:r>
      <w:r>
        <w:rPr>
          <w:color w:val="000000" w:themeColor="text1"/>
          <w14:textFill>
            <w14:solidFill>
              <w14:schemeClr w14:val="tx1"/>
            </w14:solidFill>
          </w14:textFill>
        </w:rPr>
        <w:tab/>
      </w:r>
      <w:r>
        <w:rPr>
          <w:color w:val="000000" w:themeColor="text1"/>
          <w14:textFill>
            <w14:solidFill>
              <w14:schemeClr w14:val="tx1"/>
            </w14:solidFill>
          </w14:textFill>
        </w:rPr>
        <w:t>Ostatné príjmy z prevádzkových činností, s výnimkou tých, ktoré sa uvádzajú osobitne v iných častiach prehľadu peňažných tokov</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5"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16.</w:t>
      </w:r>
      <w:r>
        <w:rPr>
          <w:color w:val="000000" w:themeColor="text1"/>
          <w14:textFill>
            <w14:solidFill>
              <w14:schemeClr w14:val="tx1"/>
            </w14:solidFill>
          </w14:textFill>
        </w:rPr>
        <w:tab/>
      </w:r>
      <w:r>
        <w:rPr>
          <w:color w:val="000000" w:themeColor="text1"/>
          <w14:textFill>
            <w14:solidFill>
              <w14:schemeClr w14:val="tx1"/>
            </w14:solidFill>
          </w14:textFill>
        </w:rPr>
        <w:t>Ostatné výdavky na prevádzkové činnosti, s výnimkou tých, ktoré sa uvádzajú  osobitne v iných častiach prehľadu peňažných tokov</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w:t>
      </w:r>
    </w:p>
    <w:p>
      <w:pPr>
        <w:tabs>
          <w:tab w:val="left" w:pos="2265"/>
          <w:tab w:val="left" w:pos="9781"/>
        </w:tabs>
        <w:ind w:left="2265" w:right="570" w:hanging="1419"/>
        <w:jc w:val="both"/>
        <w:rPr>
          <w:b/>
          <w:i/>
          <w:color w:val="000000" w:themeColor="text1"/>
          <w14:textFill>
            <w14:solidFill>
              <w14:schemeClr w14:val="tx1"/>
            </w14:solidFill>
          </w14:textFill>
        </w:rPr>
      </w:pPr>
      <w:r>
        <w:rPr>
          <w:b/>
          <w:i/>
          <w:color w:val="000000" w:themeColor="text1"/>
          <w14:textFill>
            <w14:solidFill>
              <w14:schemeClr w14:val="tx1"/>
            </w14:solidFill>
          </w14:textFill>
        </w:rPr>
        <w:t>.</w:t>
      </w:r>
      <w:r>
        <w:rPr>
          <w:b/>
          <w:i/>
          <w:color w:val="000000" w:themeColor="text1"/>
          <w14:textFill>
            <w14:solidFill>
              <w14:schemeClr w14:val="tx1"/>
            </w14:solidFill>
          </w14:textFill>
        </w:rPr>
        <w:tab/>
      </w:r>
      <w:r>
        <w:rPr>
          <w:b/>
          <w:i/>
          <w:color w:val="000000" w:themeColor="text1"/>
          <w14:textFill>
            <w14:solidFill>
              <w14:schemeClr w14:val="tx1"/>
            </w14:solidFill>
          </w14:textFill>
        </w:rPr>
        <w:t>Peňažné toky z prevádzkovej činnosti, s výnimkou príjmov a výdavkov, ktoré sa uvádzajú osobitne v iných častiach prehľadu peňažných tokov (+/-), (súčet A.1. až</w:t>
      </w:r>
      <w:r>
        <w:rPr>
          <w:b/>
          <w:i/>
          <w:color w:val="000000" w:themeColor="text1"/>
          <w:spacing w:val="-1"/>
          <w14:textFill>
            <w14:solidFill>
              <w14:schemeClr w14:val="tx1"/>
            </w14:solidFill>
          </w14:textFill>
        </w:rPr>
        <w:t xml:space="preserve"> </w:t>
      </w:r>
      <w:r>
        <w:rPr>
          <w:b/>
          <w:i/>
          <w:color w:val="000000" w:themeColor="text1"/>
          <w14:textFill>
            <w14:solidFill>
              <w14:schemeClr w14:val="tx1"/>
            </w14:solidFill>
          </w14:textFill>
        </w:rPr>
        <w:t>A.16.)</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17.</w:t>
      </w:r>
      <w:r>
        <w:rPr>
          <w:color w:val="000000" w:themeColor="text1"/>
          <w14:textFill>
            <w14:solidFill>
              <w14:schemeClr w14:val="tx1"/>
            </w14:solidFill>
          </w14:textFill>
        </w:rPr>
        <w:tab/>
      </w:r>
      <w:r>
        <w:rPr>
          <w:color w:val="000000" w:themeColor="text1"/>
          <w14:textFill>
            <w14:solidFill>
              <w14:schemeClr w14:val="tx1"/>
            </w14:solidFill>
          </w14:textFill>
        </w:rPr>
        <w:t>Prijaté úroky, s výnimkou tých, ktoré sa začleňujú do investičných činností</w:t>
      </w:r>
      <w:r>
        <w:rPr>
          <w:color w:val="000000" w:themeColor="text1"/>
          <w:spacing w:val="-1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85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18.</w:t>
      </w:r>
      <w:r>
        <w:rPr>
          <w:color w:val="000000" w:themeColor="text1"/>
          <w14:textFill>
            <w14:solidFill>
              <w14:schemeClr w14:val="tx1"/>
            </w14:solidFill>
          </w14:textFill>
        </w:rPr>
        <w:tab/>
      </w:r>
      <w:r>
        <w:rPr>
          <w:color w:val="000000" w:themeColor="text1"/>
          <w14:textFill>
            <w14:solidFill>
              <w14:schemeClr w14:val="tx1"/>
            </w14:solidFill>
          </w14:textFill>
        </w:rPr>
        <w:t>Výdavky na zaplatené úroky, s výnimkou tých, ktoré sa začleňujú do finančných činností</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85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19.</w:t>
      </w:r>
      <w:r>
        <w:rPr>
          <w:color w:val="000000" w:themeColor="text1"/>
          <w14:textFill>
            <w14:solidFill>
              <w14:schemeClr w14:val="tx1"/>
            </w14:solidFill>
          </w14:textFill>
        </w:rPr>
        <w:tab/>
      </w:r>
      <w:r>
        <w:rPr>
          <w:color w:val="000000" w:themeColor="text1"/>
          <w14:textFill>
            <w14:solidFill>
              <w14:schemeClr w14:val="tx1"/>
            </w14:solidFill>
          </w14:textFill>
        </w:rPr>
        <w:t>Príjmy z dividend a iných podielov na zisku, s výnimkou tých, ktoré sa začleňujú do investičných činností</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1"/>
        <w:ind w:left="2262" w:right="85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20.</w:t>
      </w:r>
      <w:r>
        <w:rPr>
          <w:color w:val="000000" w:themeColor="text1"/>
          <w14:textFill>
            <w14:solidFill>
              <w14:schemeClr w14:val="tx1"/>
            </w14:solidFill>
          </w14:textFill>
        </w:rPr>
        <w:tab/>
      </w:r>
      <w:r>
        <w:rPr>
          <w:color w:val="000000" w:themeColor="text1"/>
          <w14:textFill>
            <w14:solidFill>
              <w14:schemeClr w14:val="tx1"/>
            </w14:solidFill>
          </w14:textFill>
        </w:rPr>
        <w:t>Výdavky na vyplatené dividendy a iné podiely na zisku, s výnimkou tých, ktoré sa začleňujú do finančných činností</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p>
    <w:p>
      <w:pPr>
        <w:tabs>
          <w:tab w:val="left" w:pos="9781"/>
        </w:tabs>
        <w:spacing w:line="251" w:lineRule="exact"/>
        <w:ind w:left="2262"/>
        <w:jc w:val="both"/>
        <w:rPr>
          <w:b/>
          <w:i/>
          <w:color w:val="000000" w:themeColor="text1"/>
          <w14:textFill>
            <w14:solidFill>
              <w14:schemeClr w14:val="tx1"/>
            </w14:solidFill>
          </w14:textFill>
        </w:rPr>
      </w:pPr>
      <w:r>
        <w:rPr>
          <w:b/>
          <w:i/>
          <w:color w:val="000000" w:themeColor="text1"/>
          <w14:textFill>
            <w14:solidFill>
              <w14:schemeClr w14:val="tx1"/>
            </w14:solidFill>
          </w14:textFill>
        </w:rPr>
        <w:t>Peňažné toky z prevádzkovej činnosti (+/-), (súčet A.1. až A.20.)</w:t>
      </w:r>
    </w:p>
    <w:p>
      <w:pPr>
        <w:pStyle w:val="5"/>
        <w:tabs>
          <w:tab w:val="left" w:pos="2265"/>
          <w:tab w:val="left" w:pos="9781"/>
        </w:tabs>
        <w:ind w:left="2265" w:right="621" w:hanging="1419"/>
        <w:jc w:val="both"/>
        <w:rPr>
          <w:color w:val="000000" w:themeColor="text1"/>
          <w14:textFill>
            <w14:solidFill>
              <w14:schemeClr w14:val="tx1"/>
            </w14:solidFill>
          </w14:textFill>
        </w:rPr>
      </w:pPr>
      <w:r>
        <w:rPr>
          <w:color w:val="000000" w:themeColor="text1"/>
          <w14:textFill>
            <w14:solidFill>
              <w14:schemeClr w14:val="tx1"/>
            </w14:solidFill>
          </w14:textFill>
        </w:rPr>
        <w:t>A. 21.</w:t>
      </w:r>
      <w:r>
        <w:rPr>
          <w:color w:val="000000" w:themeColor="text1"/>
          <w14:textFill>
            <w14:solidFill>
              <w14:schemeClr w14:val="tx1"/>
            </w14:solidFill>
          </w14:textFill>
        </w:rPr>
        <w:tab/>
      </w:r>
      <w:r>
        <w:rPr>
          <w:color w:val="000000" w:themeColor="text1"/>
          <w14:textFill>
            <w14:solidFill>
              <w14:schemeClr w14:val="tx1"/>
            </w14:solidFill>
          </w14:textFill>
        </w:rPr>
        <w:t>Výdavky na daň z príjmov účtovnej jednotky, s výnimkou tých, ktoré sa začleňujú do investičných činností alebo do finančných činností</w:t>
      </w:r>
      <w:r>
        <w:rPr>
          <w:color w:val="000000" w:themeColor="text1"/>
          <w:spacing w:val="-10"/>
          <w14:textFill>
            <w14:solidFill>
              <w14:schemeClr w14:val="tx1"/>
            </w14:solidFill>
          </w14:textFill>
        </w:rPr>
        <w:t xml:space="preserve"> </w:t>
      </w:r>
      <w:r>
        <w:rPr>
          <w:color w:val="000000" w:themeColor="text1"/>
          <w14:textFill>
            <w14:solidFill>
              <w14:schemeClr w14:val="tx1"/>
            </w14:solidFill>
          </w14:textFill>
        </w:rPr>
        <w:t>(-/+)</w:t>
      </w:r>
    </w:p>
    <w:p>
      <w:pPr>
        <w:tabs>
          <w:tab w:val="left" w:pos="2262"/>
          <w:tab w:val="left" w:pos="9781"/>
        </w:tabs>
        <w:spacing w:before="1"/>
        <w:ind w:left="2262" w:right="62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22.</w:t>
      </w:r>
      <w:r>
        <w:rPr>
          <w:color w:val="000000" w:themeColor="text1"/>
          <w14:textFill>
            <w14:solidFill>
              <w14:schemeClr w14:val="tx1"/>
            </w14:solidFill>
          </w14:textFill>
        </w:rPr>
        <w:tab/>
      </w:r>
      <w:r>
        <w:rPr>
          <w:color w:val="000000" w:themeColor="text1"/>
          <w14:textFill>
            <w14:solidFill>
              <w14:schemeClr w14:val="tx1"/>
            </w14:solidFill>
          </w14:textFill>
        </w:rPr>
        <w:t xml:space="preserve">Príjmy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prevádzkovú činnosť (+)</w:t>
      </w:r>
    </w:p>
    <w:p>
      <w:pPr>
        <w:tabs>
          <w:tab w:val="left" w:pos="2262"/>
          <w:tab w:val="left" w:pos="9781"/>
        </w:tabs>
        <w:ind w:left="2262" w:right="85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23.</w:t>
      </w:r>
      <w:r>
        <w:rPr>
          <w:color w:val="000000" w:themeColor="text1"/>
          <w14:textFill>
            <w14:solidFill>
              <w14:schemeClr w14:val="tx1"/>
            </w14:solidFill>
          </w14:textFill>
        </w:rPr>
        <w:tab/>
      </w:r>
      <w:r>
        <w:rPr>
          <w:color w:val="000000" w:themeColor="text1"/>
          <w14:textFill>
            <w14:solidFill>
              <w14:schemeClr w14:val="tx1"/>
            </w14:solidFill>
          </w14:textFill>
        </w:rPr>
        <w:t xml:space="preserve">Výdavky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prevádzkovú činnosť</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10"/>
        <w:numPr>
          <w:ilvl w:val="0"/>
          <w:numId w:val="11"/>
        </w:numPr>
        <w:tabs>
          <w:tab w:val="left" w:pos="2233"/>
          <w:tab w:val="left" w:pos="2234"/>
          <w:tab w:val="left" w:pos="9781"/>
        </w:tabs>
        <w:jc w:val="both"/>
        <w:rPr>
          <w:b/>
          <w:i/>
          <w:color w:val="000000" w:themeColor="text1"/>
          <w14:textFill>
            <w14:solidFill>
              <w14:schemeClr w14:val="tx1"/>
            </w14:solidFill>
          </w14:textFill>
        </w:rPr>
      </w:pPr>
      <w:r>
        <w:rPr>
          <w:b/>
          <w:i/>
          <w:color w:val="000000" w:themeColor="text1"/>
          <w14:textFill>
            <w14:solidFill>
              <w14:schemeClr w14:val="tx1"/>
            </w14:solidFill>
          </w14:textFill>
        </w:rPr>
        <w:t>Čisté peňažné toky z prevádzkovej činnosti (súčet A.1. až</w:t>
      </w:r>
      <w:r>
        <w:rPr>
          <w:b/>
          <w:i/>
          <w:color w:val="000000" w:themeColor="text1"/>
          <w:spacing w:val="-14"/>
          <w14:textFill>
            <w14:solidFill>
              <w14:schemeClr w14:val="tx1"/>
            </w14:solidFill>
          </w14:textFill>
        </w:rPr>
        <w:t xml:space="preserve"> </w:t>
      </w:r>
      <w:r>
        <w:rPr>
          <w:b/>
          <w:i/>
          <w:color w:val="000000" w:themeColor="text1"/>
          <w14:textFill>
            <w14:solidFill>
              <w14:schemeClr w14:val="tx1"/>
            </w14:solidFill>
          </w14:textFill>
        </w:rPr>
        <w:t>A.23.)</w:t>
      </w:r>
    </w:p>
    <w:p>
      <w:pPr>
        <w:pStyle w:val="5"/>
        <w:tabs>
          <w:tab w:val="left" w:pos="9781"/>
        </w:tabs>
        <w:jc w:val="both"/>
        <w:rPr>
          <w:b/>
          <w:i/>
          <w:color w:val="000000" w:themeColor="text1"/>
          <w14:textFill>
            <w14:solidFill>
              <w14:schemeClr w14:val="tx1"/>
            </w14:solidFill>
          </w14:textFill>
        </w:rPr>
      </w:pPr>
    </w:p>
    <w:p>
      <w:pPr>
        <w:pStyle w:val="2"/>
        <w:tabs>
          <w:tab w:val="left" w:pos="2262"/>
          <w:tab w:val="left" w:pos="9781"/>
        </w:tabs>
        <w:ind w:left="498"/>
        <w:jc w:val="both"/>
        <w:rPr>
          <w:color w:val="000000" w:themeColor="text1"/>
          <w14:textFill>
            <w14:solidFill>
              <w14:schemeClr w14:val="tx1"/>
            </w14:solidFill>
          </w14:textFill>
        </w:rPr>
      </w:pPr>
      <w:r>
        <w:rPr>
          <w:color w:val="000000" w:themeColor="text1"/>
          <w14:textFill>
            <w14:solidFill>
              <w14:schemeClr w14:val="tx1"/>
            </w14:solidFill>
          </w14:textFill>
        </w:rPr>
        <w:t>Označenie</w:t>
      </w:r>
      <w:r>
        <w:rPr>
          <w:color w:val="000000" w:themeColor="text1"/>
          <w14:textFill>
            <w14:solidFill>
              <w14:schemeClr w14:val="tx1"/>
            </w14:solidFill>
          </w14:textFill>
        </w:rPr>
        <w:tab/>
      </w:r>
      <w:r>
        <w:rPr>
          <w:color w:val="000000" w:themeColor="text1"/>
          <w14:textFill>
            <w14:solidFill>
              <w14:schemeClr w14:val="tx1"/>
            </w14:solidFill>
          </w14:textFill>
        </w:rPr>
        <w:t>Obsah</w:t>
      </w:r>
    </w:p>
    <w:p>
      <w:pPr>
        <w:tabs>
          <w:tab w:val="left" w:pos="2313"/>
          <w:tab w:val="left" w:pos="9781"/>
        </w:tabs>
        <w:spacing w:before="2" w:after="21"/>
        <w:ind w:left="498"/>
        <w:jc w:val="both"/>
        <w:rPr>
          <w:b/>
          <w:color w:val="000000" w:themeColor="text1"/>
          <w14:textFill>
            <w14:solidFill>
              <w14:schemeClr w14:val="tx1"/>
            </w14:solidFill>
          </w14:textFill>
        </w:rPr>
      </w:pPr>
      <w:r>
        <w:rPr>
          <w:b/>
          <w:color w:val="000000" w:themeColor="text1"/>
          <w14:textFill>
            <w14:solidFill>
              <w14:schemeClr w14:val="tx1"/>
            </w14:solidFill>
          </w14:textFill>
        </w:rPr>
        <w:t>položky</w:t>
      </w:r>
      <w:r>
        <w:rPr>
          <w:b/>
          <w:color w:val="000000" w:themeColor="text1"/>
          <w14:textFill>
            <w14:solidFill>
              <w14:schemeClr w14:val="tx1"/>
            </w14:solidFill>
          </w14:textFill>
        </w:rPr>
        <w:tab/>
      </w:r>
      <w:r>
        <w:rPr>
          <w:b/>
          <w:color w:val="000000" w:themeColor="text1"/>
          <w14:textFill>
            <w14:solidFill>
              <w14:schemeClr w14:val="tx1"/>
            </w14:solidFill>
          </w14:textFill>
        </w:rPr>
        <w:t>položky</w:t>
      </w:r>
    </w:p>
    <w:p>
      <w:pPr>
        <w:pStyle w:val="5"/>
        <w:tabs>
          <w:tab w:val="left" w:pos="9781"/>
        </w:tabs>
        <w:spacing w:line="28" w:lineRule="exact"/>
        <w:ind w:left="110"/>
        <w:jc w:val="both"/>
        <w:rPr>
          <w:color w:val="000000" w:themeColor="text1"/>
          <w:sz w:val="2"/>
          <w14:textFill>
            <w14:solidFill>
              <w14:schemeClr w14:val="tx1"/>
            </w14:solidFill>
          </w14:textFill>
        </w:rPr>
      </w:pPr>
      <w:r>
        <w:rPr>
          <w:color w:val="000000" w:themeColor="text1"/>
          <w:sz w:val="2"/>
          <w:lang w:eastAsia="sk-SK"/>
          <w14:textFill>
            <w14:solidFill>
              <w14:schemeClr w14:val="tx1"/>
            </w14:solidFill>
          </w14:textFill>
        </w:rPr>
        <mc:AlternateContent>
          <mc:Choice Requires="wpg">
            <w:drawing>
              <wp:inline distT="0" distB="0" distL="0" distR="0">
                <wp:extent cx="5798185" cy="18415"/>
                <wp:effectExtent l="0" t="0" r="0" b="0"/>
                <wp:docPr id="13" name="Group 11"/>
                <wp:cNvGraphicFramePr/>
                <a:graphic xmlns:a="http://schemas.openxmlformats.org/drawingml/2006/main">
                  <a:graphicData uri="http://schemas.microsoft.com/office/word/2010/wordprocessingGroup">
                    <wpg:wgp>
                      <wpg:cNvGrpSpPr/>
                      <wpg:grpSpPr>
                        <a:xfrm>
                          <a:off x="0" y="0"/>
                          <a:ext cx="5798185" cy="18415"/>
                          <a:chOff x="0" y="0"/>
                          <a:chExt cx="9131" cy="29"/>
                        </a:xfrm>
                      </wpg:grpSpPr>
                      <wps:wsp>
                        <wps:cNvPr id="14" name="Rectangle 12"/>
                        <wps:cNvSpPr>
                          <a:spLocks noChangeArrowheads="1"/>
                        </wps:cNvSpPr>
                        <wps:spPr bwMode="auto">
                          <a:xfrm>
                            <a:off x="0" y="0"/>
                            <a:ext cx="9131" cy="29"/>
                          </a:xfrm>
                          <a:prstGeom prst="rect">
                            <a:avLst/>
                          </a:prstGeom>
                          <a:solidFill>
                            <a:srgbClr val="000000"/>
                          </a:solidFill>
                          <a:ln>
                            <a:noFill/>
                          </a:ln>
                        </wps:spPr>
                        <wps:bodyPr rot="0" vert="horz" wrap="square" lIns="91440" tIns="45720" rIns="91440" bIns="45720" anchor="t" anchorCtr="0" upright="1">
                          <a:noAutofit/>
                        </wps:bodyPr>
                      </wps:wsp>
                    </wpg:wgp>
                  </a:graphicData>
                </a:graphic>
              </wp:inline>
            </w:drawing>
          </mc:Choice>
          <mc:Fallback>
            <w:pict>
              <v:group id="Group 11" o:spid="_x0000_s1026" o:spt="203" style="height:1.45pt;width:456.55pt;" coordsize="9131,29" o:gfxdata="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Ct&#10;ntlq1AAAAAMBAAAPAAAAAAAAAAEAIAAAACIAAABkcnMvZG93bnJldi54bWxQSwECFAAUAAAACACH&#10;TuJAtFPEb2ECAABMBQAADgAAAAAAAAABACAAAAAjAQAAZHJzL2Uyb0RvYy54bWxQSwUGAAAAAAYA&#10;BgBZAQAA9gUAAAAA&#10;">
                <o:lock v:ext="edit" aspectratio="f"/>
                <v:rect id="Rectangle 12" o:spid="_x0000_s1026" o:spt="1" style="position:absolute;left:0;top:0;height:29;width:9131;" fillcolor="#000000" filled="t" stroked="f" coordsize="21600,21600" o:gfxdata="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mne268AAAA&#10;2wAAAA8AAAAAAAAAAQAgAAAAIgAAAGRycy9kb3ducmV2LnhtbFBLAQIUABQAAAAIAIdO4kAzLwWe&#10;OwAAADkAAAAQAAAAAAAAAAEAIAAAAAsBAABkcnMvc2hhcGV4bWwueG1sUEsFBgAAAAAGAAYAWwEA&#10;ALUDAAAAAA==&#10;">
                  <v:fill on="t" focussize="0,0"/>
                  <v:stroke on="f"/>
                  <v:imagedata o:title=""/>
                  <o:lock v:ext="edit" aspectratio="f"/>
                </v:rect>
                <w10:wrap type="none"/>
                <w10:anchorlock/>
              </v:group>
            </w:pict>
          </mc:Fallback>
        </mc:AlternateContent>
      </w:r>
    </w:p>
    <w:p>
      <w:pPr>
        <w:pStyle w:val="5"/>
        <w:tabs>
          <w:tab w:val="left" w:pos="9781"/>
        </w:tabs>
        <w:spacing w:before="1"/>
        <w:jc w:val="both"/>
        <w:rPr>
          <w:b/>
          <w:color w:val="000000" w:themeColor="text1"/>
          <w:sz w:val="13"/>
          <w14:textFill>
            <w14:solidFill>
              <w14:schemeClr w14:val="tx1"/>
            </w14:solidFill>
          </w14:textFill>
        </w:rPr>
      </w:pPr>
    </w:p>
    <w:p>
      <w:pPr>
        <w:tabs>
          <w:tab w:val="left" w:pos="9781"/>
        </w:tabs>
        <w:spacing w:before="100" w:line="252" w:lineRule="exact"/>
        <w:ind w:left="498"/>
        <w:jc w:val="both"/>
        <w:rPr>
          <w:b/>
          <w:color w:val="000000" w:themeColor="text1"/>
          <w14:textFill>
            <w14:solidFill>
              <w14:schemeClr w14:val="tx1"/>
            </w14:solidFill>
          </w14:textFill>
        </w:rPr>
      </w:pPr>
      <w:r>
        <w:rPr>
          <w:rFonts w:ascii="Times New Roman" w:hAnsi="Times New Roman"/>
          <w:color w:val="000000" w:themeColor="text1"/>
          <w:spacing w:val="-56"/>
          <w:u w:val="single"/>
          <w14:textFill>
            <w14:solidFill>
              <w14:schemeClr w14:val="tx1"/>
            </w14:solidFill>
          </w14:textFill>
        </w:rPr>
        <w:t xml:space="preserve"> </w:t>
      </w:r>
      <w:r>
        <w:rPr>
          <w:b/>
          <w:color w:val="000000" w:themeColor="text1"/>
          <w:u w:val="single"/>
          <w14:textFill>
            <w14:solidFill>
              <w14:schemeClr w14:val="tx1"/>
            </w14:solidFill>
          </w14:textFill>
        </w:rPr>
        <w:t>Peňažné toky z investičnej činnosti</w:t>
      </w:r>
    </w:p>
    <w:p>
      <w:pPr>
        <w:pStyle w:val="10"/>
        <w:numPr>
          <w:ilvl w:val="0"/>
          <w:numId w:val="11"/>
        </w:numPr>
        <w:tabs>
          <w:tab w:val="left" w:pos="1068"/>
          <w:tab w:val="left" w:pos="2262"/>
          <w:tab w:val="left" w:pos="9781"/>
        </w:tabs>
        <w:spacing w:line="252" w:lineRule="exact"/>
        <w:ind w:left="1067" w:hanging="222"/>
        <w:jc w:val="both"/>
        <w:rPr>
          <w:i/>
          <w:color w:val="000000" w:themeColor="text1"/>
          <w14:textFill>
            <w14:solidFill>
              <w14:schemeClr w14:val="tx1"/>
            </w14:solidFill>
          </w14:textFill>
        </w:rPr>
      </w:pPr>
      <w:r>
        <w:rPr>
          <w:color w:val="000000" w:themeColor="text1"/>
          <w14:textFill>
            <w14:solidFill>
              <w14:schemeClr w14:val="tx1"/>
            </w14:solidFill>
          </w14:textFill>
        </w:rPr>
        <w:t>1.</w:t>
      </w:r>
      <w:r>
        <w:rPr>
          <w:color w:val="000000" w:themeColor="text1"/>
          <w14:textFill>
            <w14:solidFill>
              <w14:schemeClr w14:val="tx1"/>
            </w14:solidFill>
          </w14:textFill>
        </w:rPr>
        <w:tab/>
      </w:r>
      <w:r>
        <w:rPr>
          <w:color w:val="000000" w:themeColor="text1"/>
          <w14:textFill>
            <w14:solidFill>
              <w14:schemeClr w14:val="tx1"/>
            </w14:solidFill>
          </w14:textFill>
        </w:rPr>
        <w:t>Výdavky na obstaranie dlhodobého nehmotného majetku</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w:t>
      </w:r>
      <w:r>
        <w:rPr>
          <w:i/>
          <w:color w:val="000000" w:themeColor="text1"/>
          <w:position w:val="6"/>
          <w:sz w:val="14"/>
          <w14:textFill>
            <w14:solidFill>
              <w14:schemeClr w14:val="tx1"/>
            </w14:solidFill>
          </w14:textFill>
        </w:rPr>
        <w:t>1</w:t>
      </w:r>
    </w:p>
    <w:p>
      <w:pPr>
        <w:pStyle w:val="5"/>
        <w:tabs>
          <w:tab w:val="left" w:pos="2262"/>
          <w:tab w:val="left" w:pos="9781"/>
        </w:tabs>
        <w:spacing w:line="252" w:lineRule="exact"/>
        <w:ind w:left="846"/>
        <w:jc w:val="both"/>
        <w:rPr>
          <w:i/>
          <w:color w:val="000000" w:themeColor="text1"/>
          <w:sz w:val="14"/>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w:t>
      </w:r>
      <w:r>
        <w:rPr>
          <w:color w:val="000000" w:themeColor="text1"/>
          <w14:textFill>
            <w14:solidFill>
              <w14:schemeClr w14:val="tx1"/>
            </w14:solidFill>
          </w14:textFill>
        </w:rPr>
        <w:tab/>
      </w:r>
      <w:r>
        <w:rPr>
          <w:color w:val="000000" w:themeColor="text1"/>
          <w14:textFill>
            <w14:solidFill>
              <w14:schemeClr w14:val="tx1"/>
            </w14:solidFill>
          </w14:textFill>
        </w:rPr>
        <w:t>Výdavky na obstaranie dlhodobého hmotného majetku</w:t>
      </w:r>
      <w:r>
        <w:rPr>
          <w:color w:val="000000" w:themeColor="text1"/>
          <w:spacing w:val="-10"/>
          <w14:textFill>
            <w14:solidFill>
              <w14:schemeClr w14:val="tx1"/>
            </w14:solidFill>
          </w14:textFill>
        </w:rPr>
        <w:t xml:space="preserve"> </w:t>
      </w:r>
      <w:r>
        <w:rPr>
          <w:color w:val="000000" w:themeColor="text1"/>
          <w14:textFill>
            <w14:solidFill>
              <w14:schemeClr w14:val="tx1"/>
            </w14:solidFill>
          </w14:textFill>
        </w:rPr>
        <w:t>(-)</w:t>
      </w:r>
      <w:r>
        <w:rPr>
          <w:i/>
          <w:color w:val="000000" w:themeColor="text1"/>
          <w:position w:val="6"/>
          <w:sz w:val="14"/>
          <w14:textFill>
            <w14:solidFill>
              <w14:schemeClr w14:val="tx1"/>
            </w14:solidFill>
          </w14:textFill>
        </w:rPr>
        <w:t>1</w:t>
      </w:r>
    </w:p>
    <w:p>
      <w:pPr>
        <w:pStyle w:val="5"/>
        <w:tabs>
          <w:tab w:val="left" w:pos="2262"/>
          <w:tab w:val="left" w:pos="9781"/>
        </w:tabs>
        <w:spacing w:before="2"/>
        <w:ind w:left="2262" w:right="572" w:hanging="1416"/>
        <w:jc w:val="both"/>
        <w:rPr>
          <w:i/>
          <w:color w:val="000000" w:themeColor="text1"/>
          <w:sz w:val="14"/>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3.</w:t>
      </w:r>
      <w:r>
        <w:rPr>
          <w:color w:val="000000" w:themeColor="text1"/>
          <w14:textFill>
            <w14:solidFill>
              <w14:schemeClr w14:val="tx1"/>
            </w14:solidFill>
          </w14:textFill>
        </w:rPr>
        <w:tab/>
      </w:r>
      <w:r>
        <w:rPr>
          <w:color w:val="000000" w:themeColor="text1"/>
          <w14:textFill>
            <w14:solidFill>
              <w14:schemeClr w14:val="tx1"/>
            </w14:solidFill>
          </w14:textFill>
        </w:rPr>
        <w:t>Výdavky na obstaranie dlhodobých cenných papierov a podielov v iných účtovných jednotkách, s výnimkou cenných papierov, ktoré sa považujú za peňažné ekvivalenty  a cenných papierov určených na predaj alebo na obchodovanie</w:t>
      </w:r>
      <w:r>
        <w:rPr>
          <w:color w:val="000000" w:themeColor="text1"/>
          <w:spacing w:val="37"/>
          <w14:textFill>
            <w14:solidFill>
              <w14:schemeClr w14:val="tx1"/>
            </w14:solidFill>
          </w14:textFill>
        </w:rPr>
        <w:t xml:space="preserve"> </w:t>
      </w:r>
      <w:r>
        <w:rPr>
          <w:color w:val="000000" w:themeColor="text1"/>
          <w14:textFill>
            <w14:solidFill>
              <w14:schemeClr w14:val="tx1"/>
            </w14:solidFill>
          </w14:textFill>
        </w:rPr>
        <w:t>(-)</w:t>
      </w:r>
      <w:r>
        <w:rPr>
          <w:i/>
          <w:color w:val="000000" w:themeColor="text1"/>
          <w:position w:val="6"/>
          <w:sz w:val="14"/>
          <w14:textFill>
            <w14:solidFill>
              <w14:schemeClr w14:val="tx1"/>
            </w14:solidFill>
          </w14:textFill>
        </w:rPr>
        <w:t>1</w:t>
      </w:r>
    </w:p>
    <w:p>
      <w:pPr>
        <w:pStyle w:val="5"/>
        <w:tabs>
          <w:tab w:val="left" w:pos="2262"/>
          <w:tab w:val="left" w:pos="9781"/>
        </w:tabs>
        <w:spacing w:line="251"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4.</w:t>
      </w:r>
      <w:r>
        <w:rPr>
          <w:color w:val="000000" w:themeColor="text1"/>
          <w14:textFill>
            <w14:solidFill>
              <w14:schemeClr w14:val="tx1"/>
            </w14:solidFill>
          </w14:textFill>
        </w:rPr>
        <w:tab/>
      </w:r>
      <w:r>
        <w:rPr>
          <w:color w:val="000000" w:themeColor="text1"/>
          <w14:textFill>
            <w14:solidFill>
              <w14:schemeClr w14:val="tx1"/>
            </w14:solidFill>
          </w14:textFill>
        </w:rPr>
        <w:t>Príjmy z predaja dlhodobého nehmotného majetku</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5.</w:t>
      </w:r>
      <w:r>
        <w:rPr>
          <w:color w:val="000000" w:themeColor="text1"/>
          <w14:textFill>
            <w14:solidFill>
              <w14:schemeClr w14:val="tx1"/>
            </w14:solidFill>
          </w14:textFill>
        </w:rPr>
        <w:tab/>
      </w:r>
      <w:r>
        <w:rPr>
          <w:color w:val="000000" w:themeColor="text1"/>
          <w14:textFill>
            <w14:solidFill>
              <w14:schemeClr w14:val="tx1"/>
            </w14:solidFill>
          </w14:textFill>
        </w:rPr>
        <w:t>Príjmy z predaja dlhodobého hmotného majetku</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3" w:hanging="1416"/>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6.</w:t>
      </w:r>
      <w:r>
        <w:rPr>
          <w:color w:val="000000" w:themeColor="text1"/>
          <w14:textFill>
            <w14:solidFill>
              <w14:schemeClr w14:val="tx1"/>
            </w14:solidFill>
          </w14:textFill>
        </w:rPr>
        <w:tab/>
      </w:r>
      <w:r>
        <w:rPr>
          <w:color w:val="000000" w:themeColor="text1"/>
          <w14:textFill>
            <w14:solidFill>
              <w14:schemeClr w14:val="tx1"/>
            </w14:solidFill>
          </w14:textFill>
        </w:rPr>
        <w:t>Príjmy z predaja dlhodobých cenných papierov a podielov v iných účtovných jednotkách, s výnimkou cenných papierov, ktoré sa považujú za peňažné ekvivalenty a cenných papierov určených na predaj alebo na obchodovanie</w:t>
      </w:r>
      <w:r>
        <w:rPr>
          <w:color w:val="000000" w:themeColor="text1"/>
          <w:spacing w:val="3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1"/>
        <w:ind w:left="2262" w:right="573" w:hanging="1416"/>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7.</w:t>
      </w:r>
      <w:r>
        <w:rPr>
          <w:color w:val="000000" w:themeColor="text1"/>
          <w14:textFill>
            <w14:solidFill>
              <w14:schemeClr w14:val="tx1"/>
            </w14:solidFill>
          </w14:textFill>
        </w:rPr>
        <w:tab/>
      </w:r>
      <w:r>
        <w:rPr>
          <w:color w:val="000000" w:themeColor="text1"/>
          <w14:textFill>
            <w14:solidFill>
              <w14:schemeClr w14:val="tx1"/>
            </w14:solidFill>
          </w14:textFill>
        </w:rPr>
        <w:t>Výdavky na dlhodobé pôžičky poskytnuté účtovnou jednotkou inej účtovnej jednotke, ktorá je súčasťou konsolidovaného celku</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9" w:hanging="1419"/>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8.</w:t>
      </w:r>
      <w:r>
        <w:rPr>
          <w:color w:val="000000" w:themeColor="text1"/>
          <w14:textFill>
            <w14:solidFill>
              <w14:schemeClr w14:val="tx1"/>
            </w14:solidFill>
          </w14:textFill>
        </w:rPr>
        <w:tab/>
      </w:r>
      <w:r>
        <w:rPr>
          <w:color w:val="000000" w:themeColor="text1"/>
          <w14:textFill>
            <w14:solidFill>
              <w14:schemeClr w14:val="tx1"/>
            </w14:solidFill>
          </w14:textFill>
        </w:rPr>
        <w:t>Príjmy zo splácania dlhodobých pôžičiek poskytnutých účtovnou jednotkou inej účtovnej jednotke, ktorá je súčasťou konsolidovaného celku</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spacing w:before="1"/>
        <w:ind w:left="2265" w:right="572" w:hanging="1419"/>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9.</w:t>
      </w:r>
      <w:r>
        <w:rPr>
          <w:color w:val="000000" w:themeColor="text1"/>
          <w14:textFill>
            <w14:solidFill>
              <w14:schemeClr w14:val="tx1"/>
            </w14:solidFill>
          </w14:textFill>
        </w:rPr>
        <w:tab/>
      </w:r>
      <w:r>
        <w:rPr>
          <w:color w:val="000000" w:themeColor="text1"/>
          <w14:textFill>
            <w14:solidFill>
              <w14:schemeClr w14:val="tx1"/>
            </w14:solidFill>
          </w14:textFill>
        </w:rPr>
        <w:t>Výdavky  na  dlhodobé   pôžičky   poskytnuté   účtovnou  jednotkou  tretím   osobám,  s výnimkou dlhodobých pôžičiek poskytnutých účtovnej jednotke, ktorá je súčasťou konsolidovaného celku</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2" w:hanging="1419"/>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10.</w:t>
      </w:r>
      <w:r>
        <w:rPr>
          <w:color w:val="000000" w:themeColor="text1"/>
          <w14:textFill>
            <w14:solidFill>
              <w14:schemeClr w14:val="tx1"/>
            </w14:solidFill>
          </w14:textFill>
        </w:rPr>
        <w:tab/>
      </w:r>
      <w:r>
        <w:rPr>
          <w:color w:val="000000" w:themeColor="text1"/>
          <w14:textFill>
            <w14:solidFill>
              <w14:schemeClr w14:val="tx1"/>
            </w14:solidFill>
          </w14:textFill>
        </w:rPr>
        <w:t>Príjmy  zo  splácania  pôžičiek  poskytnutých  účtovnou  jednotkou  tretím   osobám,    s výnimkou pôžičiek poskytnutých účtovnej jednotke, ktorá je súčasťou konsolidovaného celku</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B. 11.</w:t>
      </w:r>
      <w:r>
        <w:rPr>
          <w:color w:val="000000" w:themeColor="text1"/>
          <w14:textFill>
            <w14:solidFill>
              <w14:schemeClr w14:val="tx1"/>
            </w14:solidFill>
          </w14:textFill>
        </w:rPr>
        <w:tab/>
      </w:r>
      <w:r>
        <w:rPr>
          <w:color w:val="000000" w:themeColor="text1"/>
          <w14:textFill>
            <w14:solidFill>
              <w14:schemeClr w14:val="tx1"/>
            </w14:solidFill>
          </w14:textFill>
        </w:rPr>
        <w:t>Prijaté úroky, s výnimkou tých, ktoré sa začleňujú do prevádzkových činností</w:t>
      </w:r>
      <w:r>
        <w:rPr>
          <w:color w:val="000000" w:themeColor="text1"/>
          <w:spacing w:val="-1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5" w:hanging="1416"/>
        <w:jc w:val="both"/>
        <w:rPr>
          <w:color w:val="000000" w:themeColor="text1"/>
          <w14:textFill>
            <w14:solidFill>
              <w14:schemeClr w14:val="tx1"/>
            </w14:solidFill>
          </w14:textFill>
        </w:rPr>
      </w:pPr>
      <w:r>
        <w:rPr>
          <w:color w:val="000000" w:themeColor="text1"/>
          <w14:textFill>
            <w14:solidFill>
              <w14:schemeClr w14:val="tx1"/>
            </w14:solidFill>
          </w14:textFill>
        </w:rPr>
        <w:t>B. 12.</w:t>
      </w:r>
      <w:r>
        <w:rPr>
          <w:color w:val="000000" w:themeColor="text1"/>
          <w14:textFill>
            <w14:solidFill>
              <w14:schemeClr w14:val="tx1"/>
            </w14:solidFill>
          </w14:textFill>
        </w:rPr>
        <w:tab/>
      </w:r>
      <w:r>
        <w:rPr>
          <w:color w:val="000000" w:themeColor="text1"/>
          <w14:textFill>
            <w14:solidFill>
              <w14:schemeClr w14:val="tx1"/>
            </w14:solidFill>
          </w14:textFill>
        </w:rPr>
        <w:t>Príjmy z dividend a iných podielov na zisku, s výnimkou tých, ktoré sa začleňujú do prevádzkových činností</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76"/>
        <w:ind w:left="2262" w:right="571" w:hanging="1416"/>
        <w:jc w:val="both"/>
        <w:rPr>
          <w:color w:val="000000" w:themeColor="text1"/>
          <w14:textFill>
            <w14:solidFill>
              <w14:schemeClr w14:val="tx1"/>
            </w14:solidFill>
          </w14:textFill>
        </w:rPr>
      </w:pPr>
      <w:r>
        <w:rPr>
          <w:color w:val="000000" w:themeColor="text1"/>
          <w14:textFill>
            <w14:solidFill>
              <w14:schemeClr w14:val="tx1"/>
            </w14:solidFill>
          </w14:textFill>
        </w:rPr>
        <w:t>B. 13.</w:t>
      </w:r>
      <w:r>
        <w:rPr>
          <w:color w:val="000000" w:themeColor="text1"/>
          <w14:textFill>
            <w14:solidFill>
              <w14:schemeClr w14:val="tx1"/>
            </w14:solidFill>
          </w14:textFill>
        </w:rPr>
        <w:tab/>
      </w:r>
      <w:r>
        <w:rPr>
          <w:color w:val="000000" w:themeColor="text1"/>
          <w14:textFill>
            <w14:solidFill>
              <w14:schemeClr w14:val="tx1"/>
            </w14:solidFill>
          </w14:textFill>
        </w:rPr>
        <w:t>Výdavky súvisiace s derivátmi s výnimkou, ak sú určené na predaj alebo na obchodovanie alebo, ak sa tieto výdavky považujú za peňažné toky z finančnej  činnosti</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1" w:hanging="1419"/>
        <w:jc w:val="both"/>
        <w:rPr>
          <w:color w:val="000000" w:themeColor="text1"/>
          <w14:textFill>
            <w14:solidFill>
              <w14:schemeClr w14:val="tx1"/>
            </w14:solidFill>
          </w14:textFill>
        </w:rPr>
      </w:pPr>
      <w:r>
        <w:rPr>
          <w:color w:val="000000" w:themeColor="text1"/>
          <w14:textFill>
            <w14:solidFill>
              <w14:schemeClr w14:val="tx1"/>
            </w14:solidFill>
          </w14:textFill>
        </w:rPr>
        <w:t>B. 14.</w:t>
      </w:r>
      <w:r>
        <w:rPr>
          <w:color w:val="000000" w:themeColor="text1"/>
          <w14:textFill>
            <w14:solidFill>
              <w14:schemeClr w14:val="tx1"/>
            </w14:solidFill>
          </w14:textFill>
        </w:rPr>
        <w:tab/>
      </w:r>
      <w:r>
        <w:rPr>
          <w:color w:val="000000" w:themeColor="text1"/>
          <w14:textFill>
            <w14:solidFill>
              <w14:schemeClr w14:val="tx1"/>
            </w14:solidFill>
          </w14:textFill>
        </w:rPr>
        <w:t>Príjmy súvisiace s derivátmi s výnimkou, ak sú určené na predaj alebo na obchodovanie alebo, ak sa tieto výdavky považujú za peňažné toky z  finančnej činnosti</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2" w:hanging="1416"/>
        <w:jc w:val="both"/>
        <w:rPr>
          <w:color w:val="000000" w:themeColor="text1"/>
          <w14:textFill>
            <w14:solidFill>
              <w14:schemeClr w14:val="tx1"/>
            </w14:solidFill>
          </w14:textFill>
        </w:rPr>
      </w:pPr>
      <w:r>
        <w:rPr>
          <w:color w:val="000000" w:themeColor="text1"/>
          <w14:textFill>
            <w14:solidFill>
              <w14:schemeClr w14:val="tx1"/>
            </w14:solidFill>
          </w14:textFill>
        </w:rPr>
        <w:t>B. 15.</w:t>
      </w:r>
      <w:r>
        <w:rPr>
          <w:color w:val="000000" w:themeColor="text1"/>
          <w14:textFill>
            <w14:solidFill>
              <w14:schemeClr w14:val="tx1"/>
            </w14:solidFill>
          </w14:textFill>
        </w:rPr>
        <w:tab/>
      </w:r>
      <w:r>
        <w:rPr>
          <w:color w:val="000000" w:themeColor="text1"/>
          <w14:textFill>
            <w14:solidFill>
              <w14:schemeClr w14:val="tx1"/>
            </w14:solidFill>
          </w14:textFill>
        </w:rPr>
        <w:t>Výdavky na daň z príjmov účtovnej jednotky, ak je ich možné začleniť do investičných činností</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tabs>
          <w:tab w:val="left" w:pos="2262"/>
          <w:tab w:val="left" w:pos="9781"/>
        </w:tabs>
        <w:spacing w:line="251"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B. 16.</w:t>
      </w:r>
      <w:r>
        <w:rPr>
          <w:color w:val="000000" w:themeColor="text1"/>
          <w14:textFill>
            <w14:solidFill>
              <w14:schemeClr w14:val="tx1"/>
            </w14:solidFill>
          </w14:textFill>
        </w:rPr>
        <w:tab/>
      </w:r>
      <w:r>
        <w:rPr>
          <w:color w:val="000000" w:themeColor="text1"/>
          <w14:textFill>
            <w14:solidFill>
              <w14:schemeClr w14:val="tx1"/>
            </w14:solidFill>
          </w14:textFill>
        </w:rPr>
        <w:t xml:space="preserve">Príjmy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investičnú činnosť</w:t>
      </w:r>
      <w:r>
        <w:rPr>
          <w:color w:val="000000" w:themeColor="text1"/>
          <w:spacing w:val="-17"/>
          <w14:textFill>
            <w14:solidFill>
              <w14:schemeClr w14:val="tx1"/>
            </w14:solidFill>
          </w14:textFill>
        </w:rPr>
        <w:t xml:space="preserve"> </w:t>
      </w:r>
      <w:r>
        <w:rPr>
          <w:color w:val="000000" w:themeColor="text1"/>
          <w14:textFill>
            <w14:solidFill>
              <w14:schemeClr w14:val="tx1"/>
            </w14:solidFill>
          </w14:textFill>
        </w:rPr>
        <w:t>(+)</w:t>
      </w:r>
    </w:p>
    <w:p>
      <w:pPr>
        <w:tabs>
          <w:tab w:val="left" w:pos="2262"/>
          <w:tab w:val="left" w:pos="9781"/>
        </w:tabs>
        <w:ind w:left="2262" w:right="571" w:hanging="1416"/>
        <w:jc w:val="both"/>
        <w:rPr>
          <w:color w:val="000000" w:themeColor="text1"/>
          <w14:textFill>
            <w14:solidFill>
              <w14:schemeClr w14:val="tx1"/>
            </w14:solidFill>
          </w14:textFill>
        </w:rPr>
      </w:pPr>
      <w:r>
        <w:rPr>
          <w:color w:val="000000" w:themeColor="text1"/>
          <w14:textFill>
            <w14:solidFill>
              <w14:schemeClr w14:val="tx1"/>
            </w14:solidFill>
          </w14:textFill>
        </w:rPr>
        <w:t>B. 17.</w:t>
      </w:r>
      <w:r>
        <w:rPr>
          <w:color w:val="000000" w:themeColor="text1"/>
          <w14:textFill>
            <w14:solidFill>
              <w14:schemeClr w14:val="tx1"/>
            </w14:solidFill>
          </w14:textFill>
        </w:rPr>
        <w:tab/>
      </w:r>
      <w:r>
        <w:rPr>
          <w:color w:val="000000" w:themeColor="text1"/>
          <w14:textFill>
            <w14:solidFill>
              <w14:schemeClr w14:val="tx1"/>
            </w14:solidFill>
          </w14:textFill>
        </w:rPr>
        <w:t xml:space="preserve">Výdavky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investičnú činnosť (-)</w:t>
      </w:r>
    </w:p>
    <w:p>
      <w:pPr>
        <w:pStyle w:val="5"/>
        <w:tabs>
          <w:tab w:val="left" w:pos="2262"/>
          <w:tab w:val="left" w:pos="9781"/>
        </w:tabs>
        <w:spacing w:before="1"/>
        <w:ind w:left="846"/>
        <w:jc w:val="both"/>
        <w:rPr>
          <w:color w:val="000000" w:themeColor="text1"/>
          <w14:textFill>
            <w14:solidFill>
              <w14:schemeClr w14:val="tx1"/>
            </w14:solidFill>
          </w14:textFill>
        </w:rPr>
      </w:pPr>
      <w:r>
        <w:rPr>
          <w:color w:val="000000" w:themeColor="text1"/>
          <w14:textFill>
            <w14:solidFill>
              <w14:schemeClr w14:val="tx1"/>
            </w14:solidFill>
          </w14:textFill>
        </w:rPr>
        <w:t>B. 18.</w:t>
      </w:r>
      <w:r>
        <w:rPr>
          <w:color w:val="000000" w:themeColor="text1"/>
          <w14:textFill>
            <w14:solidFill>
              <w14:schemeClr w14:val="tx1"/>
            </w14:solidFill>
          </w14:textFill>
        </w:rPr>
        <w:tab/>
      </w:r>
      <w:r>
        <w:rPr>
          <w:color w:val="000000" w:themeColor="text1"/>
          <w14:textFill>
            <w14:solidFill>
              <w14:schemeClr w14:val="tx1"/>
            </w14:solidFill>
          </w14:textFill>
        </w:rPr>
        <w:t>Ostatné príjmy vzťahujúce sa na investičnú činnosť</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846"/>
        <w:jc w:val="both"/>
        <w:rPr>
          <w:color w:val="000000" w:themeColor="text1"/>
          <w14:textFill>
            <w14:solidFill>
              <w14:schemeClr w14:val="tx1"/>
            </w14:solidFill>
          </w14:textFill>
        </w:rPr>
      </w:pPr>
      <w:r>
        <w:rPr>
          <w:color w:val="000000" w:themeColor="text1"/>
          <w14:textFill>
            <w14:solidFill>
              <w14:schemeClr w14:val="tx1"/>
            </w14:solidFill>
          </w14:textFill>
        </w:rPr>
        <w:t>B. 19.</w:t>
      </w:r>
      <w:r>
        <w:rPr>
          <w:color w:val="000000" w:themeColor="text1"/>
          <w14:textFill>
            <w14:solidFill>
              <w14:schemeClr w14:val="tx1"/>
            </w14:solidFill>
          </w14:textFill>
        </w:rPr>
        <w:tab/>
      </w:r>
      <w:r>
        <w:rPr>
          <w:color w:val="000000" w:themeColor="text1"/>
          <w14:textFill>
            <w14:solidFill>
              <w14:schemeClr w14:val="tx1"/>
            </w14:solidFill>
          </w14:textFill>
        </w:rPr>
        <w:t>Ostatné výdavky vzťahujúce sa na investičnú činnosť</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p>
    <w:p>
      <w:pPr>
        <w:tabs>
          <w:tab w:val="left" w:pos="2262"/>
          <w:tab w:val="left" w:pos="9781"/>
        </w:tabs>
        <w:ind w:left="897"/>
        <w:jc w:val="both"/>
        <w:rPr>
          <w:b/>
          <w:i/>
          <w:color w:val="000000" w:themeColor="text1"/>
          <w14:textFill>
            <w14:solidFill>
              <w14:schemeClr w14:val="tx1"/>
            </w14:solidFill>
          </w14:textFill>
        </w:rPr>
      </w:pPr>
      <w:r>
        <w:rPr>
          <w:b/>
          <w:i/>
          <w:color w:val="000000" w:themeColor="text1"/>
          <w14:textFill>
            <w14:solidFill>
              <w14:schemeClr w14:val="tx1"/>
            </w14:solidFill>
          </w14:textFill>
        </w:rPr>
        <w:t>B.</w:t>
      </w:r>
      <w:r>
        <w:rPr>
          <w:b/>
          <w:i/>
          <w:color w:val="000000" w:themeColor="text1"/>
          <w14:textFill>
            <w14:solidFill>
              <w14:schemeClr w14:val="tx1"/>
            </w14:solidFill>
          </w14:textFill>
        </w:rPr>
        <w:tab/>
      </w:r>
      <w:r>
        <w:rPr>
          <w:b/>
          <w:i/>
          <w:color w:val="000000" w:themeColor="text1"/>
          <w14:textFill>
            <w14:solidFill>
              <w14:schemeClr w14:val="tx1"/>
            </w14:solidFill>
          </w14:textFill>
        </w:rPr>
        <w:t>Čisté peňažné toky z investičnej činnosti (súčet B. 1. až B.</w:t>
      </w:r>
      <w:r>
        <w:rPr>
          <w:b/>
          <w:i/>
          <w:color w:val="000000" w:themeColor="text1"/>
          <w:spacing w:val="-12"/>
          <w14:textFill>
            <w14:solidFill>
              <w14:schemeClr w14:val="tx1"/>
            </w14:solidFill>
          </w14:textFill>
        </w:rPr>
        <w:t xml:space="preserve"> </w:t>
      </w:r>
      <w:r>
        <w:rPr>
          <w:b/>
          <w:i/>
          <w:color w:val="000000" w:themeColor="text1"/>
          <w14:textFill>
            <w14:solidFill>
              <w14:schemeClr w14:val="tx1"/>
            </w14:solidFill>
          </w14:textFill>
        </w:rPr>
        <w:t>19.)</w:t>
      </w:r>
    </w:p>
    <w:p>
      <w:pPr>
        <w:pStyle w:val="5"/>
        <w:tabs>
          <w:tab w:val="left" w:pos="9781"/>
        </w:tabs>
        <w:spacing w:before="1"/>
        <w:jc w:val="both"/>
        <w:rPr>
          <w:b/>
          <w:i/>
          <w:color w:val="000000" w:themeColor="text1"/>
          <w14:textFill>
            <w14:solidFill>
              <w14:schemeClr w14:val="tx1"/>
            </w14:solidFill>
          </w14:textFill>
        </w:rPr>
      </w:pPr>
    </w:p>
    <w:p>
      <w:pPr>
        <w:pStyle w:val="2"/>
        <w:tabs>
          <w:tab w:val="left" w:pos="2262"/>
          <w:tab w:val="left" w:pos="9781"/>
        </w:tabs>
        <w:ind w:left="846"/>
        <w:jc w:val="both"/>
        <w:rPr>
          <w:color w:val="000000" w:themeColor="text1"/>
          <w14:textFill>
            <w14:solidFill>
              <w14:schemeClr w14:val="tx1"/>
            </w14:solidFill>
          </w14:textFill>
        </w:rPr>
      </w:pPr>
      <w:r>
        <w:rPr>
          <w:color w:val="000000" w:themeColor="text1"/>
          <w14:textFill>
            <w14:solidFill>
              <w14:schemeClr w14:val="tx1"/>
            </w14:solidFill>
          </w14:textFill>
        </w:rPr>
        <w:t>Označenie</w:t>
      </w:r>
      <w:r>
        <w:rPr>
          <w:color w:val="000000" w:themeColor="text1"/>
          <w14:textFill>
            <w14:solidFill>
              <w14:schemeClr w14:val="tx1"/>
            </w14:solidFill>
          </w14:textFill>
        </w:rPr>
        <w:tab/>
      </w:r>
      <w:r>
        <w:rPr>
          <w:color w:val="000000" w:themeColor="text1"/>
          <w14:textFill>
            <w14:solidFill>
              <w14:schemeClr w14:val="tx1"/>
            </w14:solidFill>
          </w14:textFill>
        </w:rPr>
        <w:t>Obsah</w:t>
      </w:r>
    </w:p>
    <w:p>
      <w:pPr>
        <w:tabs>
          <w:tab w:val="left" w:pos="2262"/>
          <w:tab w:val="left" w:pos="9781"/>
        </w:tabs>
        <w:spacing w:before="2" w:after="19"/>
        <w:ind w:left="846"/>
        <w:jc w:val="both"/>
        <w:rPr>
          <w:b/>
          <w:color w:val="000000" w:themeColor="text1"/>
          <w14:textFill>
            <w14:solidFill>
              <w14:schemeClr w14:val="tx1"/>
            </w14:solidFill>
          </w14:textFill>
        </w:rPr>
      </w:pPr>
      <w:r>
        <w:rPr>
          <w:b/>
          <w:color w:val="000000" w:themeColor="text1"/>
          <w14:textFill>
            <w14:solidFill>
              <w14:schemeClr w14:val="tx1"/>
            </w14:solidFill>
          </w14:textFill>
        </w:rPr>
        <w:t>položky</w:t>
      </w:r>
      <w:r>
        <w:rPr>
          <w:b/>
          <w:color w:val="000000" w:themeColor="text1"/>
          <w14:textFill>
            <w14:solidFill>
              <w14:schemeClr w14:val="tx1"/>
            </w14:solidFill>
          </w14:textFill>
        </w:rPr>
        <w:tab/>
      </w:r>
      <w:r>
        <w:rPr>
          <w:b/>
          <w:color w:val="000000" w:themeColor="text1"/>
          <w14:textFill>
            <w14:solidFill>
              <w14:schemeClr w14:val="tx1"/>
            </w14:solidFill>
          </w14:textFill>
        </w:rPr>
        <w:t>položky</w:t>
      </w:r>
    </w:p>
    <w:p>
      <w:pPr>
        <w:pStyle w:val="5"/>
        <w:tabs>
          <w:tab w:val="left" w:pos="9781"/>
        </w:tabs>
        <w:spacing w:line="28" w:lineRule="exact"/>
        <w:ind w:left="110"/>
        <w:jc w:val="both"/>
        <w:rPr>
          <w:color w:val="000000" w:themeColor="text1"/>
          <w:sz w:val="2"/>
          <w14:textFill>
            <w14:solidFill>
              <w14:schemeClr w14:val="tx1"/>
            </w14:solidFill>
          </w14:textFill>
        </w:rPr>
      </w:pPr>
      <w:r>
        <w:rPr>
          <w:color w:val="000000" w:themeColor="text1"/>
          <w:sz w:val="2"/>
          <w:lang w:eastAsia="sk-SK"/>
          <w14:textFill>
            <w14:solidFill>
              <w14:schemeClr w14:val="tx1"/>
            </w14:solidFill>
          </w14:textFill>
        </w:rPr>
        <mc:AlternateContent>
          <mc:Choice Requires="wpg">
            <w:drawing>
              <wp:inline distT="0" distB="0" distL="0" distR="0">
                <wp:extent cx="5798185" cy="18415"/>
                <wp:effectExtent l="0" t="0" r="0" b="0"/>
                <wp:docPr id="11" name="Group 9"/>
                <wp:cNvGraphicFramePr/>
                <a:graphic xmlns:a="http://schemas.openxmlformats.org/drawingml/2006/main">
                  <a:graphicData uri="http://schemas.microsoft.com/office/word/2010/wordprocessingGroup">
                    <wpg:wgp>
                      <wpg:cNvGrpSpPr/>
                      <wpg:grpSpPr>
                        <a:xfrm>
                          <a:off x="0" y="0"/>
                          <a:ext cx="5798185" cy="18415"/>
                          <a:chOff x="0" y="0"/>
                          <a:chExt cx="9131" cy="29"/>
                        </a:xfrm>
                      </wpg:grpSpPr>
                      <wps:wsp>
                        <wps:cNvPr id="12" name="Rectangle 10"/>
                        <wps:cNvSpPr>
                          <a:spLocks noChangeArrowheads="1"/>
                        </wps:cNvSpPr>
                        <wps:spPr bwMode="auto">
                          <a:xfrm>
                            <a:off x="0" y="0"/>
                            <a:ext cx="9131" cy="29"/>
                          </a:xfrm>
                          <a:prstGeom prst="rect">
                            <a:avLst/>
                          </a:prstGeom>
                          <a:solidFill>
                            <a:srgbClr val="000000"/>
                          </a:solidFill>
                          <a:ln>
                            <a:noFill/>
                          </a:ln>
                        </wps:spPr>
                        <wps:bodyPr rot="0" vert="horz" wrap="square" lIns="91440" tIns="45720" rIns="91440" bIns="45720" anchor="t" anchorCtr="0" upright="1">
                          <a:noAutofit/>
                        </wps:bodyPr>
                      </wps:wsp>
                    </wpg:wgp>
                  </a:graphicData>
                </a:graphic>
              </wp:inline>
            </w:drawing>
          </mc:Choice>
          <mc:Fallback>
            <w:pict>
              <v:group id="Group 9" o:spid="_x0000_s1026" o:spt="203" style="height:1.45pt;width:456.55pt;" coordsize="9131,29" o:gfxdata="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Ct&#10;ntlq1AAAAAMBAAAPAAAAAAAAAAEAIAAAACIAAABkcnMvZG93bnJldi54bWxQSwECFAAUAAAACACH&#10;TuJAZzGyx2ECAABLBQAADgAAAAAAAAABACAAAAAjAQAAZHJzL2Uyb0RvYy54bWxQSwUGAAAAAAYA&#10;BgBZAQAA9gUAAAAA&#10;">
                <o:lock v:ext="edit" aspectratio="f"/>
                <v:rect id="Rectangle 10" o:spid="_x0000_s1026" o:spt="1" style="position:absolute;left:0;top:0;height:29;width:9131;" fillcolor="#000000" filled="t" stroked="f" coordsize="21600,21600" o:gfxdata="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kCRoG8AAAA&#10;2wAAAA8AAAAAAAAAAQAgAAAAIgAAAGRycy9kb3ducmV2LnhtbFBLAQIUABQAAAAIAIdO4kAzLwWe&#10;OwAAADkAAAAQAAAAAAAAAAEAIAAAAAsBAABkcnMvc2hhcGV4bWwueG1sUEsFBgAAAAAGAAYAWwEA&#10;ALUDAAAAAA==&#10;">
                  <v:fill on="t" focussize="0,0"/>
                  <v:stroke on="f"/>
                  <v:imagedata o:title=""/>
                  <o:lock v:ext="edit" aspectratio="f"/>
                </v:rect>
                <w10:wrap type="none"/>
                <w10:anchorlock/>
              </v:group>
            </w:pict>
          </mc:Fallback>
        </mc:AlternateContent>
      </w:r>
    </w:p>
    <w:p>
      <w:pPr>
        <w:pStyle w:val="5"/>
        <w:tabs>
          <w:tab w:val="left" w:pos="9781"/>
        </w:tabs>
        <w:spacing w:before="1"/>
        <w:jc w:val="both"/>
        <w:rPr>
          <w:b/>
          <w:color w:val="000000" w:themeColor="text1"/>
          <w:sz w:val="13"/>
          <w14:textFill>
            <w14:solidFill>
              <w14:schemeClr w14:val="tx1"/>
            </w14:solidFill>
          </w14:textFill>
        </w:rPr>
      </w:pPr>
    </w:p>
    <w:p>
      <w:pPr>
        <w:tabs>
          <w:tab w:val="left" w:pos="9781"/>
        </w:tabs>
        <w:spacing w:before="100" w:line="252" w:lineRule="exact"/>
        <w:ind w:left="846"/>
        <w:jc w:val="both"/>
        <w:rPr>
          <w:b/>
          <w:color w:val="000000" w:themeColor="text1"/>
          <w14:textFill>
            <w14:solidFill>
              <w14:schemeClr w14:val="tx1"/>
            </w14:solidFill>
          </w14:textFill>
        </w:rPr>
      </w:pPr>
      <w:r>
        <w:rPr>
          <w:rFonts w:ascii="Times New Roman" w:hAnsi="Times New Roman"/>
          <w:color w:val="000000" w:themeColor="text1"/>
          <w:spacing w:val="-56"/>
          <w:u w:val="single"/>
          <w14:textFill>
            <w14:solidFill>
              <w14:schemeClr w14:val="tx1"/>
            </w14:solidFill>
          </w14:textFill>
        </w:rPr>
        <w:t xml:space="preserve"> </w:t>
      </w:r>
      <w:r>
        <w:rPr>
          <w:b/>
          <w:color w:val="000000" w:themeColor="text1"/>
          <w:u w:val="single"/>
          <w14:textFill>
            <w14:solidFill>
              <w14:schemeClr w14:val="tx1"/>
            </w14:solidFill>
          </w14:textFill>
        </w:rPr>
        <w:t>Peňažné toky z finančnej činnosti</w:t>
      </w:r>
    </w:p>
    <w:p>
      <w:pPr>
        <w:tabs>
          <w:tab w:val="left" w:pos="2262"/>
          <w:tab w:val="left" w:pos="9781"/>
        </w:tabs>
        <w:spacing w:line="252" w:lineRule="exact"/>
        <w:ind w:left="846"/>
        <w:jc w:val="both"/>
        <w:rPr>
          <w:i/>
          <w:color w:val="000000" w:themeColor="text1"/>
          <w14:textFill>
            <w14:solidFill>
              <w14:schemeClr w14:val="tx1"/>
            </w14:solidFill>
          </w14:textFill>
        </w:rPr>
      </w:pPr>
      <w:r>
        <w:rPr>
          <w:i/>
          <w:color w:val="000000" w:themeColor="text1"/>
          <w14:textFill>
            <w14:solidFill>
              <w14:schemeClr w14:val="tx1"/>
            </w14:solidFill>
          </w14:textFill>
        </w:rPr>
        <w:t>C.</w:t>
      </w:r>
      <w:r>
        <w:rPr>
          <w:i/>
          <w:color w:val="000000" w:themeColor="text1"/>
          <w:spacing w:val="-1"/>
          <w14:textFill>
            <w14:solidFill>
              <w14:schemeClr w14:val="tx1"/>
            </w14:solidFill>
          </w14:textFill>
        </w:rPr>
        <w:t xml:space="preserve"> </w:t>
      </w:r>
      <w:r>
        <w:rPr>
          <w:i/>
          <w:color w:val="000000" w:themeColor="text1"/>
          <w14:textFill>
            <w14:solidFill>
              <w14:schemeClr w14:val="tx1"/>
            </w14:solidFill>
          </w14:textFill>
        </w:rPr>
        <w:t>1.</w:t>
      </w:r>
      <w:r>
        <w:rPr>
          <w:i/>
          <w:color w:val="000000" w:themeColor="text1"/>
          <w14:textFill>
            <w14:solidFill>
              <w14:schemeClr w14:val="tx1"/>
            </w14:solidFill>
          </w14:textFill>
        </w:rPr>
        <w:tab/>
      </w:r>
      <w:r>
        <w:rPr>
          <w:i/>
          <w:color w:val="000000" w:themeColor="text1"/>
          <w14:textFill>
            <w14:solidFill>
              <w14:schemeClr w14:val="tx1"/>
            </w14:solidFill>
          </w14:textFill>
        </w:rPr>
        <w:t>Peňažné toky vznikajúce vo vlastnom imaní (súčet C. 1. 1. až C. 1.</w:t>
      </w:r>
      <w:r>
        <w:rPr>
          <w:i/>
          <w:color w:val="000000" w:themeColor="text1"/>
          <w:spacing w:val="-17"/>
          <w14:textFill>
            <w14:solidFill>
              <w14:schemeClr w14:val="tx1"/>
            </w14:solidFill>
          </w14:textFill>
        </w:rPr>
        <w:t xml:space="preserve"> </w:t>
      </w:r>
      <w:r>
        <w:rPr>
          <w:i/>
          <w:color w:val="000000" w:themeColor="text1"/>
          <w14:textFill>
            <w14:solidFill>
              <w14:schemeClr w14:val="tx1"/>
            </w14:solidFill>
          </w14:textFill>
        </w:rPr>
        <w:t>8.)</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1. 1.</w:t>
      </w:r>
      <w:r>
        <w:rPr>
          <w:color w:val="000000" w:themeColor="text1"/>
          <w14:textFill>
            <w14:solidFill>
              <w14:schemeClr w14:val="tx1"/>
            </w14:solidFill>
          </w14:textFill>
        </w:rPr>
        <w:tab/>
      </w:r>
      <w:r>
        <w:rPr>
          <w:color w:val="000000" w:themeColor="text1"/>
          <w14:textFill>
            <w14:solidFill>
              <w14:schemeClr w14:val="tx1"/>
            </w14:solidFill>
          </w14:textFill>
        </w:rPr>
        <w:t>Príjmy z upísaných akcií a obchodných podielov</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2"/>
        <w:ind w:left="2262" w:right="577" w:hanging="141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1. 2.</w:t>
      </w:r>
      <w:r>
        <w:rPr>
          <w:color w:val="000000" w:themeColor="text1"/>
          <w14:textFill>
            <w14:solidFill>
              <w14:schemeClr w14:val="tx1"/>
            </w14:solidFill>
          </w14:textFill>
        </w:rPr>
        <w:tab/>
      </w:r>
      <w:r>
        <w:rPr>
          <w:color w:val="000000" w:themeColor="text1"/>
          <w14:textFill>
            <w14:solidFill>
              <w14:schemeClr w14:val="tx1"/>
            </w14:solidFill>
          </w14:textFill>
        </w:rPr>
        <w:t>Príjmy z ďalších vkladov do vlastného imania spoločníkmi alebo fyzickou osobou, ak je účtovnou jednotkou</w:t>
      </w:r>
      <w:r>
        <w:rPr>
          <w:color w:val="000000" w:themeColor="text1"/>
          <w:spacing w:val="49"/>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1. 3.</w:t>
      </w:r>
      <w:r>
        <w:rPr>
          <w:color w:val="000000" w:themeColor="text1"/>
          <w14:textFill>
            <w14:solidFill>
              <w14:schemeClr w14:val="tx1"/>
            </w14:solidFill>
          </w14:textFill>
        </w:rPr>
        <w:tab/>
      </w:r>
      <w:r>
        <w:rPr>
          <w:color w:val="000000" w:themeColor="text1"/>
          <w14:textFill>
            <w14:solidFill>
              <w14:schemeClr w14:val="tx1"/>
            </w14:solidFill>
          </w14:textFill>
        </w:rPr>
        <w:t>Prijaté peňažné dary</w:t>
      </w:r>
      <w:r>
        <w:rPr>
          <w:color w:val="000000" w:themeColor="text1"/>
          <w:spacing w:val="-10"/>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1. 4.</w:t>
      </w:r>
      <w:r>
        <w:rPr>
          <w:color w:val="000000" w:themeColor="text1"/>
          <w14:textFill>
            <w14:solidFill>
              <w14:schemeClr w14:val="tx1"/>
            </w14:solidFill>
          </w14:textFill>
        </w:rPr>
        <w:tab/>
      </w:r>
      <w:r>
        <w:rPr>
          <w:color w:val="000000" w:themeColor="text1"/>
          <w14:textFill>
            <w14:solidFill>
              <w14:schemeClr w14:val="tx1"/>
            </w14:solidFill>
          </w14:textFill>
        </w:rPr>
        <w:t>Príjmy z úhrady straty spoločníkmi</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851" w:hanging="141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1. 5.</w:t>
      </w:r>
      <w:r>
        <w:rPr>
          <w:color w:val="000000" w:themeColor="text1"/>
          <w14:textFill>
            <w14:solidFill>
              <w14:schemeClr w14:val="tx1"/>
            </w14:solidFill>
          </w14:textFill>
        </w:rPr>
        <w:tab/>
      </w:r>
      <w:r>
        <w:rPr>
          <w:color w:val="000000" w:themeColor="text1"/>
          <w14:textFill>
            <w14:solidFill>
              <w14:schemeClr w14:val="tx1"/>
            </w14:solidFill>
          </w14:textFill>
        </w:rPr>
        <w:t>Výdavky na obstaranie alebo spätné odkúpenie vlastných akcií a vlastných obchodných podielov</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1"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1. 6.</w:t>
      </w:r>
      <w:r>
        <w:rPr>
          <w:color w:val="000000" w:themeColor="text1"/>
          <w14:textFill>
            <w14:solidFill>
              <w14:schemeClr w14:val="tx1"/>
            </w14:solidFill>
          </w14:textFill>
        </w:rPr>
        <w:tab/>
      </w:r>
      <w:r>
        <w:rPr>
          <w:color w:val="000000" w:themeColor="text1"/>
          <w14:textFill>
            <w14:solidFill>
              <w14:schemeClr w14:val="tx1"/>
            </w14:solidFill>
          </w14:textFill>
        </w:rPr>
        <w:t>Výdavky spojené so znížením fondov vytvorených účtovnou jednotkou</w:t>
      </w:r>
      <w:r>
        <w:rPr>
          <w:color w:val="000000" w:themeColor="text1"/>
          <w:spacing w:val="-1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2" w:hanging="141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1. 7.</w:t>
      </w:r>
      <w:r>
        <w:rPr>
          <w:color w:val="000000" w:themeColor="text1"/>
          <w14:textFill>
            <w14:solidFill>
              <w14:schemeClr w14:val="tx1"/>
            </w14:solidFill>
          </w14:textFill>
        </w:rPr>
        <w:tab/>
      </w:r>
      <w:r>
        <w:rPr>
          <w:color w:val="000000" w:themeColor="text1"/>
          <w14:textFill>
            <w14:solidFill>
              <w14:schemeClr w14:val="tx1"/>
            </w14:solidFill>
          </w14:textFill>
        </w:rPr>
        <w:t>Výdavky na vyplatenie podielu na vlastnom imaní spoločníkom alebo fyzickou osobou, ktorá je účtovnou jednotkou</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1"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1. 8.</w:t>
      </w:r>
      <w:r>
        <w:rPr>
          <w:color w:val="000000" w:themeColor="text1"/>
          <w14:textFill>
            <w14:solidFill>
              <w14:schemeClr w14:val="tx1"/>
            </w14:solidFill>
          </w14:textFill>
        </w:rPr>
        <w:tab/>
      </w:r>
      <w:r>
        <w:rPr>
          <w:color w:val="000000" w:themeColor="text1"/>
          <w14:textFill>
            <w14:solidFill>
              <w14:schemeClr w14:val="tx1"/>
            </w14:solidFill>
          </w14:textFill>
        </w:rPr>
        <w:t>Výdavky z ďalších dôvodov, ktoré súvisia so znížením vlastného imania</w:t>
      </w:r>
      <w:r>
        <w:rPr>
          <w:color w:val="000000" w:themeColor="text1"/>
          <w:spacing w:val="-11"/>
          <w14:textFill>
            <w14:solidFill>
              <w14:schemeClr w14:val="tx1"/>
            </w14:solidFill>
          </w14:textFill>
        </w:rPr>
        <w:t xml:space="preserve"> </w:t>
      </w:r>
      <w:r>
        <w:rPr>
          <w:color w:val="000000" w:themeColor="text1"/>
          <w14:textFill>
            <w14:solidFill>
              <w14:schemeClr w14:val="tx1"/>
            </w14:solidFill>
          </w14:textFill>
        </w:rPr>
        <w:t>(-)</w:t>
      </w:r>
    </w:p>
    <w:p>
      <w:pPr>
        <w:tabs>
          <w:tab w:val="left" w:pos="2262"/>
          <w:tab w:val="left" w:pos="9781"/>
        </w:tabs>
        <w:ind w:left="2262" w:right="572" w:hanging="1419"/>
        <w:jc w:val="both"/>
        <w:rPr>
          <w:i/>
          <w:color w:val="000000" w:themeColor="text1"/>
          <w14:textFill>
            <w14:solidFill>
              <w14:schemeClr w14:val="tx1"/>
            </w14:solidFill>
          </w14:textFill>
        </w:rPr>
      </w:pPr>
      <w:r>
        <w:rPr>
          <w:i/>
          <w:color w:val="000000" w:themeColor="text1"/>
          <w14:textFill>
            <w14:solidFill>
              <w14:schemeClr w14:val="tx1"/>
            </w14:solidFill>
          </w14:textFill>
        </w:rPr>
        <w:t>C.</w:t>
      </w:r>
      <w:r>
        <w:rPr>
          <w:i/>
          <w:color w:val="000000" w:themeColor="text1"/>
          <w:spacing w:val="-1"/>
          <w14:textFill>
            <w14:solidFill>
              <w14:schemeClr w14:val="tx1"/>
            </w14:solidFill>
          </w14:textFill>
        </w:rPr>
        <w:t xml:space="preserve"> </w:t>
      </w:r>
      <w:r>
        <w:rPr>
          <w:i/>
          <w:color w:val="000000" w:themeColor="text1"/>
          <w14:textFill>
            <w14:solidFill>
              <w14:schemeClr w14:val="tx1"/>
            </w14:solidFill>
          </w14:textFill>
        </w:rPr>
        <w:t>2.</w:t>
      </w:r>
      <w:r>
        <w:rPr>
          <w:i/>
          <w:color w:val="000000" w:themeColor="text1"/>
          <w14:textFill>
            <w14:solidFill>
              <w14:schemeClr w14:val="tx1"/>
            </w14:solidFill>
          </w14:textFill>
        </w:rPr>
        <w:tab/>
      </w:r>
      <w:r>
        <w:rPr>
          <w:i/>
          <w:color w:val="000000" w:themeColor="text1"/>
          <w14:textFill>
            <w14:solidFill>
              <w14:schemeClr w14:val="tx1"/>
            </w14:solidFill>
          </w14:textFill>
        </w:rPr>
        <w:t>Peňažné toky vznikajúce z dlhodobých záväzkov a krátkodobých záväzkov z finančnej činnosti (súčet C. 2. 1. až C. 2.</w:t>
      </w:r>
      <w:r>
        <w:rPr>
          <w:i/>
          <w:color w:val="000000" w:themeColor="text1"/>
          <w:spacing w:val="-3"/>
          <w14:textFill>
            <w14:solidFill>
              <w14:schemeClr w14:val="tx1"/>
            </w14:solidFill>
          </w14:textFill>
        </w:rPr>
        <w:t xml:space="preserve"> </w:t>
      </w:r>
      <w:r>
        <w:rPr>
          <w:i/>
          <w:color w:val="000000" w:themeColor="text1"/>
          <w14:textFill>
            <w14:solidFill>
              <w14:schemeClr w14:val="tx1"/>
            </w14:solidFill>
          </w14:textFill>
        </w:rPr>
        <w:t>10.)</w:t>
      </w:r>
    </w:p>
    <w:p>
      <w:pPr>
        <w:pStyle w:val="5"/>
        <w:tabs>
          <w:tab w:val="left" w:pos="2262"/>
          <w:tab w:val="left" w:pos="9781"/>
        </w:tabs>
        <w:spacing w:before="2" w:line="252" w:lineRule="exact"/>
        <w:ind w:left="844"/>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2. 1.</w:t>
      </w:r>
      <w:r>
        <w:rPr>
          <w:color w:val="000000" w:themeColor="text1"/>
          <w14:textFill>
            <w14:solidFill>
              <w14:schemeClr w14:val="tx1"/>
            </w14:solidFill>
          </w14:textFill>
        </w:rPr>
        <w:tab/>
      </w:r>
      <w:r>
        <w:rPr>
          <w:color w:val="000000" w:themeColor="text1"/>
          <w14:textFill>
            <w14:solidFill>
              <w14:schemeClr w14:val="tx1"/>
            </w14:solidFill>
          </w14:textFill>
        </w:rPr>
        <w:t>Príjmy z emisie dlhových cenných papierov</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4"/>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2. 2.</w:t>
      </w:r>
      <w:r>
        <w:rPr>
          <w:color w:val="000000" w:themeColor="text1"/>
          <w14:textFill>
            <w14:solidFill>
              <w14:schemeClr w14:val="tx1"/>
            </w14:solidFill>
          </w14:textFill>
        </w:rPr>
        <w:tab/>
      </w:r>
      <w:r>
        <w:rPr>
          <w:color w:val="000000" w:themeColor="text1"/>
          <w14:textFill>
            <w14:solidFill>
              <w14:schemeClr w14:val="tx1"/>
            </w14:solidFill>
          </w14:textFill>
        </w:rPr>
        <w:t>Výdavky na úhradu záväzkov z dlhových cenných papierov</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4" w:hanging="1419"/>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2. 3.</w:t>
      </w:r>
      <w:r>
        <w:rPr>
          <w:color w:val="000000" w:themeColor="text1"/>
          <w14:textFill>
            <w14:solidFill>
              <w14:schemeClr w14:val="tx1"/>
            </w14:solidFill>
          </w14:textFill>
        </w:rPr>
        <w:tab/>
      </w:r>
      <w:r>
        <w:rPr>
          <w:color w:val="000000" w:themeColor="text1"/>
          <w14:textFill>
            <w14:solidFill>
              <w14:schemeClr w14:val="tx1"/>
            </w14:solidFill>
          </w14:textFill>
        </w:rPr>
        <w:t>Príjmy z úverov, ktoré účtovnej jednotke poskytla banka alebo pobočka zahraničnej banky, s výnimkou úverov, ktoré boli poskytnuté na zabezpečenie hlavného predmetu činnosti</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1"/>
        <w:ind w:left="2262" w:right="570" w:hanging="1419"/>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2. 4.</w:t>
      </w:r>
      <w:r>
        <w:rPr>
          <w:color w:val="000000" w:themeColor="text1"/>
          <w14:textFill>
            <w14:solidFill>
              <w14:schemeClr w14:val="tx1"/>
            </w14:solidFill>
          </w14:textFill>
        </w:rPr>
        <w:tab/>
      </w:r>
      <w:r>
        <w:rPr>
          <w:color w:val="000000" w:themeColor="text1"/>
          <w14:textFill>
            <w14:solidFill>
              <w14:schemeClr w14:val="tx1"/>
            </w14:solidFill>
          </w14:textFill>
        </w:rPr>
        <w:t>Výdavky na splácanie úverov, ktoré účtovnej jednotke poskytla banka alebo pobočka zahraničnej banky, s výnimkou úverov, ktoré boli poskytnuté na zabezpečenie hlavného predmetu činnosti</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1" w:lineRule="exact"/>
        <w:ind w:left="844"/>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2. 5.</w:t>
      </w:r>
      <w:r>
        <w:rPr>
          <w:color w:val="000000" w:themeColor="text1"/>
          <w14:textFill>
            <w14:solidFill>
              <w14:schemeClr w14:val="tx1"/>
            </w14:solidFill>
          </w14:textFill>
        </w:rPr>
        <w:tab/>
      </w:r>
      <w:r>
        <w:rPr>
          <w:color w:val="000000" w:themeColor="text1"/>
          <w14:textFill>
            <w14:solidFill>
              <w14:schemeClr w14:val="tx1"/>
            </w14:solidFill>
          </w14:textFill>
        </w:rPr>
        <w:t>Príjmy z prijatých pôžičiek</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4"/>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2. 6.</w:t>
      </w:r>
      <w:r>
        <w:rPr>
          <w:color w:val="000000" w:themeColor="text1"/>
          <w14:textFill>
            <w14:solidFill>
              <w14:schemeClr w14:val="tx1"/>
            </w14:solidFill>
          </w14:textFill>
        </w:rPr>
        <w:tab/>
      </w:r>
      <w:r>
        <w:rPr>
          <w:color w:val="000000" w:themeColor="text1"/>
          <w14:textFill>
            <w14:solidFill>
              <w14:schemeClr w14:val="tx1"/>
            </w14:solidFill>
          </w14:textFill>
        </w:rPr>
        <w:t>Výdavky na splácanie pôžičiek</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2"/>
        <w:ind w:left="2262" w:right="577" w:hanging="1419"/>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2. 7.</w:t>
      </w:r>
      <w:r>
        <w:rPr>
          <w:color w:val="000000" w:themeColor="text1"/>
          <w14:textFill>
            <w14:solidFill>
              <w14:schemeClr w14:val="tx1"/>
            </w14:solidFill>
          </w14:textFill>
        </w:rPr>
        <w:tab/>
      </w:r>
      <w:r>
        <w:rPr>
          <w:color w:val="000000" w:themeColor="text1"/>
          <w14:textFill>
            <w14:solidFill>
              <w14:schemeClr w14:val="tx1"/>
            </w14:solidFill>
          </w14:textFill>
        </w:rPr>
        <w:t>Výdavky na úhradu záväzkov z používania majetku, ktorý je predmetom zmluvy o  kúpe prenajatej veci</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1" w:hanging="1419"/>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2. 8.</w:t>
      </w:r>
      <w:r>
        <w:rPr>
          <w:color w:val="000000" w:themeColor="text1"/>
          <w14:textFill>
            <w14:solidFill>
              <w14:schemeClr w14:val="tx1"/>
            </w14:solidFill>
          </w14:textFill>
        </w:rPr>
        <w:tab/>
      </w:r>
      <w:r>
        <w:rPr>
          <w:color w:val="000000" w:themeColor="text1"/>
          <w14:textFill>
            <w14:solidFill>
              <w14:schemeClr w14:val="tx1"/>
            </w14:solidFill>
          </w14:textFill>
        </w:rPr>
        <w:t>Príjmy  z ostatných  dlhodobých   záväzkov   a krátkodobých  záväzkov  vyplývajúcich z finančnej činnosti, s výnimkou tých, ktoré sa uvádzajú osobitne v inej časti prehľadu peňažných tokov</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0" w:hanging="1419"/>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2. 9.</w:t>
      </w:r>
      <w:r>
        <w:rPr>
          <w:color w:val="000000" w:themeColor="text1"/>
          <w14:textFill>
            <w14:solidFill>
              <w14:schemeClr w14:val="tx1"/>
            </w14:solidFill>
          </w14:textFill>
        </w:rPr>
        <w:tab/>
      </w:r>
      <w:r>
        <w:rPr>
          <w:color w:val="000000" w:themeColor="text1"/>
          <w14:textFill>
            <w14:solidFill>
              <w14:schemeClr w14:val="tx1"/>
            </w14:solidFill>
          </w14:textFill>
        </w:rPr>
        <w:t>Výdavky na splácanie ostatných dlhodobých záväzkov a krátkodobých záväzkov vyplývajúcich z finančnej činnosti, s výnimkou tých, ktoré sa uvádzajú osobitne v inej časti prehľadu peňažných tokov</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0" w:hanging="1421"/>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3.</w:t>
      </w:r>
      <w:r>
        <w:rPr>
          <w:color w:val="000000" w:themeColor="text1"/>
          <w14:textFill>
            <w14:solidFill>
              <w14:schemeClr w14:val="tx1"/>
            </w14:solidFill>
          </w14:textFill>
        </w:rPr>
        <w:tab/>
      </w:r>
      <w:r>
        <w:rPr>
          <w:color w:val="000000" w:themeColor="text1"/>
          <w14:textFill>
            <w14:solidFill>
              <w14:schemeClr w14:val="tx1"/>
            </w14:solidFill>
          </w14:textFill>
        </w:rPr>
        <w:t>Výdavky na zaplatené úroky, s výnimkou tých, ktoré sa začleňujú do prevádzkových činností</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2" w:hanging="141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4.</w:t>
      </w:r>
      <w:r>
        <w:rPr>
          <w:color w:val="000000" w:themeColor="text1"/>
          <w14:textFill>
            <w14:solidFill>
              <w14:schemeClr w14:val="tx1"/>
            </w14:solidFill>
          </w14:textFill>
        </w:rPr>
        <w:tab/>
      </w:r>
      <w:r>
        <w:rPr>
          <w:color w:val="000000" w:themeColor="text1"/>
          <w14:textFill>
            <w14:solidFill>
              <w14:schemeClr w14:val="tx1"/>
            </w14:solidFill>
          </w14:textFill>
        </w:rPr>
        <w:t>Výdavky na vyplatené dividendy a iné podiely na zisku, s výnimkou tých, ktoré sa začleňujú do prevádzkových činností</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76"/>
        <w:ind w:left="2262" w:right="851" w:hanging="141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5.</w:t>
      </w:r>
      <w:r>
        <w:rPr>
          <w:color w:val="000000" w:themeColor="text1"/>
          <w14:textFill>
            <w14:solidFill>
              <w14:schemeClr w14:val="tx1"/>
            </w14:solidFill>
          </w14:textFill>
        </w:rPr>
        <w:tab/>
      </w:r>
      <w:r>
        <w:rPr>
          <w:color w:val="000000" w:themeColor="text1"/>
          <w14:textFill>
            <w14:solidFill>
              <w14:schemeClr w14:val="tx1"/>
            </w14:solidFill>
          </w14:textFill>
        </w:rPr>
        <w:t>Výdavky súvisiace s derivátmi s výnimkou, ak sú určené na predaj alebo na obchodovanie, alebo ak sa považujú za peňažné toky z investičnej činnosti</w:t>
      </w:r>
      <w:r>
        <w:rPr>
          <w:color w:val="000000" w:themeColor="text1"/>
          <w:spacing w:val="-2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851" w:hanging="141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6.</w:t>
      </w:r>
      <w:r>
        <w:rPr>
          <w:color w:val="000000" w:themeColor="text1"/>
          <w14:textFill>
            <w14:solidFill>
              <w14:schemeClr w14:val="tx1"/>
            </w14:solidFill>
          </w14:textFill>
        </w:rPr>
        <w:tab/>
      </w:r>
      <w:r>
        <w:rPr>
          <w:color w:val="000000" w:themeColor="text1"/>
          <w14:textFill>
            <w14:solidFill>
              <w14:schemeClr w14:val="tx1"/>
            </w14:solidFill>
          </w14:textFill>
        </w:rPr>
        <w:t>Príjmy súvisiace s derivátmi, s výnimkou, ak sú určené na predaj alebo na obchodovanie, alebo ak sa považujú za peňažné toky z investičnej činnosti</w:t>
      </w:r>
      <w:r>
        <w:rPr>
          <w:color w:val="000000" w:themeColor="text1"/>
          <w:spacing w:val="-1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851" w:hanging="141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7.</w:t>
      </w:r>
      <w:r>
        <w:rPr>
          <w:color w:val="000000" w:themeColor="text1"/>
          <w14:textFill>
            <w14:solidFill>
              <w14:schemeClr w14:val="tx1"/>
            </w14:solidFill>
          </w14:textFill>
        </w:rPr>
        <w:tab/>
      </w:r>
      <w:r>
        <w:rPr>
          <w:color w:val="000000" w:themeColor="text1"/>
          <w14:textFill>
            <w14:solidFill>
              <w14:schemeClr w14:val="tx1"/>
            </w14:solidFill>
          </w14:textFill>
        </w:rPr>
        <w:t>Výdavky na daň z príjmov účtovnej jednotky, ak ich možno začleniť do finančných činností</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tabs>
          <w:tab w:val="left" w:pos="2265"/>
          <w:tab w:val="left" w:pos="9781"/>
        </w:tabs>
        <w:spacing w:line="251"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8.</w:t>
      </w:r>
      <w:r>
        <w:rPr>
          <w:color w:val="000000" w:themeColor="text1"/>
          <w14:textFill>
            <w14:solidFill>
              <w14:schemeClr w14:val="tx1"/>
            </w14:solidFill>
          </w14:textFill>
        </w:rPr>
        <w:tab/>
      </w:r>
      <w:r>
        <w:rPr>
          <w:color w:val="000000" w:themeColor="text1"/>
          <w14:textFill>
            <w14:solidFill>
              <w14:schemeClr w14:val="tx1"/>
            </w14:solidFill>
          </w14:textFill>
        </w:rPr>
        <w:t xml:space="preserve">Príjmy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finančnú činnosť</w:t>
      </w:r>
      <w:r>
        <w:rPr>
          <w:color w:val="000000" w:themeColor="text1"/>
          <w:spacing w:val="-13"/>
          <w14:textFill>
            <w14:solidFill>
              <w14:schemeClr w14:val="tx1"/>
            </w14:solidFill>
          </w14:textFill>
        </w:rPr>
        <w:t xml:space="preserve"> </w:t>
      </w:r>
      <w:r>
        <w:rPr>
          <w:color w:val="000000" w:themeColor="text1"/>
          <w14:textFill>
            <w14:solidFill>
              <w14:schemeClr w14:val="tx1"/>
            </w14:solidFill>
          </w14:textFill>
        </w:rPr>
        <w:t>(+)</w:t>
      </w:r>
    </w:p>
    <w:p>
      <w:pPr>
        <w:tabs>
          <w:tab w:val="left" w:pos="227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9.</w:t>
      </w:r>
      <w:r>
        <w:rPr>
          <w:color w:val="000000" w:themeColor="text1"/>
          <w14:textFill>
            <w14:solidFill>
              <w14:schemeClr w14:val="tx1"/>
            </w14:solidFill>
          </w14:textFill>
        </w:rPr>
        <w:tab/>
      </w:r>
      <w:r>
        <w:rPr>
          <w:color w:val="000000" w:themeColor="text1"/>
          <w14:textFill>
            <w14:solidFill>
              <w14:schemeClr w14:val="tx1"/>
            </w14:solidFill>
          </w14:textFill>
        </w:rPr>
        <w:t xml:space="preserve">Výdavky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finančnú činnosť</w:t>
      </w:r>
      <w:r>
        <w:rPr>
          <w:color w:val="000000" w:themeColor="text1"/>
          <w:spacing w:val="-15"/>
          <w14:textFill>
            <w14:solidFill>
              <w14:schemeClr w14:val="tx1"/>
            </w14:solidFill>
          </w14:textFill>
        </w:rPr>
        <w:t xml:space="preserve"> </w:t>
      </w:r>
      <w:r>
        <w:rPr>
          <w:color w:val="000000" w:themeColor="text1"/>
          <w14:textFill>
            <w14:solidFill>
              <w14:schemeClr w14:val="tx1"/>
            </w14:solidFill>
          </w14:textFill>
        </w:rPr>
        <w:t>(-)</w:t>
      </w:r>
    </w:p>
    <w:p>
      <w:pPr>
        <w:pStyle w:val="10"/>
        <w:numPr>
          <w:ilvl w:val="0"/>
          <w:numId w:val="12"/>
        </w:numPr>
        <w:tabs>
          <w:tab w:val="left" w:pos="2262"/>
          <w:tab w:val="left" w:pos="2263"/>
          <w:tab w:val="left" w:pos="9781"/>
        </w:tabs>
        <w:spacing w:line="252" w:lineRule="exact"/>
        <w:ind w:hanging="1417"/>
        <w:jc w:val="both"/>
        <w:rPr>
          <w:b/>
          <w:i/>
          <w:color w:val="000000" w:themeColor="text1"/>
          <w14:textFill>
            <w14:solidFill>
              <w14:schemeClr w14:val="tx1"/>
            </w14:solidFill>
          </w14:textFill>
        </w:rPr>
      </w:pPr>
      <w:r>
        <w:rPr>
          <w:b/>
          <w:i/>
          <w:color w:val="000000" w:themeColor="text1"/>
          <w14:textFill>
            <w14:solidFill>
              <w14:schemeClr w14:val="tx1"/>
            </w14:solidFill>
          </w14:textFill>
        </w:rPr>
        <w:t>Čisté peňažné toky z finančnej činnosti (súčet C. 1. až C.</w:t>
      </w:r>
      <w:r>
        <w:rPr>
          <w:b/>
          <w:i/>
          <w:color w:val="000000" w:themeColor="text1"/>
          <w:spacing w:val="-13"/>
          <w14:textFill>
            <w14:solidFill>
              <w14:schemeClr w14:val="tx1"/>
            </w14:solidFill>
          </w14:textFill>
        </w:rPr>
        <w:t xml:space="preserve"> </w:t>
      </w:r>
      <w:r>
        <w:rPr>
          <w:b/>
          <w:i/>
          <w:color w:val="000000" w:themeColor="text1"/>
          <w14:textFill>
            <w14:solidFill>
              <w14:schemeClr w14:val="tx1"/>
            </w14:solidFill>
          </w14:textFill>
        </w:rPr>
        <w:t>9.)</w:t>
      </w:r>
    </w:p>
    <w:p>
      <w:pPr>
        <w:pStyle w:val="2"/>
        <w:numPr>
          <w:ilvl w:val="0"/>
          <w:numId w:val="12"/>
        </w:numPr>
        <w:tabs>
          <w:tab w:val="left" w:pos="2262"/>
          <w:tab w:val="left" w:pos="2263"/>
          <w:tab w:val="left" w:pos="9781"/>
        </w:tabs>
        <w:ind w:right="1978"/>
        <w:jc w:val="both"/>
        <w:rPr>
          <w:i/>
          <w:color w:val="000000" w:themeColor="text1"/>
          <w14:textFill>
            <w14:solidFill>
              <w14:schemeClr w14:val="tx1"/>
            </w14:solidFill>
          </w14:textFill>
        </w:rPr>
      </w:pPr>
      <w:r>
        <w:rPr>
          <w:color w:val="000000" w:themeColor="text1"/>
          <w14:textFill>
            <w14:solidFill>
              <w14:schemeClr w14:val="tx1"/>
            </w14:solidFill>
          </w14:textFill>
        </w:rPr>
        <w:t xml:space="preserve">Čisté zvýšenie alebo čisté zníženie peňažných prostriedkov (+/-) (súčet A </w:t>
      </w:r>
      <w:r>
        <w:rPr>
          <w:i/>
          <w:color w:val="000000" w:themeColor="text1"/>
          <w14:textFill>
            <w14:solidFill>
              <w14:schemeClr w14:val="tx1"/>
            </w14:solidFill>
          </w14:textFill>
        </w:rPr>
        <w:t>+ B +</w:t>
      </w:r>
      <w:r>
        <w:rPr>
          <w:i/>
          <w:color w:val="000000" w:themeColor="text1"/>
          <w:spacing w:val="-3"/>
          <w14:textFill>
            <w14:solidFill>
              <w14:schemeClr w14:val="tx1"/>
            </w14:solidFill>
          </w14:textFill>
        </w:rPr>
        <w:t xml:space="preserve"> </w:t>
      </w:r>
      <w:r>
        <w:rPr>
          <w:i/>
          <w:color w:val="000000" w:themeColor="text1"/>
          <w14:textFill>
            <w14:solidFill>
              <w14:schemeClr w14:val="tx1"/>
            </w14:solidFill>
          </w14:textFill>
        </w:rPr>
        <w:t>C)</w:t>
      </w:r>
    </w:p>
    <w:p>
      <w:pPr>
        <w:pStyle w:val="10"/>
        <w:numPr>
          <w:ilvl w:val="0"/>
          <w:numId w:val="12"/>
        </w:numPr>
        <w:tabs>
          <w:tab w:val="left" w:pos="2262"/>
          <w:tab w:val="left" w:pos="2263"/>
          <w:tab w:val="left" w:pos="9781"/>
        </w:tabs>
        <w:spacing w:before="1"/>
        <w:ind w:right="573"/>
        <w:jc w:val="both"/>
        <w:rPr>
          <w:b/>
          <w:color w:val="000000" w:themeColor="text1"/>
          <w14:textFill>
            <w14:solidFill>
              <w14:schemeClr w14:val="tx1"/>
            </w14:solidFill>
          </w14:textFill>
        </w:rPr>
      </w:pPr>
      <w:r>
        <w:rPr>
          <w:b/>
          <w:color w:val="000000" w:themeColor="text1"/>
          <w14:textFill>
            <w14:solidFill>
              <w14:schemeClr w14:val="tx1"/>
            </w14:solidFill>
          </w14:textFill>
        </w:rPr>
        <w:t>Stav peňažných prostriedkov a peňažných ekvivalentov na začiatku účtovného obdobia</w:t>
      </w:r>
      <w:r>
        <w:rPr>
          <w:b/>
          <w:color w:val="000000" w:themeColor="text1"/>
          <w:spacing w:val="-1"/>
          <w14:textFill>
            <w14:solidFill>
              <w14:schemeClr w14:val="tx1"/>
            </w14:solidFill>
          </w14:textFill>
        </w:rPr>
        <w:t xml:space="preserve"> </w:t>
      </w:r>
      <w:r>
        <w:rPr>
          <w:b/>
          <w:color w:val="000000" w:themeColor="text1"/>
          <w14:textFill>
            <w14:solidFill>
              <w14:schemeClr w14:val="tx1"/>
            </w14:solidFill>
          </w14:textFill>
        </w:rPr>
        <w:t>(+/-)</w:t>
      </w:r>
      <w:r>
        <w:rPr>
          <w:b/>
          <w:color w:val="000000" w:themeColor="text1"/>
          <w:position w:val="6"/>
          <w:sz w:val="14"/>
          <w14:textFill>
            <w14:solidFill>
              <w14:schemeClr w14:val="tx1"/>
            </w14:solidFill>
          </w14:textFill>
        </w:rPr>
        <w:t>2</w:t>
      </w:r>
    </w:p>
    <w:p>
      <w:pPr>
        <w:pStyle w:val="2"/>
        <w:numPr>
          <w:ilvl w:val="0"/>
          <w:numId w:val="12"/>
        </w:numPr>
        <w:tabs>
          <w:tab w:val="left" w:pos="2262"/>
          <w:tab w:val="left" w:pos="2263"/>
          <w:tab w:val="left" w:pos="9781"/>
        </w:tabs>
        <w:ind w:right="573"/>
        <w:jc w:val="both"/>
        <w:rPr>
          <w:color w:val="000000" w:themeColor="text1"/>
          <w14:textFill>
            <w14:solidFill>
              <w14:schemeClr w14:val="tx1"/>
            </w14:solidFill>
          </w14:textFill>
        </w:rPr>
      </w:pPr>
      <w:r>
        <w:rPr>
          <w:color w:val="000000" w:themeColor="text1"/>
          <w14:textFill>
            <w14:solidFill>
              <w14:schemeClr w14:val="tx1"/>
            </w14:solidFill>
          </w14:textFill>
        </w:rPr>
        <w:t>Stav peňažných prostriedkov a peňažných ekvivalentov na konci účtovného obdobia pred zohľadnením kurzových rozdielov vyčíslených ku dňu, ku ktorému sa zostavuje účtovná závierka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r>
        <w:rPr>
          <w:color w:val="000000" w:themeColor="text1"/>
          <w:position w:val="6"/>
          <w:sz w:val="14"/>
          <w14:textFill>
            <w14:solidFill>
              <w14:schemeClr w14:val="tx1"/>
            </w14:solidFill>
          </w14:textFill>
        </w:rPr>
        <w:t>2</w:t>
      </w:r>
    </w:p>
    <w:p>
      <w:pPr>
        <w:pStyle w:val="10"/>
        <w:numPr>
          <w:ilvl w:val="0"/>
          <w:numId w:val="12"/>
        </w:numPr>
        <w:tabs>
          <w:tab w:val="left" w:pos="2262"/>
          <w:tab w:val="left" w:pos="2263"/>
          <w:tab w:val="left" w:pos="9781"/>
        </w:tabs>
        <w:spacing w:before="1"/>
        <w:ind w:right="570"/>
        <w:jc w:val="both"/>
        <w:rPr>
          <w:b/>
          <w:color w:val="000000" w:themeColor="text1"/>
          <w14:textFill>
            <w14:solidFill>
              <w14:schemeClr w14:val="tx1"/>
            </w14:solidFill>
          </w14:textFill>
        </w:rPr>
      </w:pPr>
      <w:r>
        <w:rPr>
          <w:b/>
          <w:color w:val="000000" w:themeColor="text1"/>
          <w14:textFill>
            <w14:solidFill>
              <w14:schemeClr w14:val="tx1"/>
            </w14:solidFill>
          </w14:textFill>
        </w:rPr>
        <w:t>Kurzové rozdiely vyčíslené k peňažným prostriedkom a peňažným ekvivalentom ku dňu, ku ktorému sa zostavuje účtovná závierka</w:t>
      </w:r>
      <w:r>
        <w:rPr>
          <w:b/>
          <w:color w:val="000000" w:themeColor="text1"/>
          <w:spacing w:val="-8"/>
          <w14:textFill>
            <w14:solidFill>
              <w14:schemeClr w14:val="tx1"/>
            </w14:solidFill>
          </w14:textFill>
        </w:rPr>
        <w:t xml:space="preserve"> </w:t>
      </w:r>
      <w:r>
        <w:rPr>
          <w:b/>
          <w:color w:val="000000" w:themeColor="text1"/>
          <w14:textFill>
            <w14:solidFill>
              <w14:schemeClr w14:val="tx1"/>
            </w14:solidFill>
          </w14:textFill>
        </w:rPr>
        <w:t>(+/-)</w:t>
      </w:r>
      <w:r>
        <w:rPr>
          <w:b/>
          <w:color w:val="000000" w:themeColor="text1"/>
          <w:position w:val="6"/>
          <w:sz w:val="14"/>
          <w14:textFill>
            <w14:solidFill>
              <w14:schemeClr w14:val="tx1"/>
            </w14:solidFill>
          </w14:textFill>
        </w:rPr>
        <w:t>2</w:t>
      </w:r>
    </w:p>
    <w:p>
      <w:pPr>
        <w:pStyle w:val="2"/>
        <w:numPr>
          <w:ilvl w:val="0"/>
          <w:numId w:val="12"/>
        </w:numPr>
        <w:tabs>
          <w:tab w:val="left" w:pos="2262"/>
          <w:tab w:val="left" w:pos="2263"/>
          <w:tab w:val="left" w:pos="9781"/>
        </w:tabs>
        <w:ind w:right="573"/>
        <w:jc w:val="both"/>
        <w:rPr>
          <w:color w:val="000000" w:themeColor="text1"/>
          <w14:textFill>
            <w14:solidFill>
              <w14:schemeClr w14:val="tx1"/>
            </w14:solidFill>
          </w14:textFill>
        </w:rPr>
      </w:pPr>
      <w:r>
        <w:rPr>
          <w:color w:val="000000" w:themeColor="text1"/>
          <w14:textFill>
            <w14:solidFill>
              <w14:schemeClr w14:val="tx1"/>
            </w14:solidFill>
          </w14:textFill>
        </w:rPr>
        <w:t>Zostatok peňažných prostriedkov a peňažných ekvivalentov na konci účtovného obdobia upravený o kurzové rozdiely vyčíslené ku dňu, ku ktorému sa zostavuje účtovná závierka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r>
        <w:rPr>
          <w:color w:val="000000" w:themeColor="text1"/>
          <w:position w:val="6"/>
          <w:sz w:val="14"/>
          <w14:textFill>
            <w14:solidFill>
              <w14:schemeClr w14:val="tx1"/>
            </w14:solidFill>
          </w14:textFill>
        </w:rPr>
        <w:t>2</w:t>
      </w:r>
      <w:r>
        <w:rPr>
          <w:color w:val="000000" w:themeColor="text1"/>
          <w14:textFill>
            <w14:solidFill>
              <w14:schemeClr w14:val="tx1"/>
            </w14:solidFill>
          </w14:textFill>
        </w:rPr>
        <w:t>.</w:t>
      </w:r>
    </w:p>
    <w:p>
      <w:pPr>
        <w:pStyle w:val="5"/>
        <w:tabs>
          <w:tab w:val="left" w:pos="9781"/>
        </w:tabs>
        <w:spacing w:before="11"/>
        <w:jc w:val="both"/>
        <w:rPr>
          <w:b/>
          <w:color w:val="000000" w:themeColor="text1"/>
          <w:sz w:val="21"/>
          <w14:textFill>
            <w14:solidFill>
              <w14:schemeClr w14:val="tx1"/>
            </w14:solidFill>
          </w14:textFill>
        </w:rPr>
      </w:pPr>
    </w:p>
    <w:p>
      <w:pPr>
        <w:pStyle w:val="2"/>
        <w:numPr>
          <w:ilvl w:val="0"/>
          <w:numId w:val="10"/>
        </w:numPr>
        <w:tabs>
          <w:tab w:val="left" w:pos="284"/>
          <w:tab w:val="left" w:pos="9781"/>
        </w:tabs>
        <w:ind w:left="284" w:right="576"/>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prehľade  peňažných  tokov   sa  pri   použití   nepriamej   metódy   vykazovania  peňažných  tokov z prevádzkovej činnosti môžu uvádzať jeho položky v takomto usporiadaní a s týmto označením:</w:t>
      </w:r>
    </w:p>
    <w:p>
      <w:pPr>
        <w:pStyle w:val="5"/>
        <w:tabs>
          <w:tab w:val="left" w:pos="9781"/>
        </w:tabs>
        <w:spacing w:before="1"/>
        <w:jc w:val="both"/>
        <w:rPr>
          <w:b/>
          <w:color w:val="000000" w:themeColor="text1"/>
          <w14:textFill>
            <w14:solidFill>
              <w14:schemeClr w14:val="tx1"/>
            </w14:solidFill>
          </w14:textFill>
        </w:rPr>
      </w:pPr>
    </w:p>
    <w:p>
      <w:pPr>
        <w:pStyle w:val="2"/>
        <w:tabs>
          <w:tab w:val="left" w:pos="2262"/>
          <w:tab w:val="left" w:pos="9781"/>
        </w:tabs>
        <w:ind w:left="498"/>
        <w:jc w:val="both"/>
        <w:rPr>
          <w:color w:val="000000" w:themeColor="text1"/>
          <w14:textFill>
            <w14:solidFill>
              <w14:schemeClr w14:val="tx1"/>
            </w14:solidFill>
          </w14:textFill>
        </w:rPr>
      </w:pPr>
      <w:r>
        <w:rPr>
          <w:color w:val="000000" w:themeColor="text1"/>
          <w14:textFill>
            <w14:solidFill>
              <w14:schemeClr w14:val="tx1"/>
            </w14:solidFill>
          </w14:textFill>
        </w:rPr>
        <w:t>Označenie</w:t>
      </w:r>
      <w:r>
        <w:rPr>
          <w:color w:val="000000" w:themeColor="text1"/>
          <w14:textFill>
            <w14:solidFill>
              <w14:schemeClr w14:val="tx1"/>
            </w14:solidFill>
          </w14:textFill>
        </w:rPr>
        <w:tab/>
      </w:r>
      <w:r>
        <w:rPr>
          <w:color w:val="000000" w:themeColor="text1"/>
          <w14:textFill>
            <w14:solidFill>
              <w14:schemeClr w14:val="tx1"/>
            </w14:solidFill>
          </w14:textFill>
        </w:rPr>
        <w:t>Obsah</w:t>
      </w:r>
    </w:p>
    <w:p>
      <w:pPr>
        <w:tabs>
          <w:tab w:val="left" w:pos="2313"/>
          <w:tab w:val="left" w:pos="9781"/>
        </w:tabs>
        <w:spacing w:before="2" w:after="22"/>
        <w:ind w:left="498"/>
        <w:jc w:val="both"/>
        <w:rPr>
          <w:b/>
          <w:color w:val="000000" w:themeColor="text1"/>
          <w14:textFill>
            <w14:solidFill>
              <w14:schemeClr w14:val="tx1"/>
            </w14:solidFill>
          </w14:textFill>
        </w:rPr>
      </w:pPr>
      <w:r>
        <w:rPr>
          <w:b/>
          <w:color w:val="000000" w:themeColor="text1"/>
          <w14:textFill>
            <w14:solidFill>
              <w14:schemeClr w14:val="tx1"/>
            </w14:solidFill>
          </w14:textFill>
        </w:rPr>
        <w:t>položky</w:t>
      </w:r>
      <w:r>
        <w:rPr>
          <w:b/>
          <w:color w:val="000000" w:themeColor="text1"/>
          <w14:textFill>
            <w14:solidFill>
              <w14:schemeClr w14:val="tx1"/>
            </w14:solidFill>
          </w14:textFill>
        </w:rPr>
        <w:tab/>
      </w:r>
      <w:r>
        <w:rPr>
          <w:b/>
          <w:color w:val="000000" w:themeColor="text1"/>
          <w14:textFill>
            <w14:solidFill>
              <w14:schemeClr w14:val="tx1"/>
            </w14:solidFill>
          </w14:textFill>
        </w:rPr>
        <w:t>položky</w:t>
      </w:r>
    </w:p>
    <w:p>
      <w:pPr>
        <w:pStyle w:val="5"/>
        <w:tabs>
          <w:tab w:val="left" w:pos="9781"/>
        </w:tabs>
        <w:spacing w:line="28" w:lineRule="exact"/>
        <w:ind w:left="110"/>
        <w:jc w:val="both"/>
        <w:rPr>
          <w:color w:val="000000" w:themeColor="text1"/>
          <w:sz w:val="2"/>
          <w14:textFill>
            <w14:solidFill>
              <w14:schemeClr w14:val="tx1"/>
            </w14:solidFill>
          </w14:textFill>
        </w:rPr>
      </w:pPr>
      <w:r>
        <w:rPr>
          <w:color w:val="000000" w:themeColor="text1"/>
          <w:sz w:val="2"/>
          <w:lang w:eastAsia="sk-SK"/>
          <w14:textFill>
            <w14:solidFill>
              <w14:schemeClr w14:val="tx1"/>
            </w14:solidFill>
          </w14:textFill>
        </w:rPr>
        <mc:AlternateContent>
          <mc:Choice Requires="wpg">
            <w:drawing>
              <wp:inline distT="0" distB="0" distL="0" distR="0">
                <wp:extent cx="5798185" cy="18415"/>
                <wp:effectExtent l="0" t="0" r="0" b="0"/>
                <wp:docPr id="9" name="Group 7"/>
                <wp:cNvGraphicFramePr/>
                <a:graphic xmlns:a="http://schemas.openxmlformats.org/drawingml/2006/main">
                  <a:graphicData uri="http://schemas.microsoft.com/office/word/2010/wordprocessingGroup">
                    <wpg:wgp>
                      <wpg:cNvGrpSpPr/>
                      <wpg:grpSpPr>
                        <a:xfrm>
                          <a:off x="0" y="0"/>
                          <a:ext cx="5798185" cy="18415"/>
                          <a:chOff x="0" y="0"/>
                          <a:chExt cx="9131" cy="29"/>
                        </a:xfrm>
                      </wpg:grpSpPr>
                      <wps:wsp>
                        <wps:cNvPr id="10" name="Rectangle 8"/>
                        <wps:cNvSpPr>
                          <a:spLocks noChangeArrowheads="1"/>
                        </wps:cNvSpPr>
                        <wps:spPr bwMode="auto">
                          <a:xfrm>
                            <a:off x="0" y="0"/>
                            <a:ext cx="9131" cy="29"/>
                          </a:xfrm>
                          <a:prstGeom prst="rect">
                            <a:avLst/>
                          </a:prstGeom>
                          <a:solidFill>
                            <a:srgbClr val="000000"/>
                          </a:solidFill>
                          <a:ln>
                            <a:noFill/>
                          </a:ln>
                        </wps:spPr>
                        <wps:bodyPr rot="0" vert="horz" wrap="square" lIns="91440" tIns="45720" rIns="91440" bIns="45720" anchor="t" anchorCtr="0" upright="1">
                          <a:noAutofit/>
                        </wps:bodyPr>
                      </wps:wsp>
                    </wpg:wgp>
                  </a:graphicData>
                </a:graphic>
              </wp:inline>
            </w:drawing>
          </mc:Choice>
          <mc:Fallback>
            <w:pict>
              <v:group id="Group 7" o:spid="_x0000_s1026" o:spt="203" style="height:1.45pt;width:456.55pt;" coordsize="9131,29" o:gfxdata="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rZ7ZatQAAAADAQAADwAAAAAAAAABACAAAAAiAAAAZHJzL2Rvd25yZXYueG1sUEsBAhQAFAAAAAgA&#10;h07iQF80vdFiAgAASQUAAA4AAAAAAAAAAQAgAAAAIwEAAGRycy9lMm9Eb2MueG1sUEsFBgAAAAAG&#10;AAYAWQEAAPcFAAAAAA==&#10;">
                <o:lock v:ext="edit" aspectratio="f"/>
                <v:rect id="Rectangle 8" o:spid="_x0000_s1026" o:spt="1" style="position:absolute;left:0;top:0;height:29;width:9131;" fillcolor="#000000" filled="t" stroked="f" coordsize="21600,21600" o:gfxdata="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acfW2/&#10;AAAA2wAAAA8AAAAAAAAAAQAgAAAAIgAAAGRycy9kb3ducmV2LnhtbFBLAQIUABQAAAAIAIdO4kAz&#10;LwWeOwAAADkAAAAQAAAAAAAAAAEAIAAAAA4BAABkcnMvc2hhcGV4bWwueG1sUEsFBgAAAAAGAAYA&#10;WwEAALgDAAAAAA==&#10;">
                  <v:fill on="t" focussize="0,0"/>
                  <v:stroke on="f"/>
                  <v:imagedata o:title=""/>
                  <o:lock v:ext="edit" aspectratio="f"/>
                </v:rect>
                <w10:wrap type="none"/>
                <w10:anchorlock/>
              </v:group>
            </w:pict>
          </mc:Fallback>
        </mc:AlternateContent>
      </w:r>
    </w:p>
    <w:p>
      <w:pPr>
        <w:pStyle w:val="5"/>
        <w:tabs>
          <w:tab w:val="left" w:pos="9781"/>
        </w:tabs>
        <w:spacing w:before="1"/>
        <w:jc w:val="both"/>
        <w:rPr>
          <w:b/>
          <w:color w:val="000000" w:themeColor="text1"/>
          <w:sz w:val="13"/>
          <w14:textFill>
            <w14:solidFill>
              <w14:schemeClr w14:val="tx1"/>
            </w14:solidFill>
          </w14:textFill>
        </w:rPr>
      </w:pPr>
    </w:p>
    <w:p>
      <w:pPr>
        <w:tabs>
          <w:tab w:val="left" w:pos="9781"/>
        </w:tabs>
        <w:spacing w:before="100" w:line="252" w:lineRule="exact"/>
        <w:ind w:left="846"/>
        <w:jc w:val="both"/>
        <w:rPr>
          <w:b/>
          <w:color w:val="000000" w:themeColor="text1"/>
          <w14:textFill>
            <w14:solidFill>
              <w14:schemeClr w14:val="tx1"/>
            </w14:solidFill>
          </w14:textFill>
        </w:rPr>
      </w:pPr>
      <w:r>
        <w:rPr>
          <w:b/>
          <w:color w:val="000000" w:themeColor="text1"/>
          <w:u w:val="single"/>
          <w14:textFill>
            <w14:solidFill>
              <w14:schemeClr w14:val="tx1"/>
            </w14:solidFill>
          </w14:textFill>
        </w:rPr>
        <w:t>Peňažné toky z prevádzkovej činnosti</w:t>
      </w:r>
    </w:p>
    <w:p>
      <w:pPr>
        <w:pStyle w:val="5"/>
        <w:tabs>
          <w:tab w:val="left" w:pos="2265"/>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Z/S</w:t>
      </w:r>
      <w:r>
        <w:rPr>
          <w:color w:val="000000" w:themeColor="text1"/>
          <w14:textFill>
            <w14:solidFill>
              <w14:schemeClr w14:val="tx1"/>
            </w14:solidFill>
          </w14:textFill>
        </w:rPr>
        <w:tab/>
      </w:r>
      <w:r>
        <w:rPr>
          <w:color w:val="000000" w:themeColor="text1"/>
          <w14:textFill>
            <w14:solidFill>
              <w14:schemeClr w14:val="tx1"/>
            </w14:solidFill>
          </w14:textFill>
        </w:rPr>
        <w:t xml:space="preserve">Výsledok hospodárenia z bežnej činnosti pred zdanením daňou z príjmov </w:t>
      </w:r>
      <w:r>
        <w:rPr>
          <w:color w:val="000000" w:themeColor="text1"/>
          <w:position w:val="6"/>
          <w:sz w:val="14"/>
          <w14:textFill>
            <w14:solidFill>
              <w14:schemeClr w14:val="tx1"/>
            </w14:solidFill>
          </w14:textFill>
        </w:rPr>
        <w:t>3</w:t>
      </w:r>
      <w:r>
        <w:rPr>
          <w:color w:val="000000" w:themeColor="text1"/>
          <w:spacing w:val="-16"/>
          <w:position w:val="6"/>
          <w:sz w:val="14"/>
          <w14:textFill>
            <w14:solidFill>
              <w14:schemeClr w14:val="tx1"/>
            </w14:solidFill>
          </w14:textFill>
        </w:rPr>
        <w:t xml:space="preserve"> </w:t>
      </w:r>
      <w:r>
        <w:rPr>
          <w:color w:val="000000" w:themeColor="text1"/>
          <w14:textFill>
            <w14:solidFill>
              <w14:schemeClr w14:val="tx1"/>
            </w14:solidFill>
          </w14:textFill>
        </w:rPr>
        <w:t>(+/-)</w:t>
      </w:r>
    </w:p>
    <w:p>
      <w:pPr>
        <w:tabs>
          <w:tab w:val="left" w:pos="2265"/>
          <w:tab w:val="left" w:pos="9781"/>
        </w:tabs>
        <w:ind w:left="2265" w:right="851" w:hanging="1407"/>
        <w:jc w:val="both"/>
        <w:rPr>
          <w:i/>
          <w:color w:val="000000" w:themeColor="text1"/>
          <w14:textFill>
            <w14:solidFill>
              <w14:schemeClr w14:val="tx1"/>
            </w14:solidFill>
          </w14:textFill>
        </w:rPr>
      </w:pPr>
      <w:r>
        <w:rPr>
          <w:i/>
          <w:color w:val="000000" w:themeColor="text1"/>
          <w14:textFill>
            <w14:solidFill>
              <w14:schemeClr w14:val="tx1"/>
            </w14:solidFill>
          </w14:textFill>
        </w:rPr>
        <w:t>A.</w:t>
      </w:r>
      <w:r>
        <w:rPr>
          <w:i/>
          <w:color w:val="000000" w:themeColor="text1"/>
          <w:spacing w:val="-1"/>
          <w14:textFill>
            <w14:solidFill>
              <w14:schemeClr w14:val="tx1"/>
            </w14:solidFill>
          </w14:textFill>
        </w:rPr>
        <w:t xml:space="preserve"> </w:t>
      </w:r>
      <w:r>
        <w:rPr>
          <w:i/>
          <w:color w:val="000000" w:themeColor="text1"/>
          <w14:textFill>
            <w14:solidFill>
              <w14:schemeClr w14:val="tx1"/>
            </w14:solidFill>
          </w14:textFill>
        </w:rPr>
        <w:t>1.</w:t>
      </w:r>
      <w:r>
        <w:rPr>
          <w:i/>
          <w:color w:val="000000" w:themeColor="text1"/>
          <w14:textFill>
            <w14:solidFill>
              <w14:schemeClr w14:val="tx1"/>
            </w14:solidFill>
          </w14:textFill>
        </w:rPr>
        <w:tab/>
      </w:r>
      <w:r>
        <w:rPr>
          <w:i/>
          <w:color w:val="000000" w:themeColor="text1"/>
          <w14:textFill>
            <w14:solidFill>
              <w14:schemeClr w14:val="tx1"/>
            </w14:solidFill>
          </w14:textFill>
        </w:rPr>
        <w:t>Nepeňažné operácie ovplyvňujúce výsledok hospodárenia z bežnej činnosti pred zdanením daňou z príjmov (súčet A. 1. 1. až A. 1. 13.)</w:t>
      </w:r>
      <w:r>
        <w:rPr>
          <w:i/>
          <w:color w:val="000000" w:themeColor="text1"/>
          <w:spacing w:val="40"/>
          <w14:textFill>
            <w14:solidFill>
              <w14:schemeClr w14:val="tx1"/>
            </w14:solidFill>
          </w14:textFill>
        </w:rPr>
        <w:t xml:space="preserve"> </w:t>
      </w:r>
      <w:r>
        <w:rPr>
          <w:i/>
          <w:color w:val="000000" w:themeColor="text1"/>
          <w14:textFill>
            <w14:solidFill>
              <w14:schemeClr w14:val="tx1"/>
            </w14:solidFill>
          </w14:textFill>
        </w:rPr>
        <w:t>(+/-)</w:t>
      </w:r>
    </w:p>
    <w:p>
      <w:pPr>
        <w:pStyle w:val="5"/>
        <w:tabs>
          <w:tab w:val="left" w:pos="2265"/>
          <w:tab w:val="left" w:pos="9781"/>
        </w:tabs>
        <w:spacing w:before="1"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1. 1.</w:t>
      </w:r>
      <w:r>
        <w:rPr>
          <w:color w:val="000000" w:themeColor="text1"/>
          <w14:textFill>
            <w14:solidFill>
              <w14:schemeClr w14:val="tx1"/>
            </w14:solidFill>
          </w14:textFill>
        </w:rPr>
        <w:tab/>
      </w:r>
      <w:r>
        <w:rPr>
          <w:color w:val="000000" w:themeColor="text1"/>
          <w14:textFill>
            <w14:solidFill>
              <w14:schemeClr w14:val="tx1"/>
            </w14:solidFill>
          </w14:textFill>
        </w:rPr>
        <w:t xml:space="preserve">Odpisy dlhodobého nehmotného majetku a dlhodobého hmotného majetku </w:t>
      </w:r>
      <w:r>
        <w:rPr>
          <w:color w:val="000000" w:themeColor="text1"/>
          <w:position w:val="6"/>
          <w:sz w:val="14"/>
          <w14:textFill>
            <w14:solidFill>
              <w14:schemeClr w14:val="tx1"/>
            </w14:solidFill>
          </w14:textFill>
        </w:rPr>
        <w:t>4</w:t>
      </w:r>
      <w:r>
        <w:rPr>
          <w:color w:val="000000" w:themeColor="text1"/>
          <w:spacing w:val="-12"/>
          <w:position w:val="6"/>
          <w:sz w:val="1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0" w:hanging="1407"/>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1. 2.</w:t>
      </w:r>
      <w:r>
        <w:rPr>
          <w:color w:val="000000" w:themeColor="text1"/>
          <w14:textFill>
            <w14:solidFill>
              <w14:schemeClr w14:val="tx1"/>
            </w14:solidFill>
          </w14:textFill>
        </w:rPr>
        <w:tab/>
      </w:r>
      <w:r>
        <w:rPr>
          <w:color w:val="000000" w:themeColor="text1"/>
          <w14:textFill>
            <w14:solidFill>
              <w14:schemeClr w14:val="tx1"/>
            </w14:solidFill>
          </w14:textFill>
        </w:rPr>
        <w:t xml:space="preserve">Zostatková hodnota dlhodobého nehmotného majetku a dlhodobého hmotného majetku účtovaná pri vyradení tohto majetku do nákladov na bežnú činnosť, s výnimkou jeho predaja </w:t>
      </w:r>
      <w:r>
        <w:rPr>
          <w:color w:val="000000" w:themeColor="text1"/>
          <w:position w:val="6"/>
          <w:sz w:val="14"/>
          <w14:textFill>
            <w14:solidFill>
              <w14:schemeClr w14:val="tx1"/>
            </w14:solidFill>
          </w14:textFill>
        </w:rPr>
        <w:t>5</w:t>
      </w:r>
      <w:r>
        <w:rPr>
          <w:color w:val="000000" w:themeColor="text1"/>
          <w:spacing w:val="-3"/>
          <w:position w:val="6"/>
          <w:sz w:val="1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1. 3.</w:t>
      </w:r>
      <w:r>
        <w:rPr>
          <w:color w:val="000000" w:themeColor="text1"/>
          <w14:textFill>
            <w14:solidFill>
              <w14:schemeClr w14:val="tx1"/>
            </w14:solidFill>
          </w14:textFill>
        </w:rPr>
        <w:tab/>
      </w:r>
      <w:r>
        <w:rPr>
          <w:color w:val="000000" w:themeColor="text1"/>
          <w14:textFill>
            <w14:solidFill>
              <w14:schemeClr w14:val="tx1"/>
            </w14:solidFill>
          </w14:textFill>
        </w:rPr>
        <w:t xml:space="preserve">Odpis opravnej položky k nadobudnutému majetku </w:t>
      </w:r>
      <w:r>
        <w:rPr>
          <w:color w:val="000000" w:themeColor="text1"/>
          <w:position w:val="6"/>
          <w:sz w:val="14"/>
          <w14:textFill>
            <w14:solidFill>
              <w14:schemeClr w14:val="tx1"/>
            </w14:solidFill>
          </w14:textFill>
        </w:rPr>
        <w:t>6</w:t>
      </w:r>
      <w:r>
        <w:rPr>
          <w:color w:val="000000" w:themeColor="text1"/>
          <w:spacing w:val="14"/>
          <w:position w:val="6"/>
          <w:sz w:val="1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2"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1. 4.</w:t>
      </w:r>
      <w:r>
        <w:rPr>
          <w:color w:val="000000" w:themeColor="text1"/>
          <w14:textFill>
            <w14:solidFill>
              <w14:schemeClr w14:val="tx1"/>
            </w14:solidFill>
          </w14:textFill>
        </w:rPr>
        <w:tab/>
      </w:r>
      <w:r>
        <w:rPr>
          <w:color w:val="000000" w:themeColor="text1"/>
          <w14:textFill>
            <w14:solidFill>
              <w14:schemeClr w14:val="tx1"/>
            </w14:solidFill>
          </w14:textFill>
        </w:rPr>
        <w:t xml:space="preserve">Zmena stavu dlhodobých rezerv </w:t>
      </w:r>
      <w:r>
        <w:rPr>
          <w:color w:val="000000" w:themeColor="text1"/>
          <w:position w:val="6"/>
          <w:sz w:val="14"/>
          <w14:textFill>
            <w14:solidFill>
              <w14:schemeClr w14:val="tx1"/>
            </w14:solidFill>
          </w14:textFill>
        </w:rPr>
        <w:t>7</w:t>
      </w:r>
      <w:r>
        <w:rPr>
          <w:color w:val="000000" w:themeColor="text1"/>
          <w:spacing w:val="-6"/>
          <w:position w:val="6"/>
          <w:sz w:val="1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1. 5.</w:t>
      </w:r>
      <w:r>
        <w:rPr>
          <w:color w:val="000000" w:themeColor="text1"/>
          <w14:textFill>
            <w14:solidFill>
              <w14:schemeClr w14:val="tx1"/>
            </w14:solidFill>
          </w14:textFill>
        </w:rPr>
        <w:tab/>
      </w:r>
      <w:r>
        <w:rPr>
          <w:color w:val="000000" w:themeColor="text1"/>
          <w14:textFill>
            <w14:solidFill>
              <w14:schemeClr w14:val="tx1"/>
            </w14:solidFill>
          </w14:textFill>
        </w:rPr>
        <w:t xml:space="preserve">Zmena stavu opravných položiek </w:t>
      </w:r>
      <w:r>
        <w:rPr>
          <w:color w:val="000000" w:themeColor="text1"/>
          <w:position w:val="6"/>
          <w:sz w:val="14"/>
          <w14:textFill>
            <w14:solidFill>
              <w14:schemeClr w14:val="tx1"/>
            </w14:solidFill>
          </w14:textFill>
        </w:rPr>
        <w:t>8</w:t>
      </w:r>
      <w:r>
        <w:rPr>
          <w:color w:val="000000" w:themeColor="text1"/>
          <w:spacing w:val="13"/>
          <w:position w:val="6"/>
          <w:sz w:val="1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7"/>
          <w:tab w:val="left" w:pos="9781"/>
        </w:tabs>
        <w:spacing w:line="252" w:lineRule="exact"/>
        <w:ind w:left="827"/>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1. 6.</w:t>
      </w:r>
      <w:r>
        <w:rPr>
          <w:color w:val="000000" w:themeColor="text1"/>
          <w14:textFill>
            <w14:solidFill>
              <w14:schemeClr w14:val="tx1"/>
            </w14:solidFill>
          </w14:textFill>
        </w:rPr>
        <w:tab/>
      </w:r>
      <w:r>
        <w:rPr>
          <w:color w:val="000000" w:themeColor="text1"/>
          <w14:textFill>
            <w14:solidFill>
              <w14:schemeClr w14:val="tx1"/>
            </w14:solidFill>
          </w14:textFill>
        </w:rPr>
        <w:t xml:space="preserve">Zmena stavu položiek časového rozlíšenia nákladov a výnosov </w:t>
      </w:r>
      <w:r>
        <w:rPr>
          <w:color w:val="000000" w:themeColor="text1"/>
          <w:position w:val="6"/>
          <w:sz w:val="14"/>
          <w14:textFill>
            <w14:solidFill>
              <w14:schemeClr w14:val="tx1"/>
            </w14:solidFill>
          </w14:textFill>
        </w:rPr>
        <w:t>9</w:t>
      </w:r>
      <w:r>
        <w:rPr>
          <w:color w:val="000000" w:themeColor="text1"/>
          <w:spacing w:val="8"/>
          <w:position w:val="6"/>
          <w:sz w:val="1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1. 7.</w:t>
      </w:r>
      <w:r>
        <w:rPr>
          <w:color w:val="000000" w:themeColor="text1"/>
          <w14:textFill>
            <w14:solidFill>
              <w14:schemeClr w14:val="tx1"/>
            </w14:solidFill>
          </w14:textFill>
        </w:rPr>
        <w:tab/>
      </w:r>
      <w:r>
        <w:rPr>
          <w:color w:val="000000" w:themeColor="text1"/>
          <w14:textFill>
            <w14:solidFill>
              <w14:schemeClr w14:val="tx1"/>
            </w14:solidFill>
          </w14:textFill>
        </w:rPr>
        <w:t xml:space="preserve">Dividendy a iné podiely na zisku účtované do výnosov </w:t>
      </w:r>
      <w:r>
        <w:rPr>
          <w:color w:val="000000" w:themeColor="text1"/>
          <w:position w:val="6"/>
          <w:sz w:val="14"/>
          <w14:textFill>
            <w14:solidFill>
              <w14:schemeClr w14:val="tx1"/>
            </w14:solidFill>
          </w14:textFill>
        </w:rPr>
        <w:t>10</w:t>
      </w:r>
      <w:r>
        <w:rPr>
          <w:color w:val="000000" w:themeColor="text1"/>
          <w:spacing w:val="11"/>
          <w:position w:val="6"/>
          <w:sz w:val="1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1. 8.</w:t>
      </w:r>
      <w:r>
        <w:rPr>
          <w:color w:val="000000" w:themeColor="text1"/>
          <w14:textFill>
            <w14:solidFill>
              <w14:schemeClr w14:val="tx1"/>
            </w14:solidFill>
          </w14:textFill>
        </w:rPr>
        <w:tab/>
      </w:r>
      <w:r>
        <w:rPr>
          <w:color w:val="000000" w:themeColor="text1"/>
          <w14:textFill>
            <w14:solidFill>
              <w14:schemeClr w14:val="tx1"/>
            </w14:solidFill>
          </w14:textFill>
        </w:rPr>
        <w:t xml:space="preserve">Úroky účtované do nákladov </w:t>
      </w:r>
      <w:r>
        <w:rPr>
          <w:color w:val="000000" w:themeColor="text1"/>
          <w:position w:val="6"/>
          <w:sz w:val="14"/>
          <w14:textFill>
            <w14:solidFill>
              <w14:schemeClr w14:val="tx1"/>
            </w14:solidFill>
          </w14:textFill>
        </w:rPr>
        <w:t>11</w:t>
      </w:r>
      <w:r>
        <w:rPr>
          <w:color w:val="000000" w:themeColor="text1"/>
          <w:spacing w:val="19"/>
          <w:position w:val="6"/>
          <w:sz w:val="1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spacing w:before="2"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1. 9.</w:t>
      </w:r>
      <w:r>
        <w:rPr>
          <w:color w:val="000000" w:themeColor="text1"/>
          <w14:textFill>
            <w14:solidFill>
              <w14:schemeClr w14:val="tx1"/>
            </w14:solidFill>
          </w14:textFill>
        </w:rPr>
        <w:tab/>
      </w:r>
      <w:r>
        <w:rPr>
          <w:color w:val="000000" w:themeColor="text1"/>
          <w14:textFill>
            <w14:solidFill>
              <w14:schemeClr w14:val="tx1"/>
            </w14:solidFill>
          </w14:textFill>
        </w:rPr>
        <w:t xml:space="preserve">Úroky účtované do výnosov </w:t>
      </w:r>
      <w:r>
        <w:rPr>
          <w:color w:val="000000" w:themeColor="text1"/>
          <w:position w:val="6"/>
          <w:sz w:val="14"/>
          <w14:textFill>
            <w14:solidFill>
              <w14:schemeClr w14:val="tx1"/>
            </w14:solidFill>
          </w14:textFill>
        </w:rPr>
        <w:t>12</w:t>
      </w:r>
      <w:r>
        <w:rPr>
          <w:color w:val="000000" w:themeColor="text1"/>
          <w:spacing w:val="18"/>
          <w:position w:val="6"/>
          <w:sz w:val="1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3" w:hanging="1419"/>
        <w:jc w:val="both"/>
        <w:rPr>
          <w:color w:val="000000" w:themeColor="text1"/>
          <w:sz w:val="14"/>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1.10.</w:t>
      </w:r>
      <w:r>
        <w:rPr>
          <w:color w:val="000000" w:themeColor="text1"/>
          <w14:textFill>
            <w14:solidFill>
              <w14:schemeClr w14:val="tx1"/>
            </w14:solidFill>
          </w14:textFill>
        </w:rPr>
        <w:tab/>
      </w:r>
      <w:r>
        <w:rPr>
          <w:color w:val="000000" w:themeColor="text1"/>
          <w14:textFill>
            <w14:solidFill>
              <w14:schemeClr w14:val="tx1"/>
            </w14:solidFill>
          </w14:textFill>
        </w:rPr>
        <w:t>Kurzový zisk vyčíslený k peňažným prostriedkom a peňažným ekvivalentom ku dňu, ku ktorému sa zostavuje účtovná závierka</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w:t>
      </w:r>
      <w:r>
        <w:rPr>
          <w:color w:val="000000" w:themeColor="text1"/>
          <w:position w:val="6"/>
          <w:sz w:val="14"/>
          <w14:textFill>
            <w14:solidFill>
              <w14:schemeClr w14:val="tx1"/>
            </w14:solidFill>
          </w14:textFill>
        </w:rPr>
        <w:t>13</w:t>
      </w:r>
    </w:p>
    <w:p>
      <w:pPr>
        <w:pStyle w:val="5"/>
        <w:tabs>
          <w:tab w:val="left" w:pos="2265"/>
          <w:tab w:val="left" w:pos="9781"/>
        </w:tabs>
        <w:ind w:left="2265" w:right="574" w:hanging="1407"/>
        <w:jc w:val="both"/>
        <w:rPr>
          <w:color w:val="000000" w:themeColor="text1"/>
          <w:sz w:val="14"/>
          <w14:textFill>
            <w14:solidFill>
              <w14:schemeClr w14:val="tx1"/>
            </w14:solidFill>
          </w14:textFill>
        </w:rPr>
      </w:pPr>
      <w:r>
        <w:rPr>
          <w:color w:val="000000" w:themeColor="text1"/>
          <w14:textFill>
            <w14:solidFill>
              <w14:schemeClr w14:val="tx1"/>
            </w14:solidFill>
          </w14:textFill>
        </w:rPr>
        <w:t>A. 1. 11.</w:t>
      </w:r>
      <w:r>
        <w:rPr>
          <w:color w:val="000000" w:themeColor="text1"/>
          <w14:textFill>
            <w14:solidFill>
              <w14:schemeClr w14:val="tx1"/>
            </w14:solidFill>
          </w14:textFill>
        </w:rPr>
        <w:tab/>
      </w:r>
      <w:r>
        <w:rPr>
          <w:color w:val="000000" w:themeColor="text1"/>
          <w14:textFill>
            <w14:solidFill>
              <w14:schemeClr w14:val="tx1"/>
            </w14:solidFill>
          </w14:textFill>
        </w:rPr>
        <w:t>Kurzová strata vyčíslená k peňažným prostriedkom a peňažným ekvivalentom ku dňu, ku ktorému sa zostavuje účtovná závierka (+)</w:t>
      </w:r>
      <w:r>
        <w:rPr>
          <w:color w:val="000000" w:themeColor="text1"/>
          <w:spacing w:val="-24"/>
          <w14:textFill>
            <w14:solidFill>
              <w14:schemeClr w14:val="tx1"/>
            </w14:solidFill>
          </w14:textFill>
        </w:rPr>
        <w:t xml:space="preserve"> </w:t>
      </w:r>
      <w:r>
        <w:rPr>
          <w:color w:val="000000" w:themeColor="text1"/>
          <w:position w:val="6"/>
          <w:sz w:val="14"/>
          <w14:textFill>
            <w14:solidFill>
              <w14:schemeClr w14:val="tx1"/>
            </w14:solidFill>
          </w14:textFill>
        </w:rPr>
        <w:t>14</w:t>
      </w:r>
    </w:p>
    <w:p>
      <w:pPr>
        <w:pStyle w:val="5"/>
        <w:tabs>
          <w:tab w:val="left" w:pos="2265"/>
          <w:tab w:val="left" w:pos="9781"/>
        </w:tabs>
        <w:spacing w:line="242" w:lineRule="auto"/>
        <w:ind w:left="2265" w:right="573" w:hanging="1407"/>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1. 12.</w:t>
      </w:r>
      <w:r>
        <w:rPr>
          <w:color w:val="000000" w:themeColor="text1"/>
          <w14:textFill>
            <w14:solidFill>
              <w14:schemeClr w14:val="tx1"/>
            </w14:solidFill>
          </w14:textFill>
        </w:rPr>
        <w:tab/>
      </w:r>
      <w:r>
        <w:rPr>
          <w:color w:val="000000" w:themeColor="text1"/>
          <w14:textFill>
            <w14:solidFill>
              <w14:schemeClr w14:val="tx1"/>
            </w14:solidFill>
          </w14:textFill>
        </w:rPr>
        <w:t xml:space="preserve">Výsledok z predaja dlhodobého majetku, s výnimkou majetku, ktorý sa považuje za peňažný ekvivalent </w:t>
      </w:r>
      <w:r>
        <w:rPr>
          <w:color w:val="000000" w:themeColor="text1"/>
          <w:position w:val="6"/>
          <w:sz w:val="14"/>
          <w14:textFill>
            <w14:solidFill>
              <w14:schemeClr w14:val="tx1"/>
            </w14:solidFill>
          </w14:textFill>
        </w:rPr>
        <w:t>15</w:t>
      </w:r>
      <w:r>
        <w:rPr>
          <w:color w:val="000000" w:themeColor="text1"/>
          <w:spacing w:val="17"/>
          <w:position w:val="6"/>
          <w:sz w:val="1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69" w:hanging="1407"/>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1. 13.</w:t>
      </w:r>
      <w:r>
        <w:rPr>
          <w:color w:val="000000" w:themeColor="text1"/>
          <w14:textFill>
            <w14:solidFill>
              <w14:schemeClr w14:val="tx1"/>
            </w14:solidFill>
          </w14:textFill>
        </w:rPr>
        <w:tab/>
      </w:r>
      <w:r>
        <w:rPr>
          <w:color w:val="000000" w:themeColor="text1"/>
          <w14:textFill>
            <w14:solidFill>
              <w14:schemeClr w14:val="tx1"/>
            </w14:solidFill>
          </w14:textFill>
        </w:rPr>
        <w:t>Ostatné položky nepeňažného charakteru, ktoré ovplyvňujú výsledok hospodárenia     z bežnej činnosti, s výnimkou tých, ktoré sa uvádzajú osobitne v iných častiach prehľadu peňažných tokov</w:t>
      </w:r>
      <w:r>
        <w:rPr>
          <w:color w:val="000000" w:themeColor="text1"/>
          <w:spacing w:val="48"/>
          <w14:textFill>
            <w14:solidFill>
              <w14:schemeClr w14:val="tx1"/>
            </w14:solidFill>
          </w14:textFill>
        </w:rPr>
        <w:t xml:space="preserve"> </w:t>
      </w:r>
      <w:r>
        <w:rPr>
          <w:color w:val="000000" w:themeColor="text1"/>
          <w14:textFill>
            <w14:solidFill>
              <w14:schemeClr w14:val="tx1"/>
            </w14:solidFill>
          </w14:textFill>
        </w:rPr>
        <w:t>(+/-)</w:t>
      </w:r>
    </w:p>
    <w:p>
      <w:pPr>
        <w:tabs>
          <w:tab w:val="left" w:pos="2265"/>
          <w:tab w:val="left" w:pos="9781"/>
        </w:tabs>
        <w:ind w:left="2265" w:right="574" w:hanging="1407"/>
        <w:jc w:val="both"/>
        <w:rPr>
          <w:i/>
          <w:color w:val="000000" w:themeColor="text1"/>
          <w14:textFill>
            <w14:solidFill>
              <w14:schemeClr w14:val="tx1"/>
            </w14:solidFill>
          </w14:textFill>
        </w:rPr>
      </w:pPr>
      <w:r>
        <w:rPr>
          <w:i/>
          <w:color w:val="000000" w:themeColor="text1"/>
          <w14:textFill>
            <w14:solidFill>
              <w14:schemeClr w14:val="tx1"/>
            </w14:solidFill>
          </w14:textFill>
        </w:rPr>
        <w:t>A.</w:t>
      </w:r>
      <w:r>
        <w:rPr>
          <w:i/>
          <w:color w:val="000000" w:themeColor="text1"/>
          <w:spacing w:val="-1"/>
          <w14:textFill>
            <w14:solidFill>
              <w14:schemeClr w14:val="tx1"/>
            </w14:solidFill>
          </w14:textFill>
        </w:rPr>
        <w:t xml:space="preserve"> </w:t>
      </w:r>
      <w:r>
        <w:rPr>
          <w:i/>
          <w:color w:val="000000" w:themeColor="text1"/>
          <w14:textFill>
            <w14:solidFill>
              <w14:schemeClr w14:val="tx1"/>
            </w14:solidFill>
          </w14:textFill>
        </w:rPr>
        <w:t>2.</w:t>
      </w:r>
      <w:r>
        <w:rPr>
          <w:i/>
          <w:color w:val="000000" w:themeColor="text1"/>
          <w14:textFill>
            <w14:solidFill>
              <w14:schemeClr w14:val="tx1"/>
            </w14:solidFill>
          </w14:textFill>
        </w:rPr>
        <w:tab/>
      </w:r>
      <w:r>
        <w:rPr>
          <w:i/>
          <w:color w:val="000000" w:themeColor="text1"/>
          <w14:textFill>
            <w14:solidFill>
              <w14:schemeClr w14:val="tx1"/>
            </w14:solidFill>
          </w14:textFill>
        </w:rPr>
        <w:t>Vplyv zmien stavu pracovného kapitálu,</w:t>
      </w:r>
      <w:r>
        <w:rPr>
          <w:i/>
          <w:color w:val="000000" w:themeColor="text1"/>
          <w:position w:val="6"/>
          <w:sz w:val="14"/>
          <w14:textFill>
            <w14:solidFill>
              <w14:schemeClr w14:val="tx1"/>
            </w14:solidFill>
          </w14:textFill>
        </w:rPr>
        <w:t xml:space="preserve">16 </w:t>
      </w:r>
      <w:r>
        <w:rPr>
          <w:i/>
          <w:color w:val="000000" w:themeColor="text1"/>
          <w14:textFill>
            <w14:solidFill>
              <w14:schemeClr w14:val="tx1"/>
            </w14:solidFill>
          </w14:textFill>
        </w:rPr>
        <w:t>ktorým sa účely tohto opatrenia rozumie rozdiel medzi obežným majetkom a krátkodobými záväzkami s výnimkou</w:t>
      </w:r>
      <w:r>
        <w:rPr>
          <w:i/>
          <w:color w:val="000000" w:themeColor="text1"/>
          <w:spacing w:val="36"/>
          <w14:textFill>
            <w14:solidFill>
              <w14:schemeClr w14:val="tx1"/>
            </w14:solidFill>
          </w14:textFill>
        </w:rPr>
        <w:t xml:space="preserve"> </w:t>
      </w:r>
      <w:r>
        <w:rPr>
          <w:i/>
          <w:color w:val="000000" w:themeColor="text1"/>
          <w14:textFill>
            <w14:solidFill>
              <w14:schemeClr w14:val="tx1"/>
            </w14:solidFill>
          </w14:textFill>
        </w:rPr>
        <w:t>položiek obežného majetku, ktoré sú súčasťou peňažných prostriedkov a peňažných ekvivalentov, na výsledok hospodárenia z bežnej činnosti (súčet A. 2. 1. až A. 2. 4.)</w:t>
      </w:r>
    </w:p>
    <w:p>
      <w:pPr>
        <w:pStyle w:val="5"/>
        <w:tabs>
          <w:tab w:val="left" w:pos="2265"/>
          <w:tab w:val="left" w:pos="9781"/>
        </w:tabs>
        <w:spacing w:line="251"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2. 1.</w:t>
      </w:r>
      <w:r>
        <w:rPr>
          <w:color w:val="000000" w:themeColor="text1"/>
          <w14:textFill>
            <w14:solidFill>
              <w14:schemeClr w14:val="tx1"/>
            </w14:solidFill>
          </w14:textFill>
        </w:rPr>
        <w:tab/>
      </w:r>
      <w:r>
        <w:rPr>
          <w:color w:val="000000" w:themeColor="text1"/>
          <w14:textFill>
            <w14:solidFill>
              <w14:schemeClr w14:val="tx1"/>
            </w14:solidFill>
          </w14:textFill>
        </w:rPr>
        <w:t>Zmena stavu pohľadávok z prevádzkovej činnosti</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2. 2.</w:t>
      </w:r>
      <w:r>
        <w:rPr>
          <w:color w:val="000000" w:themeColor="text1"/>
          <w14:textFill>
            <w14:solidFill>
              <w14:schemeClr w14:val="tx1"/>
            </w14:solidFill>
          </w14:textFill>
        </w:rPr>
        <w:tab/>
      </w:r>
      <w:r>
        <w:rPr>
          <w:color w:val="000000" w:themeColor="text1"/>
          <w14:textFill>
            <w14:solidFill>
              <w14:schemeClr w14:val="tx1"/>
            </w14:solidFill>
          </w14:textFill>
        </w:rPr>
        <w:t>Zmena stavu záväzkov z prevádzkovej činnosti</w:t>
      </w:r>
      <w:r>
        <w:rPr>
          <w:color w:val="000000" w:themeColor="text1"/>
          <w:spacing w:val="-10"/>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2"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2. 3.</w:t>
      </w:r>
      <w:r>
        <w:rPr>
          <w:color w:val="000000" w:themeColor="text1"/>
          <w14:textFill>
            <w14:solidFill>
              <w14:schemeClr w14:val="tx1"/>
            </w14:solidFill>
          </w14:textFill>
        </w:rPr>
        <w:tab/>
      </w:r>
      <w:r>
        <w:rPr>
          <w:color w:val="000000" w:themeColor="text1"/>
          <w14:textFill>
            <w14:solidFill>
              <w14:schemeClr w14:val="tx1"/>
            </w14:solidFill>
          </w14:textFill>
        </w:rPr>
        <w:t>Zmena stavu zásob</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851" w:hanging="1419"/>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2. 4.</w:t>
      </w:r>
      <w:r>
        <w:rPr>
          <w:color w:val="000000" w:themeColor="text1"/>
          <w14:textFill>
            <w14:solidFill>
              <w14:schemeClr w14:val="tx1"/>
            </w14:solidFill>
          </w14:textFill>
        </w:rPr>
        <w:tab/>
      </w:r>
      <w:r>
        <w:rPr>
          <w:color w:val="000000" w:themeColor="text1"/>
          <w14:textFill>
            <w14:solidFill>
              <w14:schemeClr w14:val="tx1"/>
            </w14:solidFill>
          </w14:textFill>
        </w:rPr>
        <w:t>Zmena stavu krátkodobého finančného majetku, s výnimkou majetku, ktorý je súčasťou peňažných prostriedkov a peňažných ekvivalentov</w:t>
      </w:r>
      <w:r>
        <w:rPr>
          <w:color w:val="000000" w:themeColor="text1"/>
          <w:spacing w:val="-12"/>
          <w14:textFill>
            <w14:solidFill>
              <w14:schemeClr w14:val="tx1"/>
            </w14:solidFill>
          </w14:textFill>
        </w:rPr>
        <w:t xml:space="preserve"> </w:t>
      </w:r>
      <w:r>
        <w:rPr>
          <w:color w:val="000000" w:themeColor="text1"/>
          <w14:textFill>
            <w14:solidFill>
              <w14:schemeClr w14:val="tx1"/>
            </w14:solidFill>
          </w14:textFill>
        </w:rPr>
        <w:t>(-/+)</w:t>
      </w:r>
    </w:p>
    <w:p>
      <w:pPr>
        <w:tabs>
          <w:tab w:val="left" w:pos="9781"/>
        </w:tabs>
        <w:ind w:left="2262"/>
        <w:jc w:val="both"/>
        <w:rPr>
          <w:b/>
          <w:i/>
          <w:color w:val="000000" w:themeColor="text1"/>
          <w14:textFill>
            <w14:solidFill>
              <w14:schemeClr w14:val="tx1"/>
            </w14:solidFill>
          </w14:textFill>
        </w:rPr>
      </w:pPr>
      <w:r>
        <w:rPr>
          <w:b/>
          <w:i/>
          <w:color w:val="000000" w:themeColor="text1"/>
          <w14:textFill>
            <w14:solidFill>
              <w14:schemeClr w14:val="tx1"/>
            </w14:solidFill>
          </w14:textFill>
        </w:rPr>
        <w:t>Peňažné toky z prevádzkovej činnosti s výnimkou príjmov a výdavkov, ktoré sa uvádzajú osobitne v iných častiach prehľadu peňažných tokov (+/-), (súčet Z/S</w:t>
      </w:r>
    </w:p>
    <w:p>
      <w:pPr>
        <w:tabs>
          <w:tab w:val="left" w:pos="9781"/>
        </w:tabs>
        <w:spacing w:line="252" w:lineRule="exact"/>
        <w:ind w:left="2262"/>
        <w:jc w:val="both"/>
        <w:rPr>
          <w:b/>
          <w:i/>
          <w:color w:val="000000" w:themeColor="text1"/>
          <w14:textFill>
            <w14:solidFill>
              <w14:schemeClr w14:val="tx1"/>
            </w14:solidFill>
          </w14:textFill>
        </w:rPr>
      </w:pPr>
      <w:r>
        <w:rPr>
          <w:b/>
          <w:i/>
          <w:color w:val="000000" w:themeColor="text1"/>
          <w14:textFill>
            <w14:solidFill>
              <w14:schemeClr w14:val="tx1"/>
            </w14:solidFill>
          </w14:textFill>
        </w:rPr>
        <w:t>+ A1 + A2)</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3.</w:t>
      </w:r>
      <w:r>
        <w:rPr>
          <w:color w:val="000000" w:themeColor="text1"/>
          <w14:textFill>
            <w14:solidFill>
              <w14:schemeClr w14:val="tx1"/>
            </w14:solidFill>
          </w14:textFill>
        </w:rPr>
        <w:tab/>
      </w:r>
      <w:r>
        <w:rPr>
          <w:color w:val="000000" w:themeColor="text1"/>
          <w14:textFill>
            <w14:solidFill>
              <w14:schemeClr w14:val="tx1"/>
            </w14:solidFill>
          </w14:textFill>
        </w:rPr>
        <w:t>Prijaté úroky, s výnimkou tých, ktoré sa začleňujú do investičných činností</w:t>
      </w:r>
      <w:r>
        <w:rPr>
          <w:color w:val="000000" w:themeColor="text1"/>
          <w:spacing w:val="-1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85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4.</w:t>
      </w:r>
      <w:r>
        <w:rPr>
          <w:color w:val="000000" w:themeColor="text1"/>
          <w14:textFill>
            <w14:solidFill>
              <w14:schemeClr w14:val="tx1"/>
            </w14:solidFill>
          </w14:textFill>
        </w:rPr>
        <w:tab/>
      </w:r>
      <w:r>
        <w:rPr>
          <w:color w:val="000000" w:themeColor="text1"/>
          <w14:textFill>
            <w14:solidFill>
              <w14:schemeClr w14:val="tx1"/>
            </w14:solidFill>
          </w14:textFill>
        </w:rPr>
        <w:t>Výdavky na zaplatené úroky, s výnimkou tých, ktoré sa začleňujú do finančných činností</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85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5.</w:t>
      </w:r>
      <w:r>
        <w:rPr>
          <w:color w:val="000000" w:themeColor="text1"/>
          <w14:textFill>
            <w14:solidFill>
              <w14:schemeClr w14:val="tx1"/>
            </w14:solidFill>
          </w14:textFill>
        </w:rPr>
        <w:tab/>
      </w:r>
      <w:r>
        <w:rPr>
          <w:color w:val="000000" w:themeColor="text1"/>
          <w14:textFill>
            <w14:solidFill>
              <w14:schemeClr w14:val="tx1"/>
            </w14:solidFill>
          </w14:textFill>
        </w:rPr>
        <w:t>Príjmy z dividend a iných podielov na zisku, s výnimkou tých, ktoré sa začleňujú do investičných činností</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1"/>
        <w:ind w:left="2262" w:right="85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6.</w:t>
      </w:r>
      <w:r>
        <w:rPr>
          <w:color w:val="000000" w:themeColor="text1"/>
          <w14:textFill>
            <w14:solidFill>
              <w14:schemeClr w14:val="tx1"/>
            </w14:solidFill>
          </w14:textFill>
        </w:rPr>
        <w:tab/>
      </w:r>
      <w:r>
        <w:rPr>
          <w:color w:val="000000" w:themeColor="text1"/>
          <w14:textFill>
            <w14:solidFill>
              <w14:schemeClr w14:val="tx1"/>
            </w14:solidFill>
          </w14:textFill>
        </w:rPr>
        <w:t>Výdavky na vyplatené dividendy a iné podiely na zisku, s výnimkou tých, ktoré sa začleňujú do finančných činností</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p>
    <w:p>
      <w:pPr>
        <w:tabs>
          <w:tab w:val="left" w:pos="9781"/>
        </w:tabs>
        <w:spacing w:line="251" w:lineRule="exact"/>
        <w:ind w:left="2262"/>
        <w:jc w:val="both"/>
        <w:rPr>
          <w:b/>
          <w:i/>
          <w:color w:val="000000" w:themeColor="text1"/>
          <w14:textFill>
            <w14:solidFill>
              <w14:schemeClr w14:val="tx1"/>
            </w14:solidFill>
          </w14:textFill>
        </w:rPr>
      </w:pPr>
      <w:r>
        <w:rPr>
          <w:b/>
          <w:i/>
          <w:color w:val="000000" w:themeColor="text1"/>
          <w14:textFill>
            <w14:solidFill>
              <w14:schemeClr w14:val="tx1"/>
            </w14:solidFill>
          </w14:textFill>
        </w:rPr>
        <w:t>Peňažné toky z prevádzkovej činnosti (+/-), (súčet Z/S + A1. až A. 6.)</w:t>
      </w:r>
    </w:p>
    <w:p>
      <w:pPr>
        <w:pStyle w:val="5"/>
        <w:tabs>
          <w:tab w:val="left" w:pos="2262"/>
          <w:tab w:val="left" w:pos="9781"/>
        </w:tabs>
        <w:ind w:left="2262" w:right="62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7.</w:t>
      </w:r>
      <w:r>
        <w:rPr>
          <w:color w:val="000000" w:themeColor="text1"/>
          <w14:textFill>
            <w14:solidFill>
              <w14:schemeClr w14:val="tx1"/>
            </w14:solidFill>
          </w14:textFill>
        </w:rPr>
        <w:tab/>
      </w:r>
      <w:r>
        <w:rPr>
          <w:color w:val="000000" w:themeColor="text1"/>
          <w14:textFill>
            <w14:solidFill>
              <w14:schemeClr w14:val="tx1"/>
            </w14:solidFill>
          </w14:textFill>
        </w:rPr>
        <w:t>Výdavky na daň z príjmov účtovnej jednotky, s výnimkou tých, ktoré sa začleňujú do investičných činností alebo finančných činností</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w:t>
      </w:r>
    </w:p>
    <w:p>
      <w:pPr>
        <w:tabs>
          <w:tab w:val="left" w:pos="2262"/>
          <w:tab w:val="left" w:pos="9781"/>
        </w:tabs>
        <w:spacing w:before="2"/>
        <w:ind w:left="2262" w:right="621" w:hanging="1416"/>
        <w:jc w:val="both"/>
        <w:rPr>
          <w:color w:val="000000" w:themeColor="text1"/>
          <w14:textFill>
            <w14:solidFill>
              <w14:schemeClr w14:val="tx1"/>
            </w14:solidFill>
          </w14:textFill>
        </w:rPr>
      </w:pPr>
      <w:r>
        <w:rPr>
          <w:color w:val="000000" w:themeColor="text1"/>
          <w14:textFill>
            <w14:solidFill>
              <w14:schemeClr w14:val="tx1"/>
            </w14:solidFill>
          </w14:textFill>
        </w:rPr>
        <w:t>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8.</w:t>
      </w:r>
      <w:r>
        <w:rPr>
          <w:color w:val="000000" w:themeColor="text1"/>
          <w14:textFill>
            <w14:solidFill>
              <w14:schemeClr w14:val="tx1"/>
            </w14:solidFill>
          </w14:textFill>
        </w:rPr>
        <w:tab/>
      </w:r>
      <w:r>
        <w:rPr>
          <w:color w:val="000000" w:themeColor="text1"/>
          <w14:textFill>
            <w14:solidFill>
              <w14:schemeClr w14:val="tx1"/>
            </w14:solidFill>
          </w14:textFill>
        </w:rPr>
        <w:t xml:space="preserve">Príjmy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prevádzkovú činnosť (+)</w:t>
      </w:r>
    </w:p>
    <w:p>
      <w:pPr>
        <w:pStyle w:val="10"/>
        <w:numPr>
          <w:ilvl w:val="0"/>
          <w:numId w:val="13"/>
        </w:numPr>
        <w:tabs>
          <w:tab w:val="left" w:pos="1068"/>
          <w:tab w:val="left" w:pos="2262"/>
          <w:tab w:val="left" w:pos="9781"/>
        </w:tabs>
        <w:ind w:right="572" w:hanging="1416"/>
        <w:jc w:val="both"/>
        <w:rPr>
          <w:color w:val="000000" w:themeColor="text1"/>
          <w14:textFill>
            <w14:solidFill>
              <w14:schemeClr w14:val="tx1"/>
            </w14:solidFill>
          </w14:textFill>
        </w:rPr>
      </w:pPr>
      <w:r>
        <w:rPr>
          <w:color w:val="000000" w:themeColor="text1"/>
          <w14:textFill>
            <w14:solidFill>
              <w14:schemeClr w14:val="tx1"/>
            </w14:solidFill>
          </w14:textFill>
        </w:rPr>
        <w:t>9.</w:t>
      </w:r>
      <w:r>
        <w:rPr>
          <w:color w:val="000000" w:themeColor="text1"/>
          <w14:textFill>
            <w14:solidFill>
              <w14:schemeClr w14:val="tx1"/>
            </w14:solidFill>
          </w14:textFill>
        </w:rPr>
        <w:tab/>
      </w:r>
      <w:r>
        <w:rPr>
          <w:color w:val="000000" w:themeColor="text1"/>
          <w14:textFill>
            <w14:solidFill>
              <w14:schemeClr w14:val="tx1"/>
            </w14:solidFill>
          </w14:textFill>
        </w:rPr>
        <w:t xml:space="preserve">Výdavky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prevádzkovú činnosť</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tabs>
          <w:tab w:val="left" w:pos="9781"/>
        </w:tabs>
        <w:ind w:left="2265"/>
        <w:jc w:val="both"/>
        <w:rPr>
          <w:b/>
          <w:i/>
          <w:color w:val="000000" w:themeColor="text1"/>
          <w14:textFill>
            <w14:solidFill>
              <w14:schemeClr w14:val="tx1"/>
            </w14:solidFill>
          </w14:textFill>
        </w:rPr>
      </w:pPr>
      <w:r>
        <w:rPr>
          <w:b/>
          <w:i/>
          <w:color w:val="000000" w:themeColor="text1"/>
          <w14:textFill>
            <w14:solidFill>
              <w14:schemeClr w14:val="tx1"/>
            </w14:solidFill>
          </w14:textFill>
        </w:rPr>
        <w:t>Čisté peňažné toky z prevádzkovej činnosti (+/-), (súčet Z/S + A.1. až A. 9.)</w:t>
      </w:r>
    </w:p>
    <w:p>
      <w:pPr>
        <w:pStyle w:val="5"/>
        <w:tabs>
          <w:tab w:val="left" w:pos="9781"/>
        </w:tabs>
        <w:spacing w:before="11"/>
        <w:jc w:val="both"/>
        <w:rPr>
          <w:b/>
          <w:i/>
          <w:color w:val="000000" w:themeColor="text1"/>
          <w:sz w:val="21"/>
          <w14:textFill>
            <w14:solidFill>
              <w14:schemeClr w14:val="tx1"/>
            </w14:solidFill>
          </w14:textFill>
        </w:rPr>
      </w:pPr>
    </w:p>
    <w:p>
      <w:pPr>
        <w:pStyle w:val="2"/>
        <w:tabs>
          <w:tab w:val="left" w:pos="2262"/>
          <w:tab w:val="left" w:pos="9781"/>
        </w:tabs>
        <w:ind w:left="498"/>
        <w:jc w:val="both"/>
        <w:rPr>
          <w:color w:val="000000" w:themeColor="text1"/>
          <w14:textFill>
            <w14:solidFill>
              <w14:schemeClr w14:val="tx1"/>
            </w14:solidFill>
          </w14:textFill>
        </w:rPr>
      </w:pPr>
      <w:r>
        <w:rPr>
          <w:color w:val="000000" w:themeColor="text1"/>
          <w14:textFill>
            <w14:solidFill>
              <w14:schemeClr w14:val="tx1"/>
            </w14:solidFill>
          </w14:textFill>
        </w:rPr>
        <w:t>Označenie</w:t>
      </w:r>
      <w:r>
        <w:rPr>
          <w:color w:val="000000" w:themeColor="text1"/>
          <w14:textFill>
            <w14:solidFill>
              <w14:schemeClr w14:val="tx1"/>
            </w14:solidFill>
          </w14:textFill>
        </w:rPr>
        <w:tab/>
      </w:r>
      <w:r>
        <w:rPr>
          <w:color w:val="000000" w:themeColor="text1"/>
          <w14:textFill>
            <w14:solidFill>
              <w14:schemeClr w14:val="tx1"/>
            </w14:solidFill>
          </w14:textFill>
        </w:rPr>
        <w:t>Obsah</w:t>
      </w:r>
    </w:p>
    <w:p>
      <w:pPr>
        <w:tabs>
          <w:tab w:val="left" w:pos="2313"/>
          <w:tab w:val="left" w:pos="9781"/>
        </w:tabs>
        <w:spacing w:before="2" w:after="21"/>
        <w:ind w:left="498"/>
        <w:jc w:val="both"/>
        <w:rPr>
          <w:b/>
          <w:color w:val="000000" w:themeColor="text1"/>
          <w14:textFill>
            <w14:solidFill>
              <w14:schemeClr w14:val="tx1"/>
            </w14:solidFill>
          </w14:textFill>
        </w:rPr>
      </w:pPr>
      <w:r>
        <w:rPr>
          <w:b/>
          <w:color w:val="000000" w:themeColor="text1"/>
          <w14:textFill>
            <w14:solidFill>
              <w14:schemeClr w14:val="tx1"/>
            </w14:solidFill>
          </w14:textFill>
        </w:rPr>
        <w:t>položky</w:t>
      </w:r>
      <w:r>
        <w:rPr>
          <w:b/>
          <w:color w:val="000000" w:themeColor="text1"/>
          <w14:textFill>
            <w14:solidFill>
              <w14:schemeClr w14:val="tx1"/>
            </w14:solidFill>
          </w14:textFill>
        </w:rPr>
        <w:tab/>
      </w:r>
      <w:r>
        <w:rPr>
          <w:b/>
          <w:color w:val="000000" w:themeColor="text1"/>
          <w14:textFill>
            <w14:solidFill>
              <w14:schemeClr w14:val="tx1"/>
            </w14:solidFill>
          </w14:textFill>
        </w:rPr>
        <w:t>položky</w:t>
      </w:r>
    </w:p>
    <w:p>
      <w:pPr>
        <w:pStyle w:val="5"/>
        <w:tabs>
          <w:tab w:val="left" w:pos="9781"/>
        </w:tabs>
        <w:spacing w:line="28" w:lineRule="exact"/>
        <w:ind w:left="110"/>
        <w:jc w:val="both"/>
        <w:rPr>
          <w:color w:val="000000" w:themeColor="text1"/>
          <w:sz w:val="2"/>
          <w14:textFill>
            <w14:solidFill>
              <w14:schemeClr w14:val="tx1"/>
            </w14:solidFill>
          </w14:textFill>
        </w:rPr>
      </w:pPr>
      <w:r>
        <w:rPr>
          <w:color w:val="000000" w:themeColor="text1"/>
          <w:sz w:val="2"/>
          <w:lang w:eastAsia="sk-SK"/>
          <w14:textFill>
            <w14:solidFill>
              <w14:schemeClr w14:val="tx1"/>
            </w14:solidFill>
          </w14:textFill>
        </w:rPr>
        <mc:AlternateContent>
          <mc:Choice Requires="wpg">
            <w:drawing>
              <wp:inline distT="0" distB="0" distL="0" distR="0">
                <wp:extent cx="5798185" cy="18415"/>
                <wp:effectExtent l="0" t="0" r="0" b="0"/>
                <wp:docPr id="7" name="Group 5"/>
                <wp:cNvGraphicFramePr/>
                <a:graphic xmlns:a="http://schemas.openxmlformats.org/drawingml/2006/main">
                  <a:graphicData uri="http://schemas.microsoft.com/office/word/2010/wordprocessingGroup">
                    <wpg:wgp>
                      <wpg:cNvGrpSpPr/>
                      <wpg:grpSpPr>
                        <a:xfrm>
                          <a:off x="0" y="0"/>
                          <a:ext cx="5798185" cy="18415"/>
                          <a:chOff x="0" y="0"/>
                          <a:chExt cx="9131" cy="29"/>
                        </a:xfrm>
                      </wpg:grpSpPr>
                      <wps:wsp>
                        <wps:cNvPr id="8" name="Rectangle 6"/>
                        <wps:cNvSpPr>
                          <a:spLocks noChangeArrowheads="1"/>
                        </wps:cNvSpPr>
                        <wps:spPr bwMode="auto">
                          <a:xfrm>
                            <a:off x="0" y="0"/>
                            <a:ext cx="9131" cy="29"/>
                          </a:xfrm>
                          <a:prstGeom prst="rect">
                            <a:avLst/>
                          </a:prstGeom>
                          <a:solidFill>
                            <a:srgbClr val="000000"/>
                          </a:solidFill>
                          <a:ln>
                            <a:noFill/>
                          </a:ln>
                        </wps:spPr>
                        <wps:bodyPr rot="0" vert="horz" wrap="square" lIns="91440" tIns="45720" rIns="91440" bIns="45720" anchor="t" anchorCtr="0" upright="1">
                          <a:noAutofit/>
                        </wps:bodyPr>
                      </wps:wsp>
                    </wpg:wgp>
                  </a:graphicData>
                </a:graphic>
              </wp:inline>
            </w:drawing>
          </mc:Choice>
          <mc:Fallback>
            <w:pict>
              <v:group id="Group 5" o:spid="_x0000_s1026" o:spt="203" style="height:1.45pt;width:456.55pt;" coordsize="9131,29" o:gfxdata="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rZ7ZatQAAAADAQAADwAAAAAAAAABACAAAAAiAAAAZHJzL2Rvd25yZXYueG1sUEsBAhQAFAAAAAgA&#10;h07iQLPVYuliAgAASAUAAA4AAAAAAAAAAQAgAAAAIwEAAGRycy9lMm9Eb2MueG1sUEsFBgAAAAAG&#10;AAYAWQEAAPcFAAAAAA==&#10;">
                <o:lock v:ext="edit" aspectratio="f"/>
                <v:rect id="Rectangle 6" o:spid="_x0000_s1026" o:spt="1" style="position:absolute;left:0;top:0;height:29;width:9131;" fillcolor="#000000" filled="t" stroked="f" coordsize="21600,21600" o:gfxdata="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IVvQ65AAAA2gAA&#10;AA8AAAAAAAAAAQAgAAAAIgAAAGRycy9kb3ducmV2LnhtbFBLAQIUABQAAAAIAIdO4kAzLwWeOwAA&#10;ADkAAAAQAAAAAAAAAAEAIAAAAAgBAABkcnMvc2hhcGV4bWwueG1sUEsFBgAAAAAGAAYAWwEAALID&#10;AAAAAA==&#10;">
                  <v:fill on="t" focussize="0,0"/>
                  <v:stroke on="f"/>
                  <v:imagedata o:title=""/>
                  <o:lock v:ext="edit" aspectratio="f"/>
                </v:rect>
                <w10:wrap type="none"/>
                <w10:anchorlock/>
              </v:group>
            </w:pict>
          </mc:Fallback>
        </mc:AlternateContent>
      </w:r>
    </w:p>
    <w:p>
      <w:pPr>
        <w:pStyle w:val="5"/>
        <w:tabs>
          <w:tab w:val="left" w:pos="9781"/>
        </w:tabs>
        <w:spacing w:before="1"/>
        <w:jc w:val="both"/>
        <w:rPr>
          <w:b/>
          <w:color w:val="000000" w:themeColor="text1"/>
          <w:sz w:val="13"/>
          <w14:textFill>
            <w14:solidFill>
              <w14:schemeClr w14:val="tx1"/>
            </w14:solidFill>
          </w14:textFill>
        </w:rPr>
      </w:pPr>
    </w:p>
    <w:p>
      <w:pPr>
        <w:tabs>
          <w:tab w:val="left" w:pos="9781"/>
        </w:tabs>
        <w:spacing w:before="100" w:line="252" w:lineRule="exact"/>
        <w:ind w:left="846"/>
        <w:jc w:val="both"/>
        <w:rPr>
          <w:b/>
          <w:color w:val="000000" w:themeColor="text1"/>
          <w14:textFill>
            <w14:solidFill>
              <w14:schemeClr w14:val="tx1"/>
            </w14:solidFill>
          </w14:textFill>
        </w:rPr>
      </w:pPr>
      <w:r>
        <w:rPr>
          <w:rFonts w:ascii="Times New Roman" w:hAnsi="Times New Roman"/>
          <w:color w:val="000000" w:themeColor="text1"/>
          <w:spacing w:val="-56"/>
          <w:u w:val="single"/>
          <w14:textFill>
            <w14:solidFill>
              <w14:schemeClr w14:val="tx1"/>
            </w14:solidFill>
          </w14:textFill>
        </w:rPr>
        <w:t xml:space="preserve"> </w:t>
      </w:r>
      <w:r>
        <w:rPr>
          <w:b/>
          <w:color w:val="000000" w:themeColor="text1"/>
          <w:u w:val="single"/>
          <w14:textFill>
            <w14:solidFill>
              <w14:schemeClr w14:val="tx1"/>
            </w14:solidFill>
          </w14:textFill>
        </w:rPr>
        <w:t>Peňažné toky z investičnej činnosti</w:t>
      </w:r>
    </w:p>
    <w:p>
      <w:pPr>
        <w:pStyle w:val="10"/>
        <w:numPr>
          <w:ilvl w:val="0"/>
          <w:numId w:val="13"/>
        </w:numPr>
        <w:tabs>
          <w:tab w:val="left" w:pos="1068"/>
          <w:tab w:val="left" w:pos="2262"/>
          <w:tab w:val="left" w:pos="9781"/>
        </w:tabs>
        <w:spacing w:line="252" w:lineRule="exact"/>
        <w:ind w:left="1067" w:hanging="222"/>
        <w:jc w:val="both"/>
        <w:rPr>
          <w:i/>
          <w:color w:val="000000" w:themeColor="text1"/>
          <w:sz w:val="14"/>
          <w14:textFill>
            <w14:solidFill>
              <w14:schemeClr w14:val="tx1"/>
            </w14:solidFill>
          </w14:textFill>
        </w:rPr>
      </w:pPr>
      <w:r>
        <w:rPr>
          <w:color w:val="000000" w:themeColor="text1"/>
          <w14:textFill>
            <w14:solidFill>
              <w14:schemeClr w14:val="tx1"/>
            </w14:solidFill>
          </w14:textFill>
        </w:rPr>
        <w:t>1.</w:t>
      </w:r>
      <w:r>
        <w:rPr>
          <w:color w:val="000000" w:themeColor="text1"/>
          <w14:textFill>
            <w14:solidFill>
              <w14:schemeClr w14:val="tx1"/>
            </w14:solidFill>
          </w14:textFill>
        </w:rPr>
        <w:tab/>
      </w:r>
      <w:r>
        <w:rPr>
          <w:color w:val="000000" w:themeColor="text1"/>
          <w14:textFill>
            <w14:solidFill>
              <w14:schemeClr w14:val="tx1"/>
            </w14:solidFill>
          </w14:textFill>
        </w:rPr>
        <w:t>Výdavky na obstaranie dlhodobého nehmotného majetku</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w:t>
      </w:r>
      <w:r>
        <w:rPr>
          <w:i/>
          <w:color w:val="000000" w:themeColor="text1"/>
          <w:position w:val="6"/>
          <w:sz w:val="14"/>
          <w14:textFill>
            <w14:solidFill>
              <w14:schemeClr w14:val="tx1"/>
            </w14:solidFill>
          </w14:textFill>
        </w:rPr>
        <w:t>1)</w:t>
      </w:r>
    </w:p>
    <w:p>
      <w:pPr>
        <w:pStyle w:val="5"/>
        <w:tabs>
          <w:tab w:val="left" w:pos="2262"/>
          <w:tab w:val="left" w:pos="9781"/>
        </w:tabs>
        <w:spacing w:line="252" w:lineRule="exact"/>
        <w:ind w:left="858"/>
        <w:jc w:val="both"/>
        <w:rPr>
          <w:i/>
          <w:color w:val="000000" w:themeColor="text1"/>
          <w:sz w:val="14"/>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w:t>
      </w:r>
      <w:r>
        <w:rPr>
          <w:color w:val="000000" w:themeColor="text1"/>
          <w14:textFill>
            <w14:solidFill>
              <w14:schemeClr w14:val="tx1"/>
            </w14:solidFill>
          </w14:textFill>
        </w:rPr>
        <w:tab/>
      </w:r>
      <w:r>
        <w:rPr>
          <w:color w:val="000000" w:themeColor="text1"/>
          <w14:textFill>
            <w14:solidFill>
              <w14:schemeClr w14:val="tx1"/>
            </w14:solidFill>
          </w14:textFill>
        </w:rPr>
        <w:t>Výdavky na obstaranie dlhodobého hmotného majetku</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w:t>
      </w:r>
      <w:r>
        <w:rPr>
          <w:i/>
          <w:color w:val="000000" w:themeColor="text1"/>
          <w:position w:val="6"/>
          <w:sz w:val="14"/>
          <w14:textFill>
            <w14:solidFill>
              <w14:schemeClr w14:val="tx1"/>
            </w14:solidFill>
          </w14:textFill>
        </w:rPr>
        <w:t>1)</w:t>
      </w:r>
    </w:p>
    <w:p>
      <w:pPr>
        <w:pStyle w:val="5"/>
        <w:tabs>
          <w:tab w:val="left" w:pos="2262"/>
          <w:tab w:val="left" w:pos="9781"/>
        </w:tabs>
        <w:spacing w:before="2"/>
        <w:ind w:left="2262" w:right="573" w:hanging="1416"/>
        <w:jc w:val="both"/>
        <w:rPr>
          <w:i/>
          <w:color w:val="000000" w:themeColor="text1"/>
          <w:sz w:val="14"/>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3.</w:t>
      </w:r>
      <w:r>
        <w:rPr>
          <w:color w:val="000000" w:themeColor="text1"/>
          <w14:textFill>
            <w14:solidFill>
              <w14:schemeClr w14:val="tx1"/>
            </w14:solidFill>
          </w14:textFill>
        </w:rPr>
        <w:tab/>
      </w:r>
      <w:r>
        <w:rPr>
          <w:color w:val="000000" w:themeColor="text1"/>
          <w14:textFill>
            <w14:solidFill>
              <w14:schemeClr w14:val="tx1"/>
            </w14:solidFill>
          </w14:textFill>
        </w:rPr>
        <w:t>Výdavky     na      obstaranie      dlhodobých      cenných      papierov      a      podielov v iných  účtovných  jednotkách,  s výnimkou   cenných   papierov,   ktoré   sa   považujú   za    peňažné    ekvivalenty    a    cenných    papierov    určených    na predaj alebo na obchodovanie</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r>
        <w:rPr>
          <w:i/>
          <w:color w:val="000000" w:themeColor="text1"/>
          <w:position w:val="6"/>
          <w:sz w:val="14"/>
          <w14:textFill>
            <w14:solidFill>
              <w14:schemeClr w14:val="tx1"/>
            </w14:solidFill>
          </w14:textFill>
        </w:rPr>
        <w:t>1)</w:t>
      </w:r>
    </w:p>
    <w:p>
      <w:pPr>
        <w:pStyle w:val="5"/>
        <w:tabs>
          <w:tab w:val="left" w:pos="2262"/>
          <w:tab w:val="left" w:pos="9781"/>
        </w:tabs>
        <w:spacing w:line="251"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4.</w:t>
      </w:r>
      <w:r>
        <w:rPr>
          <w:color w:val="000000" w:themeColor="text1"/>
          <w14:textFill>
            <w14:solidFill>
              <w14:schemeClr w14:val="tx1"/>
            </w14:solidFill>
          </w14:textFill>
        </w:rPr>
        <w:tab/>
      </w:r>
      <w:r>
        <w:rPr>
          <w:color w:val="000000" w:themeColor="text1"/>
          <w14:textFill>
            <w14:solidFill>
              <w14:schemeClr w14:val="tx1"/>
            </w14:solidFill>
          </w14:textFill>
        </w:rPr>
        <w:t>Príjmy z predaja dlhodobého nehmotného majetku</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5.</w:t>
      </w:r>
      <w:r>
        <w:rPr>
          <w:color w:val="000000" w:themeColor="text1"/>
          <w14:textFill>
            <w14:solidFill>
              <w14:schemeClr w14:val="tx1"/>
            </w14:solidFill>
          </w14:textFill>
        </w:rPr>
        <w:tab/>
      </w:r>
      <w:r>
        <w:rPr>
          <w:color w:val="000000" w:themeColor="text1"/>
          <w14:textFill>
            <w14:solidFill>
              <w14:schemeClr w14:val="tx1"/>
            </w14:solidFill>
          </w14:textFill>
        </w:rPr>
        <w:t>Príjmy z predaja dlhodobého hmotného majetku</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2"/>
        <w:ind w:left="2262" w:right="573" w:hanging="1416"/>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6.</w:t>
      </w:r>
      <w:r>
        <w:rPr>
          <w:color w:val="000000" w:themeColor="text1"/>
          <w14:textFill>
            <w14:solidFill>
              <w14:schemeClr w14:val="tx1"/>
            </w14:solidFill>
          </w14:textFill>
        </w:rPr>
        <w:tab/>
      </w:r>
      <w:r>
        <w:rPr>
          <w:color w:val="000000" w:themeColor="text1"/>
          <w14:textFill>
            <w14:solidFill>
              <w14:schemeClr w14:val="tx1"/>
            </w14:solidFill>
          </w14:textFill>
        </w:rPr>
        <w:t>Príjmy z predaja dlhodobých cenných papierov a podielov v iných účtovných jednotkách, s výnimkou cenných papierov, ktoré sa považujú za peňažné ekvivalenty a cenných papierov určených na predaj alebo na obchodovanie</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7" w:hanging="1416"/>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7.</w:t>
      </w:r>
      <w:r>
        <w:rPr>
          <w:color w:val="000000" w:themeColor="text1"/>
          <w14:textFill>
            <w14:solidFill>
              <w14:schemeClr w14:val="tx1"/>
            </w14:solidFill>
          </w14:textFill>
        </w:rPr>
        <w:tab/>
      </w:r>
      <w:r>
        <w:rPr>
          <w:color w:val="000000" w:themeColor="text1"/>
          <w14:textFill>
            <w14:solidFill>
              <w14:schemeClr w14:val="tx1"/>
            </w14:solidFill>
          </w14:textFill>
        </w:rPr>
        <w:t>Výdavky na dlhodobé pôžičky poskytnuté účtovnou jednotkou inej účtovnej jednotke, ktorá je súčasťou konsolidovaného celku</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2" w:hanging="1416"/>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8.</w:t>
      </w:r>
      <w:r>
        <w:rPr>
          <w:color w:val="000000" w:themeColor="text1"/>
          <w14:textFill>
            <w14:solidFill>
              <w14:schemeClr w14:val="tx1"/>
            </w14:solidFill>
          </w14:textFill>
        </w:rPr>
        <w:tab/>
      </w:r>
      <w:r>
        <w:rPr>
          <w:color w:val="000000" w:themeColor="text1"/>
          <w14:textFill>
            <w14:solidFill>
              <w14:schemeClr w14:val="tx1"/>
            </w14:solidFill>
          </w14:textFill>
        </w:rPr>
        <w:t>Príjmy zo splácania dlhodobých pôžičiek poskytnutých účtovnou jednotkou inej účtovnej jednotke, ktorá je súčasťou konsolidovaného celku</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1" w:hanging="1416"/>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9.</w:t>
      </w:r>
      <w:r>
        <w:rPr>
          <w:color w:val="000000" w:themeColor="text1"/>
          <w14:textFill>
            <w14:solidFill>
              <w14:schemeClr w14:val="tx1"/>
            </w14:solidFill>
          </w14:textFill>
        </w:rPr>
        <w:tab/>
      </w:r>
      <w:r>
        <w:rPr>
          <w:color w:val="000000" w:themeColor="text1"/>
          <w14:textFill>
            <w14:solidFill>
              <w14:schemeClr w14:val="tx1"/>
            </w14:solidFill>
          </w14:textFill>
        </w:rPr>
        <w:t>Výdavky  na  dlhodobé   pôžičky   poskytnuté   účtovnou   jednotkou   tretím   osobám s výnimkou dlhodobých pôžičiek poskytnutých účtovnej jednotke, ktorá je súčasťou konsolidovaného celku</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1" w:hanging="1416"/>
        <w:jc w:val="both"/>
        <w:rPr>
          <w:color w:val="000000" w:themeColor="text1"/>
          <w14:textFill>
            <w14:solidFill>
              <w14:schemeClr w14:val="tx1"/>
            </w14:solidFill>
          </w14:textFill>
        </w:rPr>
      </w:pPr>
      <w:r>
        <w:rPr>
          <w:color w:val="000000" w:themeColor="text1"/>
          <w14:textFill>
            <w14:solidFill>
              <w14:schemeClr w14:val="tx1"/>
            </w14:solidFill>
          </w14:textFill>
        </w:rPr>
        <w:t>B.</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10.</w:t>
      </w:r>
      <w:r>
        <w:rPr>
          <w:color w:val="000000" w:themeColor="text1"/>
          <w14:textFill>
            <w14:solidFill>
              <w14:schemeClr w14:val="tx1"/>
            </w14:solidFill>
          </w14:textFill>
        </w:rPr>
        <w:tab/>
      </w:r>
      <w:r>
        <w:rPr>
          <w:color w:val="000000" w:themeColor="text1"/>
          <w14:textFill>
            <w14:solidFill>
              <w14:schemeClr w14:val="tx1"/>
            </w14:solidFill>
          </w14:textFill>
        </w:rPr>
        <w:t>Príjmy  zo  splácania  pôžičiek   poskytnutých   účtovnou   jednotkou  tretím  osobám,  s výnimkou pôžičiek poskytnutých účtovnej jednotke, ktorá je súčasťou konsolidovaného celku</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B. 11.</w:t>
      </w:r>
      <w:r>
        <w:rPr>
          <w:color w:val="000000" w:themeColor="text1"/>
          <w14:textFill>
            <w14:solidFill>
              <w14:schemeClr w14:val="tx1"/>
            </w14:solidFill>
          </w14:textFill>
        </w:rPr>
        <w:tab/>
      </w:r>
      <w:r>
        <w:rPr>
          <w:color w:val="000000" w:themeColor="text1"/>
          <w14:textFill>
            <w14:solidFill>
              <w14:schemeClr w14:val="tx1"/>
            </w14:solidFill>
          </w14:textFill>
        </w:rPr>
        <w:t>Prijaté úroky, s výnimkou tých, ktoré sa začleňujú do prevádzkových činností</w:t>
      </w:r>
      <w:r>
        <w:rPr>
          <w:color w:val="000000" w:themeColor="text1"/>
          <w:spacing w:val="-16"/>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2" w:hanging="1416"/>
        <w:jc w:val="both"/>
        <w:rPr>
          <w:color w:val="000000" w:themeColor="text1"/>
          <w14:textFill>
            <w14:solidFill>
              <w14:schemeClr w14:val="tx1"/>
            </w14:solidFill>
          </w14:textFill>
        </w:rPr>
      </w:pPr>
      <w:r>
        <w:rPr>
          <w:color w:val="000000" w:themeColor="text1"/>
          <w14:textFill>
            <w14:solidFill>
              <w14:schemeClr w14:val="tx1"/>
            </w14:solidFill>
          </w14:textFill>
        </w:rPr>
        <w:t>B. 12.</w:t>
      </w:r>
      <w:r>
        <w:rPr>
          <w:color w:val="000000" w:themeColor="text1"/>
          <w14:textFill>
            <w14:solidFill>
              <w14:schemeClr w14:val="tx1"/>
            </w14:solidFill>
          </w14:textFill>
        </w:rPr>
        <w:tab/>
      </w:r>
      <w:r>
        <w:rPr>
          <w:color w:val="000000" w:themeColor="text1"/>
          <w14:textFill>
            <w14:solidFill>
              <w14:schemeClr w14:val="tx1"/>
            </w14:solidFill>
          </w14:textFill>
        </w:rPr>
        <w:t>Príjmy z dividend a iných podielov na zisku, s výnimkou tých, ktoré sa začleňujú do prevádzkových činností</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before="76"/>
        <w:ind w:left="2262" w:right="571" w:hanging="1416"/>
        <w:jc w:val="both"/>
        <w:rPr>
          <w:color w:val="000000" w:themeColor="text1"/>
          <w14:textFill>
            <w14:solidFill>
              <w14:schemeClr w14:val="tx1"/>
            </w14:solidFill>
          </w14:textFill>
        </w:rPr>
      </w:pPr>
      <w:r>
        <w:rPr>
          <w:color w:val="000000" w:themeColor="text1"/>
          <w14:textFill>
            <w14:solidFill>
              <w14:schemeClr w14:val="tx1"/>
            </w14:solidFill>
          </w14:textFill>
        </w:rPr>
        <w:t>B. 13.</w:t>
      </w:r>
      <w:r>
        <w:rPr>
          <w:color w:val="000000" w:themeColor="text1"/>
          <w14:textFill>
            <w14:solidFill>
              <w14:schemeClr w14:val="tx1"/>
            </w14:solidFill>
          </w14:textFill>
        </w:rPr>
        <w:tab/>
      </w:r>
      <w:r>
        <w:rPr>
          <w:color w:val="000000" w:themeColor="text1"/>
          <w14:textFill>
            <w14:solidFill>
              <w14:schemeClr w14:val="tx1"/>
            </w14:solidFill>
          </w14:textFill>
        </w:rPr>
        <w:t>Výdavky súvisiace s derivátmi s výnimkou, ak sú určené na predaj alebo na obchodovanie, alebo ak sa tieto výdavky považujú za peňažné toky z finančnej  činnosti</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1" w:hanging="1416"/>
        <w:jc w:val="both"/>
        <w:rPr>
          <w:color w:val="000000" w:themeColor="text1"/>
          <w14:textFill>
            <w14:solidFill>
              <w14:schemeClr w14:val="tx1"/>
            </w14:solidFill>
          </w14:textFill>
        </w:rPr>
      </w:pPr>
      <w:r>
        <w:rPr>
          <w:color w:val="000000" w:themeColor="text1"/>
          <w14:textFill>
            <w14:solidFill>
              <w14:schemeClr w14:val="tx1"/>
            </w14:solidFill>
          </w14:textFill>
        </w:rPr>
        <w:t>B. 14.</w:t>
      </w:r>
      <w:r>
        <w:rPr>
          <w:color w:val="000000" w:themeColor="text1"/>
          <w14:textFill>
            <w14:solidFill>
              <w14:schemeClr w14:val="tx1"/>
            </w14:solidFill>
          </w14:textFill>
        </w:rPr>
        <w:tab/>
      </w:r>
      <w:r>
        <w:rPr>
          <w:color w:val="000000" w:themeColor="text1"/>
          <w14:textFill>
            <w14:solidFill>
              <w14:schemeClr w14:val="tx1"/>
            </w14:solidFill>
          </w14:textFill>
        </w:rPr>
        <w:t>Príjmy súvisiace s derivátmi s výnimkou, ak sú určené na predaj alebo na obchodovanie, alebo ak sa tieto výdavky považujú za peňažné toky z finančnej  činnosti</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2262" w:right="576" w:hanging="1416"/>
        <w:jc w:val="both"/>
        <w:rPr>
          <w:color w:val="000000" w:themeColor="text1"/>
          <w14:textFill>
            <w14:solidFill>
              <w14:schemeClr w14:val="tx1"/>
            </w14:solidFill>
          </w14:textFill>
        </w:rPr>
      </w:pPr>
      <w:r>
        <w:rPr>
          <w:color w:val="000000" w:themeColor="text1"/>
          <w14:textFill>
            <w14:solidFill>
              <w14:schemeClr w14:val="tx1"/>
            </w14:solidFill>
          </w14:textFill>
        </w:rPr>
        <w:t>B. 15.</w:t>
      </w:r>
      <w:r>
        <w:rPr>
          <w:color w:val="000000" w:themeColor="text1"/>
          <w14:textFill>
            <w14:solidFill>
              <w14:schemeClr w14:val="tx1"/>
            </w14:solidFill>
          </w14:textFill>
        </w:rPr>
        <w:tab/>
      </w:r>
      <w:r>
        <w:rPr>
          <w:color w:val="000000" w:themeColor="text1"/>
          <w14:textFill>
            <w14:solidFill>
              <w14:schemeClr w14:val="tx1"/>
            </w14:solidFill>
          </w14:textFill>
        </w:rPr>
        <w:t>Výdavky na daň z príjmov účtovnej jednotky, ak je ju možné začleniť do investičných činností</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tabs>
          <w:tab w:val="left" w:pos="2262"/>
          <w:tab w:val="left" w:pos="9781"/>
        </w:tabs>
        <w:spacing w:line="251"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B. 16.</w:t>
      </w:r>
      <w:r>
        <w:rPr>
          <w:color w:val="000000" w:themeColor="text1"/>
          <w14:textFill>
            <w14:solidFill>
              <w14:schemeClr w14:val="tx1"/>
            </w14:solidFill>
          </w14:textFill>
        </w:rPr>
        <w:tab/>
      </w:r>
      <w:r>
        <w:rPr>
          <w:color w:val="000000" w:themeColor="text1"/>
          <w14:textFill>
            <w14:solidFill>
              <w14:schemeClr w14:val="tx1"/>
            </w14:solidFill>
          </w14:textFill>
        </w:rPr>
        <w:t xml:space="preserve">Príjmy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investičnú činnosť</w:t>
      </w:r>
      <w:r>
        <w:rPr>
          <w:color w:val="000000" w:themeColor="text1"/>
          <w:spacing w:val="-18"/>
          <w14:textFill>
            <w14:solidFill>
              <w14:schemeClr w14:val="tx1"/>
            </w14:solidFill>
          </w14:textFill>
        </w:rPr>
        <w:t xml:space="preserve"> </w:t>
      </w:r>
      <w:r>
        <w:rPr>
          <w:color w:val="000000" w:themeColor="text1"/>
          <w14:textFill>
            <w14:solidFill>
              <w14:schemeClr w14:val="tx1"/>
            </w14:solidFill>
          </w14:textFill>
        </w:rPr>
        <w:t>(+)</w:t>
      </w:r>
    </w:p>
    <w:p>
      <w:pPr>
        <w:tabs>
          <w:tab w:val="left" w:pos="2262"/>
          <w:tab w:val="left" w:pos="9781"/>
        </w:tabs>
        <w:ind w:left="2262" w:right="571" w:hanging="1416"/>
        <w:jc w:val="both"/>
        <w:rPr>
          <w:color w:val="000000" w:themeColor="text1"/>
          <w14:textFill>
            <w14:solidFill>
              <w14:schemeClr w14:val="tx1"/>
            </w14:solidFill>
          </w14:textFill>
        </w:rPr>
      </w:pPr>
      <w:r>
        <w:rPr>
          <w:color w:val="000000" w:themeColor="text1"/>
          <w14:textFill>
            <w14:solidFill>
              <w14:schemeClr w14:val="tx1"/>
            </w14:solidFill>
          </w14:textFill>
        </w:rPr>
        <w:t>B. 17.</w:t>
      </w:r>
      <w:r>
        <w:rPr>
          <w:color w:val="000000" w:themeColor="text1"/>
          <w14:textFill>
            <w14:solidFill>
              <w14:schemeClr w14:val="tx1"/>
            </w14:solidFill>
          </w14:textFill>
        </w:rPr>
        <w:tab/>
      </w:r>
      <w:r>
        <w:rPr>
          <w:color w:val="000000" w:themeColor="text1"/>
          <w14:textFill>
            <w14:solidFill>
              <w14:schemeClr w14:val="tx1"/>
            </w14:solidFill>
          </w14:textFill>
        </w:rPr>
        <w:t xml:space="preserve">Výdavky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investičnú činnosť (-)</w:t>
      </w:r>
    </w:p>
    <w:p>
      <w:pPr>
        <w:pStyle w:val="5"/>
        <w:tabs>
          <w:tab w:val="left" w:pos="2262"/>
          <w:tab w:val="left" w:pos="9781"/>
        </w:tabs>
        <w:spacing w:before="1"/>
        <w:ind w:left="846"/>
        <w:jc w:val="both"/>
        <w:rPr>
          <w:color w:val="000000" w:themeColor="text1"/>
          <w14:textFill>
            <w14:solidFill>
              <w14:schemeClr w14:val="tx1"/>
            </w14:solidFill>
          </w14:textFill>
        </w:rPr>
      </w:pPr>
      <w:r>
        <w:rPr>
          <w:color w:val="000000" w:themeColor="text1"/>
          <w14:textFill>
            <w14:solidFill>
              <w14:schemeClr w14:val="tx1"/>
            </w14:solidFill>
          </w14:textFill>
        </w:rPr>
        <w:t>B. 18.</w:t>
      </w:r>
      <w:r>
        <w:rPr>
          <w:color w:val="000000" w:themeColor="text1"/>
          <w14:textFill>
            <w14:solidFill>
              <w14:schemeClr w14:val="tx1"/>
            </w14:solidFill>
          </w14:textFill>
        </w:rPr>
        <w:tab/>
      </w:r>
      <w:r>
        <w:rPr>
          <w:color w:val="000000" w:themeColor="text1"/>
          <w14:textFill>
            <w14:solidFill>
              <w14:schemeClr w14:val="tx1"/>
            </w14:solidFill>
          </w14:textFill>
        </w:rPr>
        <w:t>Ostatné príjmy vzťahujúce sa na investičnú činnosť</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ind w:left="846"/>
        <w:jc w:val="both"/>
        <w:rPr>
          <w:color w:val="000000" w:themeColor="text1"/>
          <w14:textFill>
            <w14:solidFill>
              <w14:schemeClr w14:val="tx1"/>
            </w14:solidFill>
          </w14:textFill>
        </w:rPr>
      </w:pPr>
      <w:r>
        <w:rPr>
          <w:color w:val="000000" w:themeColor="text1"/>
          <w14:textFill>
            <w14:solidFill>
              <w14:schemeClr w14:val="tx1"/>
            </w14:solidFill>
          </w14:textFill>
        </w:rPr>
        <w:t>B. 19.</w:t>
      </w:r>
      <w:r>
        <w:rPr>
          <w:color w:val="000000" w:themeColor="text1"/>
          <w14:textFill>
            <w14:solidFill>
              <w14:schemeClr w14:val="tx1"/>
            </w14:solidFill>
          </w14:textFill>
        </w:rPr>
        <w:tab/>
      </w:r>
      <w:r>
        <w:rPr>
          <w:color w:val="000000" w:themeColor="text1"/>
          <w14:textFill>
            <w14:solidFill>
              <w14:schemeClr w14:val="tx1"/>
            </w14:solidFill>
          </w14:textFill>
        </w:rPr>
        <w:t>Ostatné výdavky vzťahujúce sa na investičnú činnosť</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p>
    <w:p>
      <w:pPr>
        <w:tabs>
          <w:tab w:val="left" w:pos="2262"/>
          <w:tab w:val="left" w:pos="9781"/>
        </w:tabs>
        <w:ind w:left="846"/>
        <w:jc w:val="both"/>
        <w:rPr>
          <w:b/>
          <w:i/>
          <w:color w:val="000000" w:themeColor="text1"/>
          <w14:textFill>
            <w14:solidFill>
              <w14:schemeClr w14:val="tx1"/>
            </w14:solidFill>
          </w14:textFill>
        </w:rPr>
      </w:pPr>
      <w:r>
        <w:rPr>
          <w:b/>
          <w:i/>
          <w:color w:val="000000" w:themeColor="text1"/>
          <w14:textFill>
            <w14:solidFill>
              <w14:schemeClr w14:val="tx1"/>
            </w14:solidFill>
          </w14:textFill>
        </w:rPr>
        <w:t>B.</w:t>
      </w:r>
      <w:r>
        <w:rPr>
          <w:b/>
          <w:i/>
          <w:color w:val="000000" w:themeColor="text1"/>
          <w14:textFill>
            <w14:solidFill>
              <w14:schemeClr w14:val="tx1"/>
            </w14:solidFill>
          </w14:textFill>
        </w:rPr>
        <w:tab/>
      </w:r>
      <w:r>
        <w:rPr>
          <w:b/>
          <w:i/>
          <w:color w:val="000000" w:themeColor="text1"/>
          <w14:textFill>
            <w14:solidFill>
              <w14:schemeClr w14:val="tx1"/>
            </w14:solidFill>
          </w14:textFill>
        </w:rPr>
        <w:t>Čisté peňažné toky z investičnej činnosti (súčet B. 1. až B.</w:t>
      </w:r>
      <w:r>
        <w:rPr>
          <w:b/>
          <w:i/>
          <w:color w:val="000000" w:themeColor="text1"/>
          <w:spacing w:val="-12"/>
          <w14:textFill>
            <w14:solidFill>
              <w14:schemeClr w14:val="tx1"/>
            </w14:solidFill>
          </w14:textFill>
        </w:rPr>
        <w:t xml:space="preserve"> </w:t>
      </w:r>
      <w:r>
        <w:rPr>
          <w:b/>
          <w:i/>
          <w:color w:val="000000" w:themeColor="text1"/>
          <w14:textFill>
            <w14:solidFill>
              <w14:schemeClr w14:val="tx1"/>
            </w14:solidFill>
          </w14:textFill>
        </w:rPr>
        <w:t>19.)</w:t>
      </w:r>
    </w:p>
    <w:p>
      <w:pPr>
        <w:pStyle w:val="5"/>
        <w:tabs>
          <w:tab w:val="left" w:pos="9781"/>
        </w:tabs>
        <w:spacing w:before="1"/>
        <w:jc w:val="both"/>
        <w:rPr>
          <w:b/>
          <w:i/>
          <w:color w:val="000000" w:themeColor="text1"/>
          <w14:textFill>
            <w14:solidFill>
              <w14:schemeClr w14:val="tx1"/>
            </w14:solidFill>
          </w14:textFill>
        </w:rPr>
      </w:pPr>
    </w:p>
    <w:p>
      <w:pPr>
        <w:pStyle w:val="2"/>
        <w:tabs>
          <w:tab w:val="left" w:pos="2262"/>
          <w:tab w:val="left" w:pos="9781"/>
        </w:tabs>
        <w:ind w:left="498"/>
        <w:jc w:val="both"/>
        <w:rPr>
          <w:color w:val="000000" w:themeColor="text1"/>
          <w14:textFill>
            <w14:solidFill>
              <w14:schemeClr w14:val="tx1"/>
            </w14:solidFill>
          </w14:textFill>
        </w:rPr>
      </w:pPr>
      <w:r>
        <w:rPr>
          <w:color w:val="000000" w:themeColor="text1"/>
          <w14:textFill>
            <w14:solidFill>
              <w14:schemeClr w14:val="tx1"/>
            </w14:solidFill>
          </w14:textFill>
        </w:rPr>
        <w:t>Označenie</w:t>
      </w:r>
      <w:r>
        <w:rPr>
          <w:color w:val="000000" w:themeColor="text1"/>
          <w14:textFill>
            <w14:solidFill>
              <w14:schemeClr w14:val="tx1"/>
            </w14:solidFill>
          </w14:textFill>
        </w:rPr>
        <w:tab/>
      </w:r>
      <w:r>
        <w:rPr>
          <w:color w:val="000000" w:themeColor="text1"/>
          <w14:textFill>
            <w14:solidFill>
              <w14:schemeClr w14:val="tx1"/>
            </w14:solidFill>
          </w14:textFill>
        </w:rPr>
        <w:t>Obsah</w:t>
      </w:r>
    </w:p>
    <w:p>
      <w:pPr>
        <w:tabs>
          <w:tab w:val="left" w:pos="2262"/>
          <w:tab w:val="left" w:pos="9781"/>
        </w:tabs>
        <w:spacing w:before="2" w:after="19"/>
        <w:ind w:left="498"/>
        <w:jc w:val="both"/>
        <w:rPr>
          <w:b/>
          <w:color w:val="000000" w:themeColor="text1"/>
          <w14:textFill>
            <w14:solidFill>
              <w14:schemeClr w14:val="tx1"/>
            </w14:solidFill>
          </w14:textFill>
        </w:rPr>
      </w:pPr>
      <w:r>
        <w:rPr>
          <w:b/>
          <w:color w:val="000000" w:themeColor="text1"/>
          <w14:textFill>
            <w14:solidFill>
              <w14:schemeClr w14:val="tx1"/>
            </w14:solidFill>
          </w14:textFill>
        </w:rPr>
        <w:t>položky</w:t>
      </w:r>
      <w:r>
        <w:rPr>
          <w:b/>
          <w:color w:val="000000" w:themeColor="text1"/>
          <w14:textFill>
            <w14:solidFill>
              <w14:schemeClr w14:val="tx1"/>
            </w14:solidFill>
          </w14:textFill>
        </w:rPr>
        <w:tab/>
      </w:r>
      <w:r>
        <w:rPr>
          <w:b/>
          <w:color w:val="000000" w:themeColor="text1"/>
          <w14:textFill>
            <w14:solidFill>
              <w14:schemeClr w14:val="tx1"/>
            </w14:solidFill>
          </w14:textFill>
        </w:rPr>
        <w:t>položky</w:t>
      </w:r>
    </w:p>
    <w:p>
      <w:pPr>
        <w:pStyle w:val="5"/>
        <w:tabs>
          <w:tab w:val="left" w:pos="9781"/>
        </w:tabs>
        <w:spacing w:line="28" w:lineRule="exact"/>
        <w:ind w:left="110"/>
        <w:jc w:val="both"/>
        <w:rPr>
          <w:color w:val="000000" w:themeColor="text1"/>
          <w:sz w:val="2"/>
          <w14:textFill>
            <w14:solidFill>
              <w14:schemeClr w14:val="tx1"/>
            </w14:solidFill>
          </w14:textFill>
        </w:rPr>
      </w:pPr>
      <w:r>
        <w:rPr>
          <w:color w:val="000000" w:themeColor="text1"/>
          <w:sz w:val="2"/>
          <w:lang w:eastAsia="sk-SK"/>
          <w14:textFill>
            <w14:solidFill>
              <w14:schemeClr w14:val="tx1"/>
            </w14:solidFill>
          </w14:textFill>
        </w:rPr>
        <mc:AlternateContent>
          <mc:Choice Requires="wpg">
            <w:drawing>
              <wp:inline distT="0" distB="0" distL="0" distR="0">
                <wp:extent cx="5798185" cy="18415"/>
                <wp:effectExtent l="0" t="0" r="0" b="0"/>
                <wp:docPr id="5" name="Group 3"/>
                <wp:cNvGraphicFramePr/>
                <a:graphic xmlns:a="http://schemas.openxmlformats.org/drawingml/2006/main">
                  <a:graphicData uri="http://schemas.microsoft.com/office/word/2010/wordprocessingGroup">
                    <wpg:wgp>
                      <wpg:cNvGrpSpPr/>
                      <wpg:grpSpPr>
                        <a:xfrm>
                          <a:off x="0" y="0"/>
                          <a:ext cx="5798185" cy="18415"/>
                          <a:chOff x="0" y="0"/>
                          <a:chExt cx="9131" cy="29"/>
                        </a:xfrm>
                      </wpg:grpSpPr>
                      <wps:wsp>
                        <wps:cNvPr id="6" name="Rectangle 4"/>
                        <wps:cNvSpPr>
                          <a:spLocks noChangeArrowheads="1"/>
                        </wps:cNvSpPr>
                        <wps:spPr bwMode="auto">
                          <a:xfrm>
                            <a:off x="0" y="0"/>
                            <a:ext cx="9131" cy="29"/>
                          </a:xfrm>
                          <a:prstGeom prst="rect">
                            <a:avLst/>
                          </a:prstGeom>
                          <a:solidFill>
                            <a:srgbClr val="000000"/>
                          </a:solidFill>
                          <a:ln>
                            <a:noFill/>
                          </a:ln>
                        </wps:spPr>
                        <wps:bodyPr rot="0" vert="horz" wrap="square" lIns="91440" tIns="45720" rIns="91440" bIns="45720" anchor="t" anchorCtr="0" upright="1">
                          <a:noAutofit/>
                        </wps:bodyPr>
                      </wps:wsp>
                    </wpg:wgp>
                  </a:graphicData>
                </a:graphic>
              </wp:inline>
            </w:drawing>
          </mc:Choice>
          <mc:Fallback>
            <w:pict>
              <v:group id="Group 3" o:spid="_x0000_s1026" o:spt="203" style="height:1.45pt;width:456.55pt;" coordsize="9131,29" o:gfxdata="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Ct&#10;ntlq1AAAAAMBAAAPAAAAAAAAAAEAIAAAACIAAABkcnMvZG93bnJldi54bWxQSwECFAAUAAAACACH&#10;TuJAxtUx3WECAABIBQAADgAAAAAAAAABACAAAAAjAQAAZHJzL2Uyb0RvYy54bWxQSwUGAAAAAAYA&#10;BgBZAQAA9gUAAAAA&#10;">
                <o:lock v:ext="edit" aspectratio="f"/>
                <v:rect id="Rectangle 4" o:spid="_x0000_s1026" o:spt="1" style="position:absolute;left:0;top:0;height:29;width:9131;" fillcolor="#000000" filled="t" stroked="f" coordsize="21600,21600" o:gfxdata="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xoznvQAA&#10;ANoAAAAPAAAAAAAAAAEAIAAAACIAAABkcnMvZG93bnJldi54bWxQSwECFAAUAAAACACHTuJAMy8F&#10;njsAAAA5AAAAEAAAAAAAAAABACAAAAAMAQAAZHJzL3NoYXBleG1sLnhtbFBLBQYAAAAABgAGAFsB&#10;AAC2AwAAAAA=&#10;">
                  <v:fill on="t" focussize="0,0"/>
                  <v:stroke on="f"/>
                  <v:imagedata o:title=""/>
                  <o:lock v:ext="edit" aspectratio="f"/>
                </v:rect>
                <w10:wrap type="none"/>
                <w10:anchorlock/>
              </v:group>
            </w:pict>
          </mc:Fallback>
        </mc:AlternateContent>
      </w:r>
    </w:p>
    <w:p>
      <w:pPr>
        <w:pStyle w:val="5"/>
        <w:tabs>
          <w:tab w:val="left" w:pos="9781"/>
        </w:tabs>
        <w:spacing w:before="2"/>
        <w:jc w:val="both"/>
        <w:rPr>
          <w:b/>
          <w:color w:val="000000" w:themeColor="text1"/>
          <w:sz w:val="15"/>
          <w14:textFill>
            <w14:solidFill>
              <w14:schemeClr w14:val="tx1"/>
            </w14:solidFill>
          </w14:textFill>
        </w:rPr>
      </w:pPr>
    </w:p>
    <w:p>
      <w:pPr>
        <w:tabs>
          <w:tab w:val="left" w:pos="9781"/>
        </w:tabs>
        <w:spacing w:before="100" w:line="252" w:lineRule="exact"/>
        <w:ind w:left="846"/>
        <w:jc w:val="both"/>
        <w:rPr>
          <w:b/>
          <w:color w:val="000000" w:themeColor="text1"/>
          <w14:textFill>
            <w14:solidFill>
              <w14:schemeClr w14:val="tx1"/>
            </w14:solidFill>
          </w14:textFill>
        </w:rPr>
      </w:pPr>
      <w:r>
        <w:rPr>
          <w:rFonts w:ascii="Times New Roman" w:hAnsi="Times New Roman"/>
          <w:color w:val="000000" w:themeColor="text1"/>
          <w:spacing w:val="-56"/>
          <w:u w:val="single"/>
          <w14:textFill>
            <w14:solidFill>
              <w14:schemeClr w14:val="tx1"/>
            </w14:solidFill>
          </w14:textFill>
        </w:rPr>
        <w:t xml:space="preserve"> </w:t>
      </w:r>
      <w:r>
        <w:rPr>
          <w:b/>
          <w:color w:val="000000" w:themeColor="text1"/>
          <w:u w:val="single"/>
          <w14:textFill>
            <w14:solidFill>
              <w14:schemeClr w14:val="tx1"/>
            </w14:solidFill>
          </w14:textFill>
        </w:rPr>
        <w:t>Peňažné toky z finančnej činnosti</w:t>
      </w:r>
    </w:p>
    <w:p>
      <w:pPr>
        <w:tabs>
          <w:tab w:val="left" w:pos="2265"/>
          <w:tab w:val="left" w:pos="9781"/>
        </w:tabs>
        <w:spacing w:line="252" w:lineRule="exact"/>
        <w:ind w:left="846"/>
        <w:jc w:val="both"/>
        <w:rPr>
          <w:i/>
          <w:color w:val="000000" w:themeColor="text1"/>
          <w14:textFill>
            <w14:solidFill>
              <w14:schemeClr w14:val="tx1"/>
            </w14:solidFill>
          </w14:textFill>
        </w:rPr>
      </w:pPr>
      <w:r>
        <w:rPr>
          <w:i/>
          <w:color w:val="000000" w:themeColor="text1"/>
          <w14:textFill>
            <w14:solidFill>
              <w14:schemeClr w14:val="tx1"/>
            </w14:solidFill>
          </w14:textFill>
        </w:rPr>
        <w:t>C.</w:t>
      </w:r>
      <w:r>
        <w:rPr>
          <w:i/>
          <w:color w:val="000000" w:themeColor="text1"/>
          <w:spacing w:val="-1"/>
          <w14:textFill>
            <w14:solidFill>
              <w14:schemeClr w14:val="tx1"/>
            </w14:solidFill>
          </w14:textFill>
        </w:rPr>
        <w:t xml:space="preserve"> </w:t>
      </w:r>
      <w:r>
        <w:rPr>
          <w:i/>
          <w:color w:val="000000" w:themeColor="text1"/>
          <w14:textFill>
            <w14:solidFill>
              <w14:schemeClr w14:val="tx1"/>
            </w14:solidFill>
          </w14:textFill>
        </w:rPr>
        <w:t>1.</w:t>
      </w:r>
      <w:r>
        <w:rPr>
          <w:i/>
          <w:color w:val="000000" w:themeColor="text1"/>
          <w14:textFill>
            <w14:solidFill>
              <w14:schemeClr w14:val="tx1"/>
            </w14:solidFill>
          </w14:textFill>
        </w:rPr>
        <w:tab/>
      </w:r>
      <w:r>
        <w:rPr>
          <w:i/>
          <w:color w:val="000000" w:themeColor="text1"/>
          <w14:textFill>
            <w14:solidFill>
              <w14:schemeClr w14:val="tx1"/>
            </w14:solidFill>
          </w14:textFill>
        </w:rPr>
        <w:t>Peňažné toky vo vlastnom imaní (súčet C. 1. 1. až C. 1.</w:t>
      </w:r>
      <w:r>
        <w:rPr>
          <w:i/>
          <w:color w:val="000000" w:themeColor="text1"/>
          <w:spacing w:val="-9"/>
          <w14:textFill>
            <w14:solidFill>
              <w14:schemeClr w14:val="tx1"/>
            </w14:solidFill>
          </w14:textFill>
        </w:rPr>
        <w:t xml:space="preserve"> </w:t>
      </w:r>
      <w:r>
        <w:rPr>
          <w:i/>
          <w:color w:val="000000" w:themeColor="text1"/>
          <w14:textFill>
            <w14:solidFill>
              <w14:schemeClr w14:val="tx1"/>
            </w14:solidFill>
          </w14:textFill>
        </w:rPr>
        <w:t>8.)</w:t>
      </w:r>
    </w:p>
    <w:p>
      <w:pPr>
        <w:pStyle w:val="5"/>
        <w:tabs>
          <w:tab w:val="left" w:pos="2265"/>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1. 1.</w:t>
      </w:r>
      <w:r>
        <w:rPr>
          <w:color w:val="000000" w:themeColor="text1"/>
          <w14:textFill>
            <w14:solidFill>
              <w14:schemeClr w14:val="tx1"/>
            </w14:solidFill>
          </w14:textFill>
        </w:rPr>
        <w:tab/>
      </w:r>
      <w:r>
        <w:rPr>
          <w:color w:val="000000" w:themeColor="text1"/>
          <w14:textFill>
            <w14:solidFill>
              <w14:schemeClr w14:val="tx1"/>
            </w14:solidFill>
          </w14:textFill>
        </w:rPr>
        <w:t>Príjmy z upísaných akcií a obchodných podielov</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1" w:hanging="1419"/>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1. 2.</w:t>
      </w:r>
      <w:r>
        <w:rPr>
          <w:color w:val="000000" w:themeColor="text1"/>
          <w14:textFill>
            <w14:solidFill>
              <w14:schemeClr w14:val="tx1"/>
            </w14:solidFill>
          </w14:textFill>
        </w:rPr>
        <w:tab/>
      </w:r>
      <w:r>
        <w:rPr>
          <w:color w:val="000000" w:themeColor="text1"/>
          <w14:textFill>
            <w14:solidFill>
              <w14:schemeClr w14:val="tx1"/>
            </w14:solidFill>
          </w14:textFill>
        </w:rPr>
        <w:t>Príjmy z ďalších vkladov do vlastného imania spoločníkmi alebo fyzickou osobou, ktorá je účtovnou jednotkou</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spacing w:before="2"/>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1. 3.</w:t>
      </w:r>
      <w:r>
        <w:rPr>
          <w:color w:val="000000" w:themeColor="text1"/>
          <w14:textFill>
            <w14:solidFill>
              <w14:schemeClr w14:val="tx1"/>
            </w14:solidFill>
          </w14:textFill>
        </w:rPr>
        <w:tab/>
      </w:r>
      <w:r>
        <w:rPr>
          <w:color w:val="000000" w:themeColor="text1"/>
          <w14:textFill>
            <w14:solidFill>
              <w14:schemeClr w14:val="tx1"/>
            </w14:solidFill>
          </w14:textFill>
        </w:rPr>
        <w:t>Prijaté peňažné dary</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1. 4.</w:t>
      </w:r>
      <w:r>
        <w:rPr>
          <w:color w:val="000000" w:themeColor="text1"/>
          <w14:textFill>
            <w14:solidFill>
              <w14:schemeClr w14:val="tx1"/>
            </w14:solidFill>
          </w14:textFill>
        </w:rPr>
        <w:tab/>
      </w:r>
      <w:r>
        <w:rPr>
          <w:color w:val="000000" w:themeColor="text1"/>
          <w14:textFill>
            <w14:solidFill>
              <w14:schemeClr w14:val="tx1"/>
            </w14:solidFill>
          </w14:textFill>
        </w:rPr>
        <w:t>Príjmy z úhrady straty spoločníkmi</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851" w:hanging="1419"/>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1. 5.</w:t>
      </w:r>
      <w:r>
        <w:rPr>
          <w:color w:val="000000" w:themeColor="text1"/>
          <w14:textFill>
            <w14:solidFill>
              <w14:schemeClr w14:val="tx1"/>
            </w14:solidFill>
          </w14:textFill>
        </w:rPr>
        <w:tab/>
      </w:r>
      <w:r>
        <w:rPr>
          <w:color w:val="000000" w:themeColor="text1"/>
          <w14:textFill>
            <w14:solidFill>
              <w14:schemeClr w14:val="tx1"/>
            </w14:solidFill>
          </w14:textFill>
        </w:rPr>
        <w:t>Výdavky na obstaranie alebo spätné odkúpenie vlastných akcií a vlastných obchodných podielov</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spacing w:line="252" w:lineRule="exact"/>
        <w:ind w:left="825"/>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1. 6.</w:t>
      </w:r>
      <w:r>
        <w:rPr>
          <w:color w:val="000000" w:themeColor="text1"/>
          <w14:textFill>
            <w14:solidFill>
              <w14:schemeClr w14:val="tx1"/>
            </w14:solidFill>
          </w14:textFill>
        </w:rPr>
        <w:tab/>
      </w:r>
      <w:r>
        <w:rPr>
          <w:color w:val="000000" w:themeColor="text1"/>
          <w14:textFill>
            <w14:solidFill>
              <w14:schemeClr w14:val="tx1"/>
            </w14:solidFill>
          </w14:textFill>
        </w:rPr>
        <w:t>Výdavky spojené so znížením fondov vytvorených účtovnou jednotkou</w:t>
      </w:r>
      <w:r>
        <w:rPr>
          <w:color w:val="000000" w:themeColor="text1"/>
          <w:spacing w:val="-12"/>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spacing w:before="1"/>
        <w:ind w:left="2265" w:right="621" w:hanging="1440"/>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1. 7.</w:t>
      </w:r>
      <w:r>
        <w:rPr>
          <w:color w:val="000000" w:themeColor="text1"/>
          <w14:textFill>
            <w14:solidFill>
              <w14:schemeClr w14:val="tx1"/>
            </w14:solidFill>
          </w14:textFill>
        </w:rPr>
        <w:tab/>
      </w:r>
      <w:r>
        <w:rPr>
          <w:color w:val="000000" w:themeColor="text1"/>
          <w14:textFill>
            <w14:solidFill>
              <w14:schemeClr w14:val="tx1"/>
            </w14:solidFill>
          </w14:textFill>
        </w:rPr>
        <w:t>Výdavky na  vyplatenie  podielu  na  vlastnom  imaní  spoločníkmi  účtovnej  jednotky  a fyzickou osobou, ktorá je účtovnou jednotkou</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spacing w:line="251"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1. 8.</w:t>
      </w:r>
      <w:r>
        <w:rPr>
          <w:color w:val="000000" w:themeColor="text1"/>
          <w14:textFill>
            <w14:solidFill>
              <w14:schemeClr w14:val="tx1"/>
            </w14:solidFill>
          </w14:textFill>
        </w:rPr>
        <w:tab/>
      </w:r>
      <w:r>
        <w:rPr>
          <w:color w:val="000000" w:themeColor="text1"/>
          <w14:textFill>
            <w14:solidFill>
              <w14:schemeClr w14:val="tx1"/>
            </w14:solidFill>
          </w14:textFill>
        </w:rPr>
        <w:t>Výdavky z iných dôvodov, ktoré súvisia so znížením vlastného imania</w:t>
      </w:r>
      <w:r>
        <w:rPr>
          <w:color w:val="000000" w:themeColor="text1"/>
          <w:spacing w:val="-13"/>
          <w14:textFill>
            <w14:solidFill>
              <w14:schemeClr w14:val="tx1"/>
            </w14:solidFill>
          </w14:textFill>
        </w:rPr>
        <w:t xml:space="preserve"> </w:t>
      </w:r>
      <w:r>
        <w:rPr>
          <w:color w:val="000000" w:themeColor="text1"/>
          <w14:textFill>
            <w14:solidFill>
              <w14:schemeClr w14:val="tx1"/>
            </w14:solidFill>
          </w14:textFill>
        </w:rPr>
        <w:t>(-)</w:t>
      </w:r>
    </w:p>
    <w:p>
      <w:pPr>
        <w:tabs>
          <w:tab w:val="left" w:pos="2265"/>
          <w:tab w:val="left" w:pos="6957"/>
          <w:tab w:val="left" w:pos="9781"/>
        </w:tabs>
        <w:ind w:left="2265" w:right="621" w:hanging="1421"/>
        <w:jc w:val="both"/>
        <w:rPr>
          <w:i/>
          <w:color w:val="000000" w:themeColor="text1"/>
          <w14:textFill>
            <w14:solidFill>
              <w14:schemeClr w14:val="tx1"/>
            </w14:solidFill>
          </w14:textFill>
        </w:rPr>
      </w:pPr>
      <w:r>
        <w:rPr>
          <w:i/>
          <w:color w:val="000000" w:themeColor="text1"/>
          <w14:textFill>
            <w14:solidFill>
              <w14:schemeClr w14:val="tx1"/>
            </w14:solidFill>
          </w14:textFill>
        </w:rPr>
        <w:t>C.</w:t>
      </w:r>
      <w:r>
        <w:rPr>
          <w:i/>
          <w:color w:val="000000" w:themeColor="text1"/>
          <w:spacing w:val="-1"/>
          <w14:textFill>
            <w14:solidFill>
              <w14:schemeClr w14:val="tx1"/>
            </w14:solidFill>
          </w14:textFill>
        </w:rPr>
        <w:t xml:space="preserve"> </w:t>
      </w:r>
      <w:r>
        <w:rPr>
          <w:i/>
          <w:color w:val="000000" w:themeColor="text1"/>
          <w14:textFill>
            <w14:solidFill>
              <w14:schemeClr w14:val="tx1"/>
            </w14:solidFill>
          </w14:textFill>
        </w:rPr>
        <w:t>2.</w:t>
      </w:r>
      <w:r>
        <w:rPr>
          <w:i/>
          <w:color w:val="000000" w:themeColor="text1"/>
          <w14:textFill>
            <w14:solidFill>
              <w14:schemeClr w14:val="tx1"/>
            </w14:solidFill>
          </w14:textFill>
        </w:rPr>
        <w:tab/>
      </w:r>
      <w:r>
        <w:rPr>
          <w:i/>
          <w:color w:val="000000" w:themeColor="text1"/>
          <w14:textFill>
            <w14:solidFill>
              <w14:schemeClr w14:val="tx1"/>
            </w14:solidFill>
          </w14:textFill>
        </w:rPr>
        <w:t>Peňažné   toky   vznikajúce   z</w:t>
      </w:r>
      <w:r>
        <w:rPr>
          <w:i/>
          <w:color w:val="000000" w:themeColor="text1"/>
          <w:spacing w:val="29"/>
          <w14:textFill>
            <w14:solidFill>
              <w14:schemeClr w14:val="tx1"/>
            </w14:solidFill>
          </w14:textFill>
        </w:rPr>
        <w:t xml:space="preserve"> </w:t>
      </w:r>
      <w:r>
        <w:rPr>
          <w:i/>
          <w:color w:val="000000" w:themeColor="text1"/>
          <w14:textFill>
            <w14:solidFill>
              <w14:schemeClr w14:val="tx1"/>
            </w14:solidFill>
          </w14:textFill>
        </w:rPr>
        <w:t xml:space="preserve">dlhodobých  </w:t>
      </w:r>
      <w:r>
        <w:rPr>
          <w:i/>
          <w:color w:val="000000" w:themeColor="text1"/>
          <w:spacing w:val="9"/>
          <w14:textFill>
            <w14:solidFill>
              <w14:schemeClr w14:val="tx1"/>
            </w14:solidFill>
          </w14:textFill>
        </w:rPr>
        <w:t xml:space="preserve"> </w:t>
      </w:r>
      <w:r>
        <w:rPr>
          <w:i/>
          <w:color w:val="000000" w:themeColor="text1"/>
          <w14:textFill>
            <w14:solidFill>
              <w14:schemeClr w14:val="tx1"/>
            </w14:solidFill>
          </w14:textFill>
        </w:rPr>
        <w:t>záväzkov</w:t>
      </w:r>
      <w:r>
        <w:rPr>
          <w:i/>
          <w:color w:val="000000" w:themeColor="text1"/>
          <w14:textFill>
            <w14:solidFill>
              <w14:schemeClr w14:val="tx1"/>
            </w14:solidFill>
          </w14:textFill>
        </w:rPr>
        <w:tab/>
      </w:r>
      <w:r>
        <w:rPr>
          <w:i/>
          <w:color w:val="000000" w:themeColor="text1"/>
          <w14:textFill>
            <w14:solidFill>
              <w14:schemeClr w14:val="tx1"/>
            </w14:solidFill>
          </w14:textFill>
        </w:rPr>
        <w:t>a  krátkodobých  záväzkov z finančnej činnosti (súčet C. 2. 1. až C. 2.</w:t>
      </w:r>
      <w:r>
        <w:rPr>
          <w:i/>
          <w:color w:val="000000" w:themeColor="text1"/>
          <w:spacing w:val="-6"/>
          <w14:textFill>
            <w14:solidFill>
              <w14:schemeClr w14:val="tx1"/>
            </w14:solidFill>
          </w14:textFill>
        </w:rPr>
        <w:t xml:space="preserve"> </w:t>
      </w:r>
      <w:r>
        <w:rPr>
          <w:i/>
          <w:color w:val="000000" w:themeColor="text1"/>
          <w14:textFill>
            <w14:solidFill>
              <w14:schemeClr w14:val="tx1"/>
            </w14:solidFill>
          </w14:textFill>
        </w:rPr>
        <w:t>9.)</w:t>
      </w:r>
    </w:p>
    <w:p>
      <w:pPr>
        <w:pStyle w:val="5"/>
        <w:tabs>
          <w:tab w:val="left" w:pos="2265"/>
          <w:tab w:val="left" w:pos="9781"/>
        </w:tabs>
        <w:spacing w:before="2" w:line="252" w:lineRule="exact"/>
        <w:ind w:left="844"/>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2. 1.</w:t>
      </w:r>
      <w:r>
        <w:rPr>
          <w:color w:val="000000" w:themeColor="text1"/>
          <w14:textFill>
            <w14:solidFill>
              <w14:schemeClr w14:val="tx1"/>
            </w14:solidFill>
          </w14:textFill>
        </w:rPr>
        <w:tab/>
      </w:r>
      <w:r>
        <w:rPr>
          <w:color w:val="000000" w:themeColor="text1"/>
          <w14:textFill>
            <w14:solidFill>
              <w14:schemeClr w14:val="tx1"/>
            </w14:solidFill>
          </w14:textFill>
        </w:rPr>
        <w:t>Príjmy z emisie dlhových cenných papierov</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4"/>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2. 2.</w:t>
      </w:r>
      <w:r>
        <w:rPr>
          <w:color w:val="000000" w:themeColor="text1"/>
          <w14:textFill>
            <w14:solidFill>
              <w14:schemeClr w14:val="tx1"/>
            </w14:solidFill>
          </w14:textFill>
        </w:rPr>
        <w:tab/>
      </w:r>
      <w:r>
        <w:rPr>
          <w:color w:val="000000" w:themeColor="text1"/>
          <w14:textFill>
            <w14:solidFill>
              <w14:schemeClr w14:val="tx1"/>
            </w14:solidFill>
          </w14:textFill>
        </w:rPr>
        <w:t>Výdavky na úhradu záväzkov z dlhových cenných papierov</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1" w:hanging="1421"/>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2. 3.</w:t>
      </w:r>
      <w:r>
        <w:rPr>
          <w:color w:val="000000" w:themeColor="text1"/>
          <w14:textFill>
            <w14:solidFill>
              <w14:schemeClr w14:val="tx1"/>
            </w14:solidFill>
          </w14:textFill>
        </w:rPr>
        <w:tab/>
      </w:r>
      <w:r>
        <w:rPr>
          <w:color w:val="000000" w:themeColor="text1"/>
          <w14:textFill>
            <w14:solidFill>
              <w14:schemeClr w14:val="tx1"/>
            </w14:solidFill>
          </w14:textFill>
        </w:rPr>
        <w:t>Príjmy z úverov, ktoré účtovnej jednotke poskytla banka alebo pobočka zahraničnej banky, s výnimkou úverov, ktoré boli poskytnuté na zabezpečenie hlavného predmetu činnosti</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4" w:hanging="1407"/>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2. 4.</w:t>
      </w:r>
      <w:r>
        <w:rPr>
          <w:color w:val="000000" w:themeColor="text1"/>
          <w14:textFill>
            <w14:solidFill>
              <w14:schemeClr w14:val="tx1"/>
            </w14:solidFill>
          </w14:textFill>
        </w:rPr>
        <w:tab/>
      </w:r>
      <w:r>
        <w:rPr>
          <w:color w:val="000000" w:themeColor="text1"/>
          <w14:textFill>
            <w14:solidFill>
              <w14:schemeClr w14:val="tx1"/>
            </w14:solidFill>
          </w14:textFill>
        </w:rPr>
        <w:t>Výdavky na splácanie úverov, ktoré účtovnej jednotke poskytla banka alebo pobočka zahraničnej banky, s výnimkou úverov, ktoré boli poskytnuté na zabezpečenie hlavného predmetu činnosti</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2. 5.</w:t>
      </w:r>
      <w:r>
        <w:rPr>
          <w:color w:val="000000" w:themeColor="text1"/>
          <w14:textFill>
            <w14:solidFill>
              <w14:schemeClr w14:val="tx1"/>
            </w14:solidFill>
          </w14:textFill>
        </w:rPr>
        <w:tab/>
      </w:r>
      <w:r>
        <w:rPr>
          <w:color w:val="000000" w:themeColor="text1"/>
          <w14:textFill>
            <w14:solidFill>
              <w14:schemeClr w14:val="tx1"/>
            </w14:solidFill>
          </w14:textFill>
        </w:rPr>
        <w:t>Príjmy z prijatých pôžičiek</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2"/>
          <w:tab w:val="left" w:pos="9781"/>
        </w:tabs>
        <w:spacing w:line="252" w:lineRule="exact"/>
        <w:ind w:left="846"/>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2. 6.</w:t>
      </w:r>
      <w:r>
        <w:rPr>
          <w:color w:val="000000" w:themeColor="text1"/>
          <w14:textFill>
            <w14:solidFill>
              <w14:schemeClr w14:val="tx1"/>
            </w14:solidFill>
          </w14:textFill>
        </w:rPr>
        <w:tab/>
      </w:r>
      <w:r>
        <w:rPr>
          <w:color w:val="000000" w:themeColor="text1"/>
          <w14:textFill>
            <w14:solidFill>
              <w14:schemeClr w14:val="tx1"/>
            </w14:solidFill>
          </w14:textFill>
        </w:rPr>
        <w:t>Výdavky na splácanie pôžičiek</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3" w:hanging="1419"/>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2. 7.</w:t>
      </w:r>
      <w:r>
        <w:rPr>
          <w:color w:val="000000" w:themeColor="text1"/>
          <w14:textFill>
            <w14:solidFill>
              <w14:schemeClr w14:val="tx1"/>
            </w14:solidFill>
          </w14:textFill>
        </w:rPr>
        <w:tab/>
      </w:r>
      <w:r>
        <w:rPr>
          <w:color w:val="000000" w:themeColor="text1"/>
          <w14:textFill>
            <w14:solidFill>
              <w14:schemeClr w14:val="tx1"/>
            </w14:solidFill>
          </w14:textFill>
        </w:rPr>
        <w:t>Výdavky na úhradu záväzkov z používania majetku, ktorý je predmetom zmluvy o kúpe prenajatej veci</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spacing w:before="1"/>
        <w:ind w:left="2265" w:right="573" w:hanging="1407"/>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2. 8.</w:t>
      </w:r>
      <w:r>
        <w:rPr>
          <w:color w:val="000000" w:themeColor="text1"/>
          <w14:textFill>
            <w14:solidFill>
              <w14:schemeClr w14:val="tx1"/>
            </w14:solidFill>
          </w14:textFill>
        </w:rPr>
        <w:tab/>
      </w:r>
      <w:r>
        <w:rPr>
          <w:color w:val="000000" w:themeColor="text1"/>
          <w14:textFill>
            <w14:solidFill>
              <w14:schemeClr w14:val="tx1"/>
            </w14:solidFill>
          </w14:textFill>
        </w:rPr>
        <w:t>Príjmy  z ostatných  dlhodobých  záväzkov  a  krátkodobých  záväzkov   vyplývajúcich z finančnej činnosti   účtovnej jednotky, s výnimkou tých, ktoré sa uvádzajú osobitne    v inej časti prehľadu peňažných tokov</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2" w:hanging="1419"/>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2. 9.</w:t>
      </w:r>
      <w:r>
        <w:rPr>
          <w:color w:val="000000" w:themeColor="text1"/>
          <w14:textFill>
            <w14:solidFill>
              <w14:schemeClr w14:val="tx1"/>
            </w14:solidFill>
          </w14:textFill>
        </w:rPr>
        <w:tab/>
      </w:r>
      <w:r>
        <w:rPr>
          <w:color w:val="000000" w:themeColor="text1"/>
          <w14:textFill>
            <w14:solidFill>
              <w14:schemeClr w14:val="tx1"/>
            </w14:solidFill>
          </w14:textFill>
        </w:rPr>
        <w:t>Výdavky na splácanie ostatných dlhodobých záväzkov a krátkodobých záväzkov vyplývajúcich z finančnej činnosti účtovnej jednotky, s výnimkou tých, ktoré sa uvádzajú osobitne v inej časti prehľadu peňažných tokov</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4" w:hanging="1407"/>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3.</w:t>
      </w:r>
      <w:r>
        <w:rPr>
          <w:color w:val="000000" w:themeColor="text1"/>
          <w14:textFill>
            <w14:solidFill>
              <w14:schemeClr w14:val="tx1"/>
            </w14:solidFill>
          </w14:textFill>
        </w:rPr>
        <w:tab/>
      </w:r>
      <w:r>
        <w:rPr>
          <w:color w:val="000000" w:themeColor="text1"/>
          <w14:textFill>
            <w14:solidFill>
              <w14:schemeClr w14:val="tx1"/>
            </w14:solidFill>
          </w14:textFill>
        </w:rPr>
        <w:t>Výdavky na zaplatené úroky, s výnimkou tých, ktoré sa začleňujú do prevádzkových činností</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572" w:hanging="1407"/>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4.</w:t>
      </w:r>
      <w:r>
        <w:rPr>
          <w:color w:val="000000" w:themeColor="text1"/>
          <w14:textFill>
            <w14:solidFill>
              <w14:schemeClr w14:val="tx1"/>
            </w14:solidFill>
          </w14:textFill>
        </w:rPr>
        <w:tab/>
      </w:r>
      <w:r>
        <w:rPr>
          <w:color w:val="000000" w:themeColor="text1"/>
          <w14:textFill>
            <w14:solidFill>
              <w14:schemeClr w14:val="tx1"/>
            </w14:solidFill>
          </w14:textFill>
        </w:rPr>
        <w:t>Výdavky na vyplatené dividendy a iné podiely na zisku, s výnimkou tých, ktoré sa začleňujú do prevádzkových činností</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spacing w:before="76"/>
        <w:ind w:left="2265" w:right="851" w:hanging="1407"/>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5.</w:t>
      </w:r>
      <w:r>
        <w:rPr>
          <w:color w:val="000000" w:themeColor="text1"/>
          <w14:textFill>
            <w14:solidFill>
              <w14:schemeClr w14:val="tx1"/>
            </w14:solidFill>
          </w14:textFill>
        </w:rPr>
        <w:tab/>
      </w:r>
      <w:r>
        <w:rPr>
          <w:color w:val="000000" w:themeColor="text1"/>
          <w14:textFill>
            <w14:solidFill>
              <w14:schemeClr w14:val="tx1"/>
            </w14:solidFill>
          </w14:textFill>
        </w:rPr>
        <w:t>Výdavky súvisiace s derivátmi, s výnimkou, ak sú určené na predaj alebo na obchodovanie, alebo ak sa považujú za peňažné toky z investičnej činnosti</w:t>
      </w:r>
      <w:r>
        <w:rPr>
          <w:color w:val="000000" w:themeColor="text1"/>
          <w:spacing w:val="-18"/>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851" w:hanging="1419"/>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6.</w:t>
      </w:r>
      <w:r>
        <w:rPr>
          <w:color w:val="000000" w:themeColor="text1"/>
          <w14:textFill>
            <w14:solidFill>
              <w14:schemeClr w14:val="tx1"/>
            </w14:solidFill>
          </w14:textFill>
        </w:rPr>
        <w:tab/>
      </w:r>
      <w:r>
        <w:rPr>
          <w:color w:val="000000" w:themeColor="text1"/>
          <w14:textFill>
            <w14:solidFill>
              <w14:schemeClr w14:val="tx1"/>
            </w14:solidFill>
          </w14:textFill>
        </w:rPr>
        <w:t>Príjmy súvisiace s derivátmi, s výnimkou, ak sú určené na predaj alebo na obchodovanie, alebo ak sa považujú za peňažné toky z investičnej činnosti</w:t>
      </w:r>
      <w:r>
        <w:rPr>
          <w:color w:val="000000" w:themeColor="text1"/>
          <w:spacing w:val="-23"/>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2265"/>
          <w:tab w:val="left" w:pos="9781"/>
        </w:tabs>
        <w:ind w:left="2265" w:right="851" w:hanging="1419"/>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7.</w:t>
      </w:r>
      <w:r>
        <w:rPr>
          <w:color w:val="000000" w:themeColor="text1"/>
          <w14:textFill>
            <w14:solidFill>
              <w14:schemeClr w14:val="tx1"/>
            </w14:solidFill>
          </w14:textFill>
        </w:rPr>
        <w:tab/>
      </w:r>
      <w:r>
        <w:rPr>
          <w:color w:val="000000" w:themeColor="text1"/>
          <w14:textFill>
            <w14:solidFill>
              <w14:schemeClr w14:val="tx1"/>
            </w14:solidFill>
          </w14:textFill>
        </w:rPr>
        <w:t>Výdavky na daň z príjmov účtovnej jednotky, ak ich možno začleniť do finančných činností</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tabs>
          <w:tab w:val="left" w:pos="2265"/>
          <w:tab w:val="left" w:pos="9781"/>
        </w:tabs>
        <w:spacing w:line="251" w:lineRule="exact"/>
        <w:ind w:left="858"/>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8.</w:t>
      </w:r>
      <w:r>
        <w:rPr>
          <w:color w:val="000000" w:themeColor="text1"/>
          <w14:textFill>
            <w14:solidFill>
              <w14:schemeClr w14:val="tx1"/>
            </w14:solidFill>
          </w14:textFill>
        </w:rPr>
        <w:tab/>
      </w:r>
      <w:r>
        <w:rPr>
          <w:color w:val="000000" w:themeColor="text1"/>
          <w14:textFill>
            <w14:solidFill>
              <w14:schemeClr w14:val="tx1"/>
            </w14:solidFill>
          </w14:textFill>
        </w:rPr>
        <w:t xml:space="preserve">Príjmy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finančnú činnosť</w:t>
      </w:r>
      <w:r>
        <w:rPr>
          <w:color w:val="000000" w:themeColor="text1"/>
          <w:spacing w:val="-13"/>
          <w14:textFill>
            <w14:solidFill>
              <w14:schemeClr w14:val="tx1"/>
            </w14:solidFill>
          </w14:textFill>
        </w:rPr>
        <w:t xml:space="preserve"> </w:t>
      </w:r>
      <w:r>
        <w:rPr>
          <w:color w:val="000000" w:themeColor="text1"/>
          <w14:textFill>
            <w14:solidFill>
              <w14:schemeClr w14:val="tx1"/>
            </w14:solidFill>
          </w14:textFill>
        </w:rPr>
        <w:t>(+)</w:t>
      </w:r>
    </w:p>
    <w:p>
      <w:pPr>
        <w:tabs>
          <w:tab w:val="left" w:pos="2265"/>
          <w:tab w:val="left" w:pos="9781"/>
        </w:tabs>
        <w:spacing w:line="252" w:lineRule="exact"/>
        <w:ind w:left="858"/>
        <w:jc w:val="both"/>
        <w:rPr>
          <w:color w:val="000000" w:themeColor="text1"/>
          <w14:textFill>
            <w14:solidFill>
              <w14:schemeClr w14:val="tx1"/>
            </w14:solidFill>
          </w14:textFill>
        </w:rPr>
      </w:pPr>
      <w:r>
        <w:rPr>
          <w:color w:val="000000" w:themeColor="text1"/>
          <w14:textFill>
            <w14:solidFill>
              <w14:schemeClr w14:val="tx1"/>
            </w14:solidFill>
          </w14:textFill>
        </w:rPr>
        <w:t>C.</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9.</w:t>
      </w:r>
      <w:r>
        <w:rPr>
          <w:color w:val="000000" w:themeColor="text1"/>
          <w14:textFill>
            <w14:solidFill>
              <w14:schemeClr w14:val="tx1"/>
            </w14:solidFill>
          </w14:textFill>
        </w:rPr>
        <w:tab/>
      </w:r>
      <w:r>
        <w:rPr>
          <w:color w:val="000000" w:themeColor="text1"/>
          <w14:textFill>
            <w14:solidFill>
              <w14:schemeClr w14:val="tx1"/>
            </w14:solidFill>
          </w14:textFill>
        </w:rPr>
        <w:t xml:space="preserve">Výdavky </w:t>
      </w:r>
      <w:r>
        <w:rPr>
          <w:b/>
          <w:color w:val="000000" w:themeColor="text1"/>
          <w14:textFill>
            <w14:solidFill>
              <w14:schemeClr w14:val="tx1"/>
            </w14:solidFill>
          </w14:textFill>
        </w:rPr>
        <w:t xml:space="preserve">výnimočného rozsahu alebo výskytu </w:t>
      </w:r>
      <w:r>
        <w:rPr>
          <w:color w:val="000000" w:themeColor="text1"/>
          <w14:textFill>
            <w14:solidFill>
              <w14:schemeClr w14:val="tx1"/>
            </w14:solidFill>
          </w14:textFill>
        </w:rPr>
        <w:t>vzťahujúce sa na finančnú činnosť</w:t>
      </w:r>
      <w:r>
        <w:rPr>
          <w:color w:val="000000" w:themeColor="text1"/>
          <w:spacing w:val="-16"/>
          <w14:textFill>
            <w14:solidFill>
              <w14:schemeClr w14:val="tx1"/>
            </w14:solidFill>
          </w14:textFill>
        </w:rPr>
        <w:t xml:space="preserve"> </w:t>
      </w:r>
      <w:r>
        <w:rPr>
          <w:color w:val="000000" w:themeColor="text1"/>
          <w14:textFill>
            <w14:solidFill>
              <w14:schemeClr w14:val="tx1"/>
            </w14:solidFill>
          </w14:textFill>
        </w:rPr>
        <w:t>(-)</w:t>
      </w:r>
    </w:p>
    <w:p>
      <w:pPr>
        <w:pStyle w:val="10"/>
        <w:numPr>
          <w:ilvl w:val="0"/>
          <w:numId w:val="14"/>
        </w:numPr>
        <w:tabs>
          <w:tab w:val="left" w:pos="2265"/>
          <w:tab w:val="left" w:pos="2266"/>
          <w:tab w:val="left" w:pos="9781"/>
        </w:tabs>
        <w:spacing w:line="252" w:lineRule="exact"/>
        <w:ind w:hanging="1422"/>
        <w:jc w:val="both"/>
        <w:rPr>
          <w:b/>
          <w:i/>
          <w:color w:val="000000" w:themeColor="text1"/>
          <w14:textFill>
            <w14:solidFill>
              <w14:schemeClr w14:val="tx1"/>
            </w14:solidFill>
          </w14:textFill>
        </w:rPr>
      </w:pPr>
      <w:r>
        <w:rPr>
          <w:b/>
          <w:i/>
          <w:color w:val="000000" w:themeColor="text1"/>
          <w14:textFill>
            <w14:solidFill>
              <w14:schemeClr w14:val="tx1"/>
            </w14:solidFill>
          </w14:textFill>
        </w:rPr>
        <w:t>Čisté peňažné toky z finančnej činnosti (súčet C. 1. až C.</w:t>
      </w:r>
      <w:r>
        <w:rPr>
          <w:b/>
          <w:i/>
          <w:color w:val="000000" w:themeColor="text1"/>
          <w:spacing w:val="-9"/>
          <w14:textFill>
            <w14:solidFill>
              <w14:schemeClr w14:val="tx1"/>
            </w14:solidFill>
          </w14:textFill>
        </w:rPr>
        <w:t xml:space="preserve"> </w:t>
      </w:r>
      <w:r>
        <w:rPr>
          <w:b/>
          <w:i/>
          <w:color w:val="000000" w:themeColor="text1"/>
          <w14:textFill>
            <w14:solidFill>
              <w14:schemeClr w14:val="tx1"/>
            </w14:solidFill>
          </w14:textFill>
        </w:rPr>
        <w:t>9.)</w:t>
      </w:r>
    </w:p>
    <w:p>
      <w:pPr>
        <w:pStyle w:val="2"/>
        <w:numPr>
          <w:ilvl w:val="0"/>
          <w:numId w:val="14"/>
        </w:numPr>
        <w:tabs>
          <w:tab w:val="left" w:pos="2265"/>
          <w:tab w:val="left" w:pos="2266"/>
          <w:tab w:val="left" w:pos="9781"/>
        </w:tabs>
        <w:ind w:right="579" w:hanging="1419"/>
        <w:jc w:val="both"/>
        <w:rPr>
          <w:i/>
          <w:color w:val="000000" w:themeColor="text1"/>
          <w14:textFill>
            <w14:solidFill>
              <w14:schemeClr w14:val="tx1"/>
            </w14:solidFill>
          </w14:textFill>
        </w:rPr>
      </w:pPr>
      <w:r>
        <w:rPr>
          <w:color w:val="000000" w:themeColor="text1"/>
          <w14:textFill>
            <w14:solidFill>
              <w14:schemeClr w14:val="tx1"/>
            </w14:solidFill>
          </w14:textFill>
        </w:rPr>
        <w:t xml:space="preserve">Čisté zvýšenie alebo čisté zníženie peňažných prostriedkov (+/-) (súčet A </w:t>
      </w:r>
      <w:r>
        <w:rPr>
          <w:i/>
          <w:color w:val="000000" w:themeColor="text1"/>
          <w14:textFill>
            <w14:solidFill>
              <w14:schemeClr w14:val="tx1"/>
            </w14:solidFill>
          </w14:textFill>
        </w:rPr>
        <w:t>+ B + C)</w:t>
      </w:r>
    </w:p>
    <w:p>
      <w:pPr>
        <w:pStyle w:val="10"/>
        <w:numPr>
          <w:ilvl w:val="0"/>
          <w:numId w:val="14"/>
        </w:numPr>
        <w:tabs>
          <w:tab w:val="left" w:pos="2265"/>
          <w:tab w:val="left" w:pos="2266"/>
          <w:tab w:val="left" w:pos="9781"/>
        </w:tabs>
        <w:spacing w:before="1"/>
        <w:ind w:right="576" w:hanging="1419"/>
        <w:jc w:val="both"/>
        <w:rPr>
          <w:i/>
          <w:color w:val="000000" w:themeColor="text1"/>
          <w14:textFill>
            <w14:solidFill>
              <w14:schemeClr w14:val="tx1"/>
            </w14:solidFill>
          </w14:textFill>
        </w:rPr>
      </w:pPr>
      <w:r>
        <w:rPr>
          <w:b/>
          <w:color w:val="000000" w:themeColor="text1"/>
          <w14:textFill>
            <w14:solidFill>
              <w14:schemeClr w14:val="tx1"/>
            </w14:solidFill>
          </w14:textFill>
        </w:rPr>
        <w:t>Stav peňažných prostriedkov a peňažných ekvivalentov na začiatku účtovného obdobia (+/-)</w:t>
      </w:r>
      <w:r>
        <w:rPr>
          <w:i/>
          <w:color w:val="000000" w:themeColor="text1"/>
          <w:position w:val="6"/>
          <w:sz w:val="14"/>
          <w14:textFill>
            <w14:solidFill>
              <w14:schemeClr w14:val="tx1"/>
            </w14:solidFill>
          </w14:textFill>
        </w:rPr>
        <w:t>2</w:t>
      </w:r>
    </w:p>
    <w:p>
      <w:pPr>
        <w:pStyle w:val="2"/>
        <w:numPr>
          <w:ilvl w:val="0"/>
          <w:numId w:val="14"/>
        </w:numPr>
        <w:tabs>
          <w:tab w:val="left" w:pos="2265"/>
          <w:tab w:val="left" w:pos="2266"/>
          <w:tab w:val="left" w:pos="9781"/>
        </w:tabs>
        <w:ind w:right="571" w:hanging="1407"/>
        <w:jc w:val="both"/>
        <w:rPr>
          <w:b w:val="0"/>
          <w:i/>
          <w:color w:val="000000" w:themeColor="text1"/>
          <w14:textFill>
            <w14:solidFill>
              <w14:schemeClr w14:val="tx1"/>
            </w14:solidFill>
          </w14:textFill>
        </w:rPr>
      </w:pPr>
      <w:r>
        <w:rPr>
          <w:color w:val="000000" w:themeColor="text1"/>
          <w14:textFill>
            <w14:solidFill>
              <w14:schemeClr w14:val="tx1"/>
            </w14:solidFill>
          </w14:textFill>
        </w:rPr>
        <w:t>Stav peňažných prostriedkov a peňažných ekvivalentov na konci účtovného obdobia pred zohľadnením kurzových rozdielov vyčíslených ku dňu, ku ktorému sa zostavuje účtovná závierka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r>
        <w:rPr>
          <w:b w:val="0"/>
          <w:i/>
          <w:color w:val="000000" w:themeColor="text1"/>
          <w:position w:val="6"/>
          <w:sz w:val="14"/>
          <w14:textFill>
            <w14:solidFill>
              <w14:schemeClr w14:val="tx1"/>
            </w14:solidFill>
          </w14:textFill>
        </w:rPr>
        <w:t>2</w:t>
      </w:r>
    </w:p>
    <w:p>
      <w:pPr>
        <w:pStyle w:val="10"/>
        <w:numPr>
          <w:ilvl w:val="0"/>
          <w:numId w:val="14"/>
        </w:numPr>
        <w:tabs>
          <w:tab w:val="left" w:pos="2265"/>
          <w:tab w:val="left" w:pos="2266"/>
          <w:tab w:val="left" w:pos="9781"/>
        </w:tabs>
        <w:spacing w:before="1"/>
        <w:ind w:right="573" w:hanging="1419"/>
        <w:jc w:val="both"/>
        <w:rPr>
          <w:i/>
          <w:color w:val="000000" w:themeColor="text1"/>
          <w14:textFill>
            <w14:solidFill>
              <w14:schemeClr w14:val="tx1"/>
            </w14:solidFill>
          </w14:textFill>
        </w:rPr>
      </w:pPr>
      <w:r>
        <w:rPr>
          <w:b/>
          <w:color w:val="000000" w:themeColor="text1"/>
          <w14:textFill>
            <w14:solidFill>
              <w14:schemeClr w14:val="tx1"/>
            </w14:solidFill>
          </w14:textFill>
        </w:rPr>
        <w:t>Kurzové rozdiely vyčíslené k peňažným prostriedkom a peňažným ekvivalentom ku dňu, ku ktorému sa zostavuje účtovná závierka</w:t>
      </w:r>
      <w:r>
        <w:rPr>
          <w:b/>
          <w:color w:val="000000" w:themeColor="text1"/>
          <w:spacing w:val="-8"/>
          <w14:textFill>
            <w14:solidFill>
              <w14:schemeClr w14:val="tx1"/>
            </w14:solidFill>
          </w14:textFill>
        </w:rPr>
        <w:t xml:space="preserve"> </w:t>
      </w:r>
      <w:r>
        <w:rPr>
          <w:b/>
          <w:color w:val="000000" w:themeColor="text1"/>
          <w14:textFill>
            <w14:solidFill>
              <w14:schemeClr w14:val="tx1"/>
            </w14:solidFill>
          </w14:textFill>
        </w:rPr>
        <w:t>(+/-)</w:t>
      </w:r>
      <w:r>
        <w:rPr>
          <w:i/>
          <w:color w:val="000000" w:themeColor="text1"/>
          <w:position w:val="6"/>
          <w:sz w:val="14"/>
          <w14:textFill>
            <w14:solidFill>
              <w14:schemeClr w14:val="tx1"/>
            </w14:solidFill>
          </w14:textFill>
        </w:rPr>
        <w:t>2</w:t>
      </w:r>
    </w:p>
    <w:p>
      <w:pPr>
        <w:pStyle w:val="2"/>
        <w:numPr>
          <w:ilvl w:val="0"/>
          <w:numId w:val="14"/>
        </w:numPr>
        <w:tabs>
          <w:tab w:val="left" w:pos="2265"/>
          <w:tab w:val="left" w:pos="2266"/>
          <w:tab w:val="left" w:pos="9781"/>
        </w:tabs>
        <w:ind w:right="571" w:hanging="1407"/>
        <w:jc w:val="both"/>
        <w:rPr>
          <w:b w:val="0"/>
          <w:i/>
          <w:color w:val="000000" w:themeColor="text1"/>
          <w14:textFill>
            <w14:solidFill>
              <w14:schemeClr w14:val="tx1"/>
            </w14:solidFill>
          </w14:textFill>
        </w:rPr>
      </w:pPr>
      <w:r>
        <w:rPr>
          <w:color w:val="000000" w:themeColor="text1"/>
          <w14:textFill>
            <w14:solidFill>
              <w14:schemeClr w14:val="tx1"/>
            </w14:solidFill>
          </w14:textFill>
        </w:rPr>
        <w:t>Zostatok peňažných prostriedkov a peňažných ekvivalentov na konci účtovného obdobia upravený o kurzové rozdiely vyčíslené ku dňu, ku ktorému sa zostavuje účtovná závierka</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r>
        <w:rPr>
          <w:b w:val="0"/>
          <w:i/>
          <w:color w:val="000000" w:themeColor="text1"/>
          <w:position w:val="6"/>
          <w:sz w:val="14"/>
          <w14:textFill>
            <w14:solidFill>
              <w14:schemeClr w14:val="tx1"/>
            </w14:solidFill>
          </w14:textFill>
        </w:rPr>
        <w:t>2</w:t>
      </w:r>
    </w:p>
    <w:p>
      <w:pPr>
        <w:pStyle w:val="5"/>
        <w:tabs>
          <w:tab w:val="left" w:pos="9781"/>
        </w:tabs>
        <w:spacing w:before="11"/>
        <w:jc w:val="both"/>
        <w:rPr>
          <w:i/>
          <w:color w:val="000000" w:themeColor="text1"/>
          <w:sz w:val="21"/>
          <w14:textFill>
            <w14:solidFill>
              <w14:schemeClr w14:val="tx1"/>
            </w14:solidFill>
          </w14:textFill>
        </w:rPr>
      </w:pPr>
    </w:p>
    <w:p>
      <w:pPr>
        <w:pStyle w:val="2"/>
        <w:numPr>
          <w:ilvl w:val="0"/>
          <w:numId w:val="10"/>
        </w:numPr>
        <w:tabs>
          <w:tab w:val="left" w:pos="284"/>
          <w:tab w:val="left" w:pos="9781"/>
        </w:tabs>
        <w:ind w:left="284" w:right="576"/>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poznámkach účtovných jednotiek podľa § 23d ods. 6 zákona, ktorých činnosť je zaradená do kategórie priemyselnej výroby podľa osobitného predpisu1e) a ktorých čistý obrat za bezprostredne predchádzajúce účtovné obdobie bol väčší ako 250 000 000 eur sa uvedú aj informácie o</w:t>
      </w:r>
    </w:p>
    <w:p>
      <w:pPr>
        <w:pStyle w:val="5"/>
        <w:tabs>
          <w:tab w:val="left" w:pos="9781"/>
        </w:tabs>
        <w:spacing w:before="1"/>
        <w:jc w:val="both"/>
        <w:rPr>
          <w:b/>
          <w:color w:val="000000" w:themeColor="text1"/>
          <w14:textFill>
            <w14:solidFill>
              <w14:schemeClr w14:val="tx1"/>
            </w14:solidFill>
          </w14:textFill>
        </w:rPr>
      </w:pPr>
    </w:p>
    <w:p>
      <w:pPr>
        <w:pStyle w:val="10"/>
        <w:numPr>
          <w:ilvl w:val="1"/>
          <w:numId w:val="10"/>
        </w:numPr>
        <w:tabs>
          <w:tab w:val="left" w:pos="426"/>
          <w:tab w:val="left" w:pos="9781"/>
        </w:tabs>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právach,</w:t>
      </w:r>
    </w:p>
    <w:p>
      <w:pPr>
        <w:pStyle w:val="10"/>
        <w:numPr>
          <w:ilvl w:val="1"/>
          <w:numId w:val="10"/>
        </w:numPr>
        <w:tabs>
          <w:tab w:val="left" w:pos="426"/>
          <w:tab w:val="left" w:pos="9781"/>
        </w:tabs>
        <w:ind w:left="426" w:right="572" w:hanging="284"/>
        <w:jc w:val="both"/>
        <w:rPr>
          <w:color w:val="000000" w:themeColor="text1"/>
          <w14:textFill>
            <w14:solidFill>
              <w14:schemeClr w14:val="tx1"/>
            </w14:solidFill>
          </w14:textFill>
        </w:rPr>
      </w:pPr>
      <w:r>
        <w:rPr>
          <w:color w:val="000000" w:themeColor="text1"/>
          <w14:textFill>
            <w14:solidFill>
              <w14:schemeClr w14:val="tx1"/>
            </w14:solidFill>
          </w14:textFill>
        </w:rPr>
        <w:t>cenných papieroch vo vlastníctve orgánov verejnej moci a iných osôb, v ktorých má orgán verejnej moci väčšinový  podiel  na  hlasovacích  právach,  s ktorými  je  spojené  právo  na  výmenu  za  akcie, napríklad konvertibilné</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dlhopisy,</w:t>
      </w:r>
    </w:p>
    <w:p>
      <w:pPr>
        <w:pStyle w:val="10"/>
        <w:numPr>
          <w:ilvl w:val="1"/>
          <w:numId w:val="10"/>
        </w:numPr>
        <w:tabs>
          <w:tab w:val="left" w:pos="426"/>
          <w:tab w:val="left" w:pos="9781"/>
        </w:tabs>
        <w:spacing w:line="251"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výške dotácií a návratných finančných</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výpomocí,</w:t>
      </w:r>
    </w:p>
    <w:p>
      <w:pPr>
        <w:pStyle w:val="10"/>
        <w:numPr>
          <w:ilvl w:val="1"/>
          <w:numId w:val="10"/>
        </w:numPr>
        <w:tabs>
          <w:tab w:val="left" w:pos="426"/>
          <w:tab w:val="left" w:pos="9781"/>
        </w:tabs>
        <w:ind w:left="426" w:right="570" w:hanging="284"/>
        <w:jc w:val="both"/>
        <w:rPr>
          <w:color w:val="000000" w:themeColor="text1"/>
          <w14:textFill>
            <w14:solidFill>
              <w14:schemeClr w14:val="tx1"/>
            </w14:solidFill>
          </w14:textFill>
        </w:rPr>
      </w:pPr>
      <w:r>
        <w:rPr>
          <w:color w:val="000000" w:themeColor="text1"/>
          <w14:textFill>
            <w14:solidFill>
              <w14:schemeClr w14:val="tx1"/>
            </w14:solidFill>
          </w14:textFill>
        </w:rPr>
        <w:t>prijatých úveroch, poskytnutých prečerpaní úverov, prijatých kapitálových príspevkov s uvedením úrokových sadzieb a o podmienkach poskytnutia úveru a zárukách poskytnutých účtovnou</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jednotkou,</w:t>
      </w:r>
    </w:p>
    <w:p>
      <w:pPr>
        <w:pStyle w:val="10"/>
        <w:numPr>
          <w:ilvl w:val="1"/>
          <w:numId w:val="10"/>
        </w:numPr>
        <w:tabs>
          <w:tab w:val="left" w:pos="426"/>
          <w:tab w:val="left" w:pos="9781"/>
        </w:tabs>
        <w:spacing w:before="2"/>
        <w:ind w:left="426" w:right="571" w:hanging="284"/>
        <w:jc w:val="both"/>
        <w:rPr>
          <w:color w:val="000000" w:themeColor="text1"/>
          <w14:textFill>
            <w14:solidFill>
              <w14:schemeClr w14:val="tx1"/>
            </w14:solidFill>
          </w14:textFill>
        </w:rPr>
      </w:pPr>
      <w:r>
        <w:rPr>
          <w:color w:val="000000" w:themeColor="text1"/>
          <w14:textFill>
            <w14:solidFill>
              <w14:schemeClr w14:val="tx1"/>
            </w14:solidFill>
          </w14:textFill>
        </w:rPr>
        <w:t>zárukách poskytnutých  orgánom  verejnej moci  a zárukách poskytnutých inou  účtovnou jednotkou,  v ktorej má orgán verejnej moci väčšinový podiel na hlasovacích právach, podmienkach ich poskytnutia a nákladoch na ich</w:t>
      </w:r>
      <w:r>
        <w:rPr>
          <w:color w:val="000000" w:themeColor="text1"/>
          <w:spacing w:val="47"/>
          <w14:textFill>
            <w14:solidFill>
              <w14:schemeClr w14:val="tx1"/>
            </w14:solidFill>
          </w14:textFill>
        </w:rPr>
        <w:t xml:space="preserve"> </w:t>
      </w:r>
      <w:r>
        <w:rPr>
          <w:color w:val="000000" w:themeColor="text1"/>
          <w14:textFill>
            <w14:solidFill>
              <w14:schemeClr w14:val="tx1"/>
            </w14:solidFill>
          </w14:textFill>
        </w:rPr>
        <w:t>získanie,</w:t>
      </w:r>
    </w:p>
    <w:p>
      <w:pPr>
        <w:pStyle w:val="10"/>
        <w:numPr>
          <w:ilvl w:val="1"/>
          <w:numId w:val="10"/>
        </w:numPr>
        <w:tabs>
          <w:tab w:val="left" w:pos="426"/>
          <w:tab w:val="left" w:pos="9781"/>
        </w:tabs>
        <w:spacing w:line="251"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vyplatených dividendách a výške nerozdeleného</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zisku,</w:t>
      </w:r>
    </w:p>
    <w:p>
      <w:pPr>
        <w:pStyle w:val="10"/>
        <w:numPr>
          <w:ilvl w:val="1"/>
          <w:numId w:val="10"/>
        </w:numPr>
        <w:tabs>
          <w:tab w:val="left" w:pos="426"/>
          <w:tab w:val="left" w:pos="9781"/>
        </w:tabs>
        <w:spacing w:before="2"/>
        <w:ind w:left="426" w:right="578" w:hanging="284"/>
        <w:jc w:val="both"/>
        <w:rPr>
          <w:color w:val="000000" w:themeColor="text1"/>
          <w14:textFill>
            <w14:solidFill>
              <w14:schemeClr w14:val="tx1"/>
            </w14:solidFill>
          </w14:textFill>
        </w:rPr>
      </w:pPr>
      <w:r>
        <w:rPr>
          <w:color w:val="000000" w:themeColor="text1"/>
          <w14:textFill>
            <w14:solidFill>
              <w14:schemeClr w14:val="tx1"/>
            </w14:solidFill>
          </w14:textFill>
        </w:rPr>
        <w:t>iných formách prijatej štátnej pomoci, najmä odpustenie súm, ktoré účtovná jednotka dlhuje štátu alebo inému subjektu verejnej</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správy,</w:t>
      </w:r>
    </w:p>
    <w:p>
      <w:pPr>
        <w:pStyle w:val="10"/>
        <w:numPr>
          <w:ilvl w:val="1"/>
          <w:numId w:val="10"/>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skutočnostiach podľa časti</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V.</w:t>
      </w:r>
    </w:p>
    <w:p>
      <w:pPr>
        <w:pStyle w:val="5"/>
        <w:tabs>
          <w:tab w:val="left" w:pos="9781"/>
        </w:tabs>
        <w:spacing w:before="11"/>
        <w:jc w:val="both"/>
        <w:rPr>
          <w:color w:val="000000" w:themeColor="text1"/>
          <w:sz w:val="21"/>
          <w14:textFill>
            <w14:solidFill>
              <w14:schemeClr w14:val="tx1"/>
            </w14:solidFill>
          </w14:textFill>
        </w:rPr>
      </w:pPr>
    </w:p>
    <w:p>
      <w:pPr>
        <w:pStyle w:val="2"/>
        <w:numPr>
          <w:ilvl w:val="0"/>
          <w:numId w:val="10"/>
        </w:numPr>
        <w:tabs>
          <w:tab w:val="left" w:pos="284"/>
          <w:tab w:val="left" w:pos="9781"/>
        </w:tabs>
        <w:ind w:left="284" w:right="571"/>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poznámkach účtovných jednotiek podľa § 23d ods. 6 zákona sa uvedú aj informácie o finančných vzťahoch medzi orgánom verejnej moci a účtovnou jednotkou a to</w:t>
      </w:r>
      <w:r>
        <w:rPr>
          <w:color w:val="000000" w:themeColor="text1"/>
          <w:spacing w:val="-5"/>
          <w:sz w:val="24"/>
          <w14:textFill>
            <w14:solidFill>
              <w14:schemeClr w14:val="tx1"/>
            </w14:solidFill>
          </w14:textFill>
        </w:rPr>
        <w:t xml:space="preserve"> </w:t>
      </w:r>
      <w:r>
        <w:rPr>
          <w:color w:val="000000" w:themeColor="text1"/>
          <w:sz w:val="24"/>
          <w14:textFill>
            <w14:solidFill>
              <w14:schemeClr w14:val="tx1"/>
            </w14:solidFill>
          </w14:textFill>
        </w:rPr>
        <w:t>o</w:t>
      </w:r>
    </w:p>
    <w:p>
      <w:pPr>
        <w:pStyle w:val="10"/>
        <w:numPr>
          <w:ilvl w:val="1"/>
          <w:numId w:val="10"/>
        </w:numPr>
        <w:tabs>
          <w:tab w:val="left" w:pos="426"/>
          <w:tab w:val="left" w:pos="9781"/>
        </w:tabs>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náhradách strát z hospodárskej činnosti účtovnej</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jednotky,</w:t>
      </w:r>
    </w:p>
    <w:p>
      <w:pPr>
        <w:pStyle w:val="10"/>
        <w:numPr>
          <w:ilvl w:val="1"/>
          <w:numId w:val="10"/>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peňažných vkladoch a nepeňažných</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vkladoch,</w:t>
      </w:r>
    </w:p>
    <w:p>
      <w:pPr>
        <w:pStyle w:val="10"/>
        <w:numPr>
          <w:ilvl w:val="1"/>
          <w:numId w:val="10"/>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nenávratných finančných príspevkoch alebo pôžičkách za zvýhodnených</w:t>
      </w:r>
      <w:r>
        <w:rPr>
          <w:color w:val="000000" w:themeColor="text1"/>
          <w:spacing w:val="-10"/>
          <w14:textFill>
            <w14:solidFill>
              <w14:schemeClr w14:val="tx1"/>
            </w14:solidFill>
          </w14:textFill>
        </w:rPr>
        <w:t xml:space="preserve"> </w:t>
      </w:r>
      <w:r>
        <w:rPr>
          <w:color w:val="000000" w:themeColor="text1"/>
          <w14:textFill>
            <w14:solidFill>
              <w14:schemeClr w14:val="tx1"/>
            </w14:solidFill>
          </w14:textFill>
        </w:rPr>
        <w:t>podmienok,</w:t>
      </w:r>
    </w:p>
    <w:p>
      <w:pPr>
        <w:pStyle w:val="10"/>
        <w:numPr>
          <w:ilvl w:val="1"/>
          <w:numId w:val="10"/>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finančných výhodách, ktorými sú napríklad nevymáhanie pohľadávky voči účtovnej</w:t>
      </w:r>
      <w:r>
        <w:rPr>
          <w:color w:val="000000" w:themeColor="text1"/>
          <w:spacing w:val="-21"/>
          <w14:textFill>
            <w14:solidFill>
              <w14:schemeClr w14:val="tx1"/>
            </w14:solidFill>
          </w14:textFill>
        </w:rPr>
        <w:t xml:space="preserve"> </w:t>
      </w:r>
      <w:r>
        <w:rPr>
          <w:color w:val="000000" w:themeColor="text1"/>
          <w14:textFill>
            <w14:solidFill>
              <w14:schemeClr w14:val="tx1"/>
            </w14:solidFill>
          </w14:textFill>
        </w:rPr>
        <w:t>jednotke,</w:t>
      </w:r>
    </w:p>
    <w:p>
      <w:pPr>
        <w:pStyle w:val="5"/>
        <w:tabs>
          <w:tab w:val="left" w:pos="426"/>
          <w:tab w:val="left" w:pos="9781"/>
        </w:tabs>
        <w:spacing w:before="7"/>
        <w:ind w:left="426" w:hanging="284"/>
        <w:jc w:val="both"/>
        <w:rPr>
          <w:color w:val="000000" w:themeColor="text1"/>
          <w14:textFill>
            <w14:solidFill>
              <w14:schemeClr w14:val="tx1"/>
            </w14:solidFill>
          </w14:textFill>
        </w:rPr>
      </w:pPr>
      <w:r>
        <w:rPr>
          <w:color w:val="000000" w:themeColor="text1"/>
          <w:lang w:eastAsia="sk-SK"/>
          <w14:textFill>
            <w14:solidFill>
              <w14:schemeClr w14:val="tx1"/>
            </w14:solidFill>
          </w14:textFill>
        </w:rPr>
        <mc:AlternateContent>
          <mc:Choice Requires="wps">
            <w:drawing>
              <wp:anchor distT="0" distB="0" distL="0" distR="0" simplePos="0" relativeHeight="251663360" behindDoc="1" locked="0" layoutInCell="1" allowOverlap="1">
                <wp:simplePos x="0" y="0"/>
                <wp:positionH relativeFrom="page">
                  <wp:posOffset>901065</wp:posOffset>
                </wp:positionH>
                <wp:positionV relativeFrom="paragraph">
                  <wp:posOffset>189865</wp:posOffset>
                </wp:positionV>
                <wp:extent cx="1828800" cy="7620"/>
                <wp:effectExtent l="0" t="0" r="0" b="0"/>
                <wp:wrapTopAndBottom/>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70.95pt;margin-top:14.95pt;height:0.6pt;width:144pt;mso-position-horizontal-relative:page;mso-wrap-distance-bottom:0pt;mso-wrap-distance-top:0pt;z-index:-251653120;mso-width-relative:page;mso-height-relative:page;" fillcolor="#000000" filled="t" stroked="f" coordsize="21600,21600" o:gfxdata="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OfYJmzXAAAACQEAAA8AAAAAAAAAAQAg&#10;AAAAIgAAAGRycy9kb3ducmV2LnhtbFBLAQIUABQAAAAIAIdO4kBdhNbpDwIAACcEAAAOAAAAAAAA&#10;AAEAIAAAACYBAABkcnMvZTJvRG9jLnhtbFBLBQYAAAAABgAGAFkBAACnBQAAAAA=&#10;">
                <v:fill on="t" focussize="0,0"/>
                <v:stroke on="f"/>
                <v:imagedata o:title=""/>
                <o:lock v:ext="edit" aspectratio="f"/>
                <w10:wrap type="topAndBottom"/>
              </v:rect>
            </w:pict>
          </mc:Fallback>
        </mc:AlternateContent>
      </w:r>
    </w:p>
    <w:p>
      <w:pPr>
        <w:tabs>
          <w:tab w:val="left" w:pos="426"/>
          <w:tab w:val="left" w:pos="9781"/>
        </w:tabs>
        <w:spacing w:before="76"/>
        <w:ind w:left="426" w:right="851" w:hanging="284"/>
        <w:jc w:val="both"/>
        <w:rPr>
          <w:color w:val="000000" w:themeColor="text1"/>
          <w:sz w:val="20"/>
          <w14:textFill>
            <w14:solidFill>
              <w14:schemeClr w14:val="tx1"/>
            </w14:solidFill>
          </w14:textFill>
        </w:rPr>
      </w:pPr>
      <w:r>
        <w:rPr>
          <w:color w:val="000000" w:themeColor="text1"/>
          <w:position w:val="5"/>
          <w:sz w:val="13"/>
          <w14:textFill>
            <w14:solidFill>
              <w14:schemeClr w14:val="tx1"/>
            </w14:solidFill>
          </w14:textFill>
        </w:rPr>
        <w:t xml:space="preserve">1e) </w:t>
      </w:r>
      <w:r>
        <w:rPr>
          <w:color w:val="000000" w:themeColor="text1"/>
          <w:sz w:val="20"/>
          <w14:textFill>
            <w14:solidFill>
              <w14:schemeClr w14:val="tx1"/>
            </w14:solidFill>
          </w14:textFill>
        </w:rPr>
        <w:t>Sekcia C prílohy vyhlášky Štatistického úradu Slovenskej republiky č. 306/2007 Z. z., ktorou sa vydáva Štatistická klasifikácia ekonomických činností.</w:t>
      </w:r>
    </w:p>
    <w:p>
      <w:pPr>
        <w:tabs>
          <w:tab w:val="left" w:pos="426"/>
          <w:tab w:val="left" w:pos="9781"/>
        </w:tabs>
        <w:ind w:left="426" w:hanging="284"/>
        <w:jc w:val="both"/>
        <w:rPr>
          <w:color w:val="000000" w:themeColor="text1"/>
          <w:sz w:val="20"/>
          <w14:textFill>
            <w14:solidFill>
              <w14:schemeClr w14:val="tx1"/>
            </w14:solidFill>
          </w14:textFill>
        </w:rPr>
        <w:sectPr>
          <w:pgSz w:w="11910" w:h="16850"/>
          <w:pgMar w:top="1340" w:right="840" w:bottom="1080" w:left="1280" w:header="0" w:footer="897" w:gutter="0"/>
          <w:cols w:space="708" w:num="1"/>
        </w:sectPr>
      </w:pPr>
    </w:p>
    <w:p>
      <w:pPr>
        <w:pStyle w:val="10"/>
        <w:numPr>
          <w:ilvl w:val="1"/>
          <w:numId w:val="10"/>
        </w:numPr>
        <w:tabs>
          <w:tab w:val="left" w:pos="426"/>
          <w:tab w:val="left" w:pos="9781"/>
        </w:tabs>
        <w:spacing w:before="76"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vzdaní sa dividend alebo podielov na</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zisku,</w:t>
      </w:r>
    </w:p>
    <w:p>
      <w:pPr>
        <w:pStyle w:val="10"/>
        <w:numPr>
          <w:ilvl w:val="1"/>
          <w:numId w:val="10"/>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poskytnutých náhradách za finančné povinnosti uložené orgánom verejnej</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moci.</w:t>
      </w:r>
    </w:p>
    <w:p>
      <w:pPr>
        <w:pStyle w:val="5"/>
        <w:tabs>
          <w:tab w:val="left" w:pos="9781"/>
        </w:tabs>
        <w:spacing w:before="10"/>
        <w:jc w:val="both"/>
        <w:rPr>
          <w:color w:val="000000" w:themeColor="text1"/>
          <w:sz w:val="21"/>
          <w14:textFill>
            <w14:solidFill>
              <w14:schemeClr w14:val="tx1"/>
            </w14:solidFill>
          </w14:textFill>
        </w:rPr>
      </w:pPr>
    </w:p>
    <w:p>
      <w:pPr>
        <w:pStyle w:val="2"/>
        <w:numPr>
          <w:ilvl w:val="0"/>
          <w:numId w:val="10"/>
        </w:numPr>
        <w:tabs>
          <w:tab w:val="left" w:pos="284"/>
          <w:tab w:val="left" w:pos="9781"/>
        </w:tabs>
        <w:ind w:left="284" w:right="572"/>
        <w:jc w:val="both"/>
        <w:rPr>
          <w:color w:val="000000" w:themeColor="text1"/>
          <w:sz w:val="24"/>
          <w14:textFill>
            <w14:solidFill>
              <w14:schemeClr w14:val="tx1"/>
            </w14:solidFill>
          </w14:textFill>
        </w:rPr>
      </w:pPr>
      <w:r>
        <w:rPr>
          <w:color w:val="000000" w:themeColor="text1"/>
          <w:sz w:val="24"/>
          <w14:textFill>
            <w14:solidFill>
              <w14:schemeClr w14:val="tx1"/>
            </w14:solidFill>
          </w14:textFill>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pPr>
        <w:pStyle w:val="5"/>
        <w:tabs>
          <w:tab w:val="left" w:pos="9781"/>
        </w:tabs>
        <w:jc w:val="both"/>
        <w:rPr>
          <w:b/>
          <w:color w:val="000000" w:themeColor="text1"/>
          <w14:textFill>
            <w14:solidFill>
              <w14:schemeClr w14:val="tx1"/>
            </w14:solidFill>
          </w14:textFill>
        </w:rPr>
      </w:pPr>
    </w:p>
    <w:p>
      <w:pPr>
        <w:pStyle w:val="10"/>
        <w:numPr>
          <w:ilvl w:val="1"/>
          <w:numId w:val="10"/>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všetkých formách prijatej</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náhrady,</w:t>
      </w:r>
    </w:p>
    <w:p>
      <w:pPr>
        <w:pStyle w:val="10"/>
        <w:numPr>
          <w:ilvl w:val="1"/>
          <w:numId w:val="10"/>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účtovných zásadách použitých pri priraďovaní nákladov a</w:t>
      </w:r>
      <w:r>
        <w:rPr>
          <w:color w:val="000000" w:themeColor="text1"/>
          <w:spacing w:val="-27"/>
          <w14:textFill>
            <w14:solidFill>
              <w14:schemeClr w14:val="tx1"/>
            </w14:solidFill>
          </w14:textFill>
        </w:rPr>
        <w:t xml:space="preserve"> </w:t>
      </w:r>
      <w:r>
        <w:rPr>
          <w:color w:val="000000" w:themeColor="text1"/>
          <w14:textFill>
            <w14:solidFill>
              <w14:schemeClr w14:val="tx1"/>
            </w14:solidFill>
          </w14:textFill>
        </w:rPr>
        <w:t>výnosov,</w:t>
      </w:r>
    </w:p>
    <w:p>
      <w:pPr>
        <w:pStyle w:val="10"/>
        <w:numPr>
          <w:ilvl w:val="1"/>
          <w:numId w:val="10"/>
        </w:numPr>
        <w:tabs>
          <w:tab w:val="left" w:pos="426"/>
          <w:tab w:val="left" w:pos="9781"/>
        </w:tabs>
        <w:spacing w:before="2"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organizačnej</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štruktúre</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účtovnej</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jednotky</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a</w:t>
      </w:r>
      <w:r>
        <w:rPr>
          <w:color w:val="000000" w:themeColor="text1"/>
          <w:spacing w:val="-5"/>
          <w14:textFill>
            <w14:solidFill>
              <w14:schemeClr w14:val="tx1"/>
            </w14:solidFill>
          </w14:textFill>
        </w:rPr>
        <w:t xml:space="preserve"> </w:t>
      </w:r>
      <w:r>
        <w:rPr>
          <w:color w:val="000000" w:themeColor="text1"/>
          <w14:textFill>
            <w14:solidFill>
              <w14:schemeClr w14:val="tx1"/>
            </w14:solidFill>
          </w14:textFill>
        </w:rPr>
        <w:t>jednotlivých</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činnostiach,</w:t>
      </w:r>
    </w:p>
    <w:p>
      <w:pPr>
        <w:pStyle w:val="10"/>
        <w:numPr>
          <w:ilvl w:val="1"/>
          <w:numId w:val="10"/>
        </w:numPr>
        <w:tabs>
          <w:tab w:val="left" w:pos="426"/>
          <w:tab w:val="left" w:pos="9781"/>
        </w:tabs>
        <w:spacing w:line="252" w:lineRule="exact"/>
        <w:ind w:left="426" w:hanging="284"/>
        <w:jc w:val="both"/>
        <w:rPr>
          <w:color w:val="000000" w:themeColor="text1"/>
          <w14:textFill>
            <w14:solidFill>
              <w14:schemeClr w14:val="tx1"/>
            </w14:solidFill>
          </w14:textFill>
        </w:rPr>
      </w:pPr>
      <w:r>
        <w:rPr>
          <w:color w:val="000000" w:themeColor="text1"/>
          <w14:textFill>
            <w14:solidFill>
              <w14:schemeClr w14:val="tx1"/>
            </w14:solidFill>
          </w14:textFill>
        </w:rPr>
        <w:t>všetkých druhoch činností účtovnej</w:t>
      </w:r>
      <w:r>
        <w:rPr>
          <w:color w:val="000000" w:themeColor="text1"/>
          <w:spacing w:val="-6"/>
          <w14:textFill>
            <w14:solidFill>
              <w14:schemeClr w14:val="tx1"/>
            </w14:solidFill>
          </w14:textFill>
        </w:rPr>
        <w:t xml:space="preserve"> </w:t>
      </w:r>
      <w:r>
        <w:rPr>
          <w:color w:val="000000" w:themeColor="text1"/>
          <w14:textFill>
            <w14:solidFill>
              <w14:schemeClr w14:val="tx1"/>
            </w14:solidFill>
          </w14:textFill>
        </w:rPr>
        <w:t>jednotky.</w:t>
      </w:r>
    </w:p>
    <w:p>
      <w:pPr>
        <w:pStyle w:val="5"/>
        <w:tabs>
          <w:tab w:val="left" w:pos="9781"/>
        </w:tabs>
        <w:jc w:val="both"/>
        <w:rPr>
          <w:color w:val="000000" w:themeColor="text1"/>
          <w:sz w:val="20"/>
          <w14:textFill>
            <w14:solidFill>
              <w14:schemeClr w14:val="tx1"/>
            </w14:solidFill>
          </w14:textFill>
        </w:rPr>
      </w:pPr>
    </w:p>
    <w:p>
      <w:pPr>
        <w:pStyle w:val="5"/>
        <w:tabs>
          <w:tab w:val="left" w:pos="9781"/>
        </w:tabs>
        <w:spacing w:before="2"/>
        <w:jc w:val="both"/>
        <w:rPr>
          <w:color w:val="000000" w:themeColor="text1"/>
          <w:sz w:val="24"/>
          <w14:textFill>
            <w14:solidFill>
              <w14:schemeClr w14:val="tx1"/>
            </w14:solidFill>
          </w14:textFill>
        </w:rPr>
      </w:pPr>
    </w:p>
    <w:tbl>
      <w:tblPr>
        <w:tblStyle w:val="9"/>
        <w:tblW w:w="0" w:type="auto"/>
        <w:tblInd w:w="14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18"/>
        <w:gridCol w:w="2303"/>
        <w:gridCol w:w="2269"/>
        <w:gridCol w:w="198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trPr>
        <w:tc>
          <w:tcPr>
            <w:tcW w:w="2518" w:type="dxa"/>
          </w:tcPr>
          <w:p>
            <w:pPr>
              <w:pStyle w:val="11"/>
              <w:tabs>
                <w:tab w:val="left" w:pos="9781"/>
              </w:tabs>
              <w:jc w:val="both"/>
              <w:rPr>
                <w:color w:val="000000" w:themeColor="text1"/>
                <w14:textFill>
                  <w14:solidFill>
                    <w14:schemeClr w14:val="tx1"/>
                  </w14:solidFill>
                </w14:textFill>
              </w:rPr>
            </w:pPr>
            <w:r>
              <w:rPr>
                <w:color w:val="000000" w:themeColor="text1"/>
                <w14:textFill>
                  <w14:solidFill>
                    <w14:schemeClr w14:val="tx1"/>
                  </w14:solidFill>
                </w14:textFill>
              </w:rPr>
              <w:t>Zostavené dňa:</w:t>
            </w:r>
          </w:p>
        </w:tc>
        <w:tc>
          <w:tcPr>
            <w:tcW w:w="2303" w:type="dxa"/>
            <w:vMerge w:val="restart"/>
          </w:tcPr>
          <w:p>
            <w:pPr>
              <w:pStyle w:val="11"/>
              <w:tabs>
                <w:tab w:val="left" w:pos="9781"/>
              </w:tabs>
              <w:ind w:left="71" w:right="206"/>
              <w:jc w:val="both"/>
              <w:rPr>
                <w:color w:val="000000" w:themeColor="text1"/>
                <w14:textFill>
                  <w14:solidFill>
                    <w14:schemeClr w14:val="tx1"/>
                  </w14:solidFill>
                </w14:textFill>
              </w:rPr>
            </w:pPr>
            <w:r>
              <w:rPr>
                <w:color w:val="000000" w:themeColor="text1"/>
                <w14:textFill>
                  <w14:solidFill>
                    <w14:schemeClr w14:val="tx1"/>
                  </w14:solidFill>
                </w14:textFill>
              </w:rPr>
              <w:t>Podpisový záznam člena štatutárneho orgánu účtovnej jednotky alebo fyzickej osoby, ktorá je účtovnou jednotkou:</w:t>
            </w:r>
          </w:p>
        </w:tc>
        <w:tc>
          <w:tcPr>
            <w:tcW w:w="2269" w:type="dxa"/>
            <w:vMerge w:val="restart"/>
          </w:tcPr>
          <w:p>
            <w:pPr>
              <w:pStyle w:val="11"/>
              <w:tabs>
                <w:tab w:val="left" w:pos="9781"/>
              </w:tabs>
              <w:ind w:left="68" w:right="125"/>
              <w:jc w:val="both"/>
              <w:rPr>
                <w:color w:val="000000" w:themeColor="text1"/>
                <w14:textFill>
                  <w14:solidFill>
                    <w14:schemeClr w14:val="tx1"/>
                  </w14:solidFill>
                </w14:textFill>
              </w:rPr>
            </w:pPr>
            <w:r>
              <w:rPr>
                <w:color w:val="000000" w:themeColor="text1"/>
                <w14:textFill>
                  <w14:solidFill>
                    <w14:schemeClr w14:val="tx1"/>
                  </w14:solidFill>
                </w14:textFill>
              </w:rPr>
              <w:t>Podpisový záznam osoby zodpovednej za zostavenie účtovnej závierky:</w:t>
            </w:r>
          </w:p>
        </w:tc>
        <w:tc>
          <w:tcPr>
            <w:tcW w:w="1986" w:type="dxa"/>
            <w:vMerge w:val="restart"/>
          </w:tcPr>
          <w:p>
            <w:pPr>
              <w:pStyle w:val="11"/>
              <w:tabs>
                <w:tab w:val="left" w:pos="9781"/>
              </w:tabs>
              <w:ind w:left="67" w:right="93"/>
              <w:jc w:val="both"/>
              <w:rPr>
                <w:color w:val="000000" w:themeColor="text1"/>
                <w14:textFill>
                  <w14:solidFill>
                    <w14:schemeClr w14:val="tx1"/>
                  </w14:solidFill>
                </w14:textFill>
              </w:rPr>
            </w:pPr>
            <w:r>
              <w:rPr>
                <w:color w:val="000000" w:themeColor="text1"/>
                <w14:textFill>
                  <w14:solidFill>
                    <w14:schemeClr w14:val="tx1"/>
                  </w14:solidFill>
                </w14:textFill>
              </w:rPr>
              <w:t>Podpisový záznam osoby zodpovednej za vedenie účtovníctva: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9" w:hRule="atLeast"/>
        </w:trPr>
        <w:tc>
          <w:tcPr>
            <w:tcW w:w="2518" w:type="dxa"/>
          </w:tcPr>
          <w:p>
            <w:pPr>
              <w:pStyle w:val="11"/>
              <w:tabs>
                <w:tab w:val="left" w:pos="9781"/>
              </w:tabs>
              <w:spacing w:line="250" w:lineRule="exact"/>
              <w:jc w:val="both"/>
              <w:rPr>
                <w:color w:val="000000" w:themeColor="text1"/>
                <w14:textFill>
                  <w14:solidFill>
                    <w14:schemeClr w14:val="tx1"/>
                  </w14:solidFill>
                </w14:textFill>
              </w:rPr>
            </w:pPr>
            <w:r>
              <w:rPr>
                <w:color w:val="000000" w:themeColor="text1"/>
                <w14:textFill>
                  <w14:solidFill>
                    <w14:schemeClr w14:val="tx1"/>
                  </w14:solidFill>
                </w14:textFill>
              </w:rPr>
              <w:t>Schválené dňa:</w:t>
            </w:r>
          </w:p>
        </w:tc>
        <w:tc>
          <w:tcPr>
            <w:tcW w:w="2303" w:type="dxa"/>
            <w:vMerge w:val="continue"/>
            <w:tcBorders>
              <w:top w:val="nil"/>
            </w:tcBorders>
          </w:tcPr>
          <w:p>
            <w:pPr>
              <w:tabs>
                <w:tab w:val="left" w:pos="9781"/>
              </w:tabs>
              <w:jc w:val="both"/>
              <w:rPr>
                <w:color w:val="000000" w:themeColor="text1"/>
                <w:sz w:val="2"/>
                <w:szCs w:val="2"/>
                <w14:textFill>
                  <w14:solidFill>
                    <w14:schemeClr w14:val="tx1"/>
                  </w14:solidFill>
                </w14:textFill>
              </w:rPr>
            </w:pPr>
          </w:p>
        </w:tc>
        <w:tc>
          <w:tcPr>
            <w:tcW w:w="2269" w:type="dxa"/>
            <w:vMerge w:val="continue"/>
            <w:tcBorders>
              <w:top w:val="nil"/>
            </w:tcBorders>
          </w:tcPr>
          <w:p>
            <w:pPr>
              <w:tabs>
                <w:tab w:val="left" w:pos="9781"/>
              </w:tabs>
              <w:jc w:val="both"/>
              <w:rPr>
                <w:color w:val="000000" w:themeColor="text1"/>
                <w:sz w:val="2"/>
                <w:szCs w:val="2"/>
                <w14:textFill>
                  <w14:solidFill>
                    <w14:schemeClr w14:val="tx1"/>
                  </w14:solidFill>
                </w14:textFill>
              </w:rPr>
            </w:pPr>
          </w:p>
        </w:tc>
        <w:tc>
          <w:tcPr>
            <w:tcW w:w="1986" w:type="dxa"/>
            <w:vMerge w:val="continue"/>
            <w:tcBorders>
              <w:top w:val="nil"/>
            </w:tcBorders>
          </w:tcPr>
          <w:p>
            <w:pPr>
              <w:tabs>
                <w:tab w:val="left" w:pos="9781"/>
              </w:tabs>
              <w:jc w:val="both"/>
              <w:rPr>
                <w:color w:val="000000" w:themeColor="text1"/>
                <w:sz w:val="2"/>
                <w:szCs w:val="2"/>
                <w14:textFill>
                  <w14:solidFill>
                    <w14:schemeClr w14:val="tx1"/>
                  </w14:solidFill>
                </w14:textFill>
              </w:rPr>
            </w:pPr>
          </w:p>
        </w:tc>
      </w:tr>
    </w:tbl>
    <w:p>
      <w:pPr>
        <w:pStyle w:val="5"/>
        <w:tabs>
          <w:tab w:val="left" w:pos="9781"/>
        </w:tabs>
        <w:jc w:val="both"/>
        <w:rPr>
          <w:color w:val="000000" w:themeColor="text1"/>
          <w:sz w:val="20"/>
          <w14:textFill>
            <w14:solidFill>
              <w14:schemeClr w14:val="tx1"/>
            </w14:solidFill>
          </w14:textFill>
        </w:rPr>
      </w:pPr>
    </w:p>
    <w:p>
      <w:pPr>
        <w:pStyle w:val="5"/>
        <w:tabs>
          <w:tab w:val="left" w:pos="9781"/>
        </w:tabs>
        <w:spacing w:before="10"/>
        <w:jc w:val="both"/>
        <w:rPr>
          <w:color w:val="000000" w:themeColor="text1"/>
          <w:sz w:val="23"/>
          <w14:textFill>
            <w14:solidFill>
              <w14:schemeClr w14:val="tx1"/>
            </w14:solidFill>
          </w14:textFill>
        </w:rPr>
      </w:pPr>
    </w:p>
    <w:p>
      <w:pPr>
        <w:pStyle w:val="5"/>
        <w:tabs>
          <w:tab w:val="left" w:pos="9781"/>
        </w:tabs>
        <w:spacing w:before="10"/>
        <w:jc w:val="both"/>
        <w:rPr>
          <w:color w:val="000000" w:themeColor="text1"/>
          <w:sz w:val="23"/>
          <w14:textFill>
            <w14:solidFill>
              <w14:schemeClr w14:val="tx1"/>
            </w14:solidFill>
          </w14:textFill>
        </w:rPr>
      </w:pPr>
    </w:p>
    <w:p>
      <w:pPr>
        <w:pStyle w:val="5"/>
        <w:tabs>
          <w:tab w:val="left" w:pos="9781"/>
        </w:tabs>
        <w:spacing w:before="10"/>
        <w:jc w:val="both"/>
        <w:rPr>
          <w:color w:val="000000" w:themeColor="text1"/>
          <w:sz w:val="23"/>
          <w14:textFill>
            <w14:solidFill>
              <w14:schemeClr w14:val="tx1"/>
            </w14:solidFill>
          </w14:textFill>
        </w:rPr>
      </w:pPr>
    </w:p>
    <w:p>
      <w:pPr>
        <w:pStyle w:val="5"/>
        <w:tabs>
          <w:tab w:val="left" w:pos="9781"/>
        </w:tabs>
        <w:spacing w:before="10"/>
        <w:jc w:val="both"/>
        <w:rPr>
          <w:color w:val="000000" w:themeColor="text1"/>
          <w:sz w:val="23"/>
          <w14:textFill>
            <w14:solidFill>
              <w14:schemeClr w14:val="tx1"/>
            </w14:solidFill>
          </w14:textFill>
        </w:rPr>
      </w:pPr>
    </w:p>
    <w:p>
      <w:pPr>
        <w:pStyle w:val="5"/>
        <w:tabs>
          <w:tab w:val="left" w:pos="9781"/>
        </w:tabs>
        <w:spacing w:before="10"/>
        <w:jc w:val="both"/>
        <w:rPr>
          <w:color w:val="000000" w:themeColor="text1"/>
          <w:sz w:val="23"/>
          <w14:textFill>
            <w14:solidFill>
              <w14:schemeClr w14:val="tx1"/>
            </w14:solidFill>
          </w14:textFill>
        </w:rPr>
      </w:pPr>
    </w:p>
    <w:p>
      <w:pPr>
        <w:pStyle w:val="5"/>
        <w:tabs>
          <w:tab w:val="left" w:pos="9781"/>
        </w:tabs>
        <w:spacing w:before="10"/>
        <w:jc w:val="both"/>
        <w:rPr>
          <w:color w:val="000000" w:themeColor="text1"/>
          <w:sz w:val="23"/>
          <w14:textFill>
            <w14:solidFill>
              <w14:schemeClr w14:val="tx1"/>
            </w14:solidFill>
          </w14:textFill>
        </w:rPr>
      </w:pPr>
    </w:p>
    <w:p>
      <w:pPr>
        <w:pStyle w:val="5"/>
        <w:tabs>
          <w:tab w:val="left" w:pos="9781"/>
        </w:tabs>
        <w:spacing w:before="10"/>
        <w:jc w:val="both"/>
        <w:rPr>
          <w:color w:val="000000" w:themeColor="text1"/>
          <w:sz w:val="23"/>
          <w14:textFill>
            <w14:solidFill>
              <w14:schemeClr w14:val="tx1"/>
            </w14:solidFill>
          </w14:textFill>
        </w:rPr>
      </w:pPr>
    </w:p>
    <w:p>
      <w:pPr>
        <w:pStyle w:val="5"/>
        <w:tabs>
          <w:tab w:val="left" w:pos="9781"/>
        </w:tabs>
        <w:spacing w:before="10"/>
        <w:jc w:val="both"/>
        <w:rPr>
          <w:color w:val="000000" w:themeColor="text1"/>
          <w:sz w:val="23"/>
          <w14:textFill>
            <w14:solidFill>
              <w14:schemeClr w14:val="tx1"/>
            </w14:solidFill>
          </w14:textFill>
        </w:rPr>
      </w:pPr>
    </w:p>
    <w:p>
      <w:pPr>
        <w:pStyle w:val="5"/>
        <w:tabs>
          <w:tab w:val="left" w:pos="9781"/>
        </w:tabs>
        <w:spacing w:before="10"/>
        <w:jc w:val="both"/>
        <w:rPr>
          <w:color w:val="000000" w:themeColor="text1"/>
          <w:sz w:val="23"/>
          <w14:textFill>
            <w14:solidFill>
              <w14:schemeClr w14:val="tx1"/>
            </w14:solidFill>
          </w14:textFill>
        </w:rPr>
      </w:pPr>
    </w:p>
    <w:p>
      <w:pPr>
        <w:pStyle w:val="2"/>
        <w:tabs>
          <w:tab w:val="left" w:pos="9781"/>
        </w:tabs>
        <w:spacing w:before="1"/>
        <w:ind w:left="138"/>
        <w:jc w:val="both"/>
        <w:rPr>
          <w:color w:val="000000" w:themeColor="text1"/>
          <w14:textFill>
            <w14:solidFill>
              <w14:schemeClr w14:val="tx1"/>
            </w14:solidFill>
          </w14:textFill>
        </w:rPr>
      </w:pPr>
      <w:r>
        <w:rPr>
          <w:color w:val="000000" w:themeColor="text1"/>
          <w14:textFill>
            <w14:solidFill>
              <w14:schemeClr w14:val="tx1"/>
            </w14:solidFill>
          </w14:textFill>
        </w:rPr>
        <w:t>Vysvetlivky k prehľadu peňažných tokov</w:t>
      </w:r>
    </w:p>
    <w:p>
      <w:pPr>
        <w:pStyle w:val="5"/>
        <w:tabs>
          <w:tab w:val="left" w:pos="9781"/>
        </w:tabs>
        <w:jc w:val="both"/>
        <w:rPr>
          <w:b/>
          <w:color w:val="000000" w:themeColor="text1"/>
          <w14:textFill>
            <w14:solidFill>
              <w14:schemeClr w14:val="tx1"/>
            </w14:solidFill>
          </w14:textFill>
        </w:rPr>
      </w:pPr>
    </w:p>
    <w:p>
      <w:pPr>
        <w:pStyle w:val="10"/>
        <w:numPr>
          <w:ilvl w:val="0"/>
          <w:numId w:val="15"/>
        </w:numPr>
        <w:tabs>
          <w:tab w:val="left" w:pos="423"/>
          <w:tab w:val="left" w:pos="9781"/>
        </w:tabs>
        <w:spacing w:line="237" w:lineRule="auto"/>
        <w:ind w:right="577"/>
        <w:jc w:val="both"/>
        <w:rPr>
          <w:color w:val="000000" w:themeColor="text1"/>
          <w14:textFill>
            <w14:solidFill>
              <w14:schemeClr w14:val="tx1"/>
            </w14:solidFill>
          </w14:textFill>
        </w:rPr>
      </w:pPr>
      <w:r>
        <w:rPr>
          <w:color w:val="000000" w:themeColor="text1"/>
          <w14:textFill>
            <w14:solidFill>
              <w14:schemeClr w14:val="tx1"/>
            </w14:solidFill>
          </w14:textFill>
        </w:rPr>
        <w:t>Výdavky na obstaranie dlhodobého nehmotného majetku, dlhodobého hmotného majetku a finančného majetku uvedeného v položke B. 3. sa</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zisťujú</w:t>
      </w:r>
    </w:p>
    <w:p>
      <w:pPr>
        <w:pStyle w:val="10"/>
        <w:numPr>
          <w:ilvl w:val="1"/>
          <w:numId w:val="15"/>
        </w:numPr>
        <w:tabs>
          <w:tab w:val="left" w:pos="1579"/>
          <w:tab w:val="left" w:pos="9781"/>
        </w:tabs>
        <w:ind w:right="570"/>
        <w:jc w:val="both"/>
        <w:rPr>
          <w:color w:val="000000" w:themeColor="text1"/>
          <w14:textFill>
            <w14:solidFill>
              <w14:schemeClr w14:val="tx1"/>
            </w14:solidFill>
          </w14:textFill>
        </w:rPr>
      </w:pPr>
      <w:r>
        <w:rPr>
          <w:color w:val="000000" w:themeColor="text1"/>
          <w14:textFill>
            <w14:solidFill>
              <w14:schemeClr w14:val="tx1"/>
            </w14:solidFill>
          </w14:textFill>
        </w:rPr>
        <w:t>netto spôsobom, pri ktorom sa z účtov peňažných prostriedkov zisťujú skutočné výdavky spojené s obstaraním dlhodobého majetku nákupom alebo vlastnou</w:t>
      </w:r>
      <w:r>
        <w:rPr>
          <w:color w:val="000000" w:themeColor="text1"/>
          <w:spacing w:val="-16"/>
          <w14:textFill>
            <w14:solidFill>
              <w14:schemeClr w14:val="tx1"/>
            </w14:solidFill>
          </w14:textFill>
        </w:rPr>
        <w:t xml:space="preserve"> </w:t>
      </w:r>
      <w:r>
        <w:rPr>
          <w:color w:val="000000" w:themeColor="text1"/>
          <w14:textFill>
            <w14:solidFill>
              <w14:schemeClr w14:val="tx1"/>
            </w14:solidFill>
          </w14:textFill>
        </w:rPr>
        <w:t>činnosťou,</w:t>
      </w:r>
    </w:p>
    <w:p>
      <w:pPr>
        <w:pStyle w:val="10"/>
        <w:numPr>
          <w:ilvl w:val="1"/>
          <w:numId w:val="15"/>
        </w:numPr>
        <w:tabs>
          <w:tab w:val="left" w:pos="1579"/>
          <w:tab w:val="left" w:pos="9781"/>
        </w:tabs>
        <w:ind w:right="571"/>
        <w:jc w:val="both"/>
        <w:rPr>
          <w:color w:val="000000" w:themeColor="text1"/>
          <w14:textFill>
            <w14:solidFill>
              <w14:schemeClr w14:val="tx1"/>
            </w14:solidFill>
          </w14:textFill>
        </w:rPr>
      </w:pPr>
      <w:r>
        <w:rPr>
          <w:color w:val="000000" w:themeColor="text1"/>
          <w14:textFill>
            <w14:solidFill>
              <w14:schemeClr w14:val="tx1"/>
            </w14:solidFill>
          </w14:textFill>
        </w:rPr>
        <w:t>brutto spôsobom, pri ktorom sa výdavky na obstaranie dlhodobého majetku obstaraného kúpou alebo vlastnou činnosťou upravujú o zmenu stavu preddavkov poskytnutých na obstaranie dlhodobého majetku a o zmenu stavu záväzkov súvisiacich s obstarávaním dlhodobého majetku.</w:t>
      </w:r>
    </w:p>
    <w:p>
      <w:pPr>
        <w:pStyle w:val="5"/>
        <w:tabs>
          <w:tab w:val="left" w:pos="9781"/>
        </w:tabs>
        <w:spacing w:before="11"/>
        <w:jc w:val="both"/>
        <w:rPr>
          <w:color w:val="000000" w:themeColor="text1"/>
          <w:sz w:val="21"/>
          <w14:textFill>
            <w14:solidFill>
              <w14:schemeClr w14:val="tx1"/>
            </w14:solidFill>
          </w14:textFill>
        </w:rPr>
      </w:pPr>
    </w:p>
    <w:p>
      <w:pPr>
        <w:pStyle w:val="10"/>
        <w:numPr>
          <w:ilvl w:val="0"/>
          <w:numId w:val="15"/>
        </w:numPr>
        <w:tabs>
          <w:tab w:val="left" w:pos="423"/>
          <w:tab w:val="left" w:pos="9781"/>
        </w:tabs>
        <w:spacing w:line="237" w:lineRule="auto"/>
        <w:ind w:right="572"/>
        <w:jc w:val="both"/>
        <w:rPr>
          <w:color w:val="000000" w:themeColor="text1"/>
          <w14:textFill>
            <w14:solidFill>
              <w14:schemeClr w14:val="tx1"/>
            </w14:solidFill>
          </w14:textFill>
        </w:rPr>
      </w:pPr>
      <w:r>
        <w:rPr>
          <w:color w:val="000000" w:themeColor="text1"/>
          <w14:textFill>
            <w14:solidFill>
              <w14:schemeClr w14:val="tx1"/>
            </w14:solidFill>
          </w14:textFill>
        </w:rPr>
        <w:t>Údaje na vykázanie stavov v častiach E., F., G., H. sa zisťujú z účtovníctva v súlade s vnútorným predpisom účtovnej</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jednotky.</w:t>
      </w:r>
    </w:p>
    <w:p>
      <w:pPr>
        <w:pStyle w:val="5"/>
        <w:tabs>
          <w:tab w:val="left" w:pos="9781"/>
        </w:tabs>
        <w:jc w:val="both"/>
        <w:rPr>
          <w:color w:val="000000" w:themeColor="text1"/>
          <w14:textFill>
            <w14:solidFill>
              <w14:schemeClr w14:val="tx1"/>
            </w14:solidFill>
          </w14:textFill>
        </w:rPr>
      </w:pPr>
    </w:p>
    <w:p>
      <w:pPr>
        <w:pStyle w:val="10"/>
        <w:numPr>
          <w:ilvl w:val="0"/>
          <w:numId w:val="15"/>
        </w:numPr>
        <w:tabs>
          <w:tab w:val="left" w:pos="423"/>
          <w:tab w:val="left" w:pos="9781"/>
        </w:tabs>
        <w:spacing w:line="237" w:lineRule="auto"/>
        <w:ind w:right="570"/>
        <w:jc w:val="both"/>
        <w:rPr>
          <w:color w:val="000000" w:themeColor="text1"/>
          <w14:textFill>
            <w14:solidFill>
              <w14:schemeClr w14:val="tx1"/>
            </w14:solidFill>
          </w14:textFill>
        </w:rPr>
      </w:pPr>
      <w:r>
        <w:rPr>
          <w:color w:val="000000" w:themeColor="text1"/>
          <w14:textFill>
            <w14:solidFill>
              <w14:schemeClr w14:val="tx1"/>
            </w14:solidFill>
          </w14:textFill>
        </w:rPr>
        <w:t>Výsledok hospodárenia z bežnej činnosti pred zdanením daňou z príjmov sa zisťuje ako rozdiel výnosov účtovaných na účtoch účtových skupín 60 až 67 a na účtoch 697 a 698 a nákladov účtovaných na účtoch účtových skupín 50 až 57 a na účtoch 597 a 598. Zisk sa vykazuje so znamienkom plus (+) a strata so znamienkom mínus</w:t>
      </w:r>
      <w:r>
        <w:rPr>
          <w:color w:val="000000" w:themeColor="text1"/>
          <w:spacing w:val="-1"/>
          <w14:textFill>
            <w14:solidFill>
              <w14:schemeClr w14:val="tx1"/>
            </w14:solidFill>
          </w14:textFill>
        </w:rPr>
        <w:t xml:space="preserve"> </w:t>
      </w:r>
      <w:r>
        <w:rPr>
          <w:color w:val="000000" w:themeColor="text1"/>
          <w14:textFill>
            <w14:solidFill>
              <w14:schemeClr w14:val="tx1"/>
            </w14:solidFill>
          </w14:textFill>
        </w:rPr>
        <w:t>(-).</w:t>
      </w:r>
    </w:p>
    <w:p>
      <w:pPr>
        <w:pStyle w:val="5"/>
        <w:tabs>
          <w:tab w:val="left" w:pos="9781"/>
        </w:tabs>
        <w:spacing w:before="4"/>
        <w:jc w:val="both"/>
        <w:rPr>
          <w:color w:val="000000" w:themeColor="text1"/>
          <w14:textFill>
            <w14:solidFill>
              <w14:schemeClr w14:val="tx1"/>
            </w14:solidFill>
          </w14:textFill>
        </w:rPr>
      </w:pPr>
    </w:p>
    <w:p>
      <w:pPr>
        <w:pStyle w:val="10"/>
        <w:numPr>
          <w:ilvl w:val="0"/>
          <w:numId w:val="15"/>
        </w:numPr>
        <w:tabs>
          <w:tab w:val="left" w:pos="423"/>
          <w:tab w:val="left" w:pos="9781"/>
        </w:tabs>
        <w:spacing w:line="237" w:lineRule="auto"/>
        <w:ind w:right="578"/>
        <w:jc w:val="both"/>
        <w:rPr>
          <w:color w:val="000000" w:themeColor="text1"/>
          <w14:textFill>
            <w14:solidFill>
              <w14:schemeClr w14:val="tx1"/>
            </w14:solidFill>
          </w14:textFill>
        </w:rPr>
      </w:pPr>
      <w:r>
        <w:rPr>
          <w:color w:val="000000" w:themeColor="text1"/>
          <w14:textFill>
            <w14:solidFill>
              <w14:schemeClr w14:val="tx1"/>
            </w14:solidFill>
          </w14:textFill>
        </w:rPr>
        <w:t>V položke sa vykazujú účtovné odpisy dlhodobého nehmotného majetku a dlhodobého hmotného majetku, o ktorých sa účtuje na účte</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551.</w:t>
      </w:r>
    </w:p>
    <w:p>
      <w:pPr>
        <w:pStyle w:val="5"/>
        <w:tabs>
          <w:tab w:val="left" w:pos="9781"/>
        </w:tabs>
        <w:spacing w:before="11"/>
        <w:jc w:val="both"/>
        <w:rPr>
          <w:color w:val="000000" w:themeColor="text1"/>
          <w:sz w:val="21"/>
          <w14:textFill>
            <w14:solidFill>
              <w14:schemeClr w14:val="tx1"/>
            </w14:solidFill>
          </w14:textFill>
        </w:rPr>
      </w:pPr>
    </w:p>
    <w:p>
      <w:pPr>
        <w:pStyle w:val="10"/>
        <w:numPr>
          <w:ilvl w:val="0"/>
          <w:numId w:val="15"/>
        </w:numPr>
        <w:tabs>
          <w:tab w:val="left" w:pos="423"/>
          <w:tab w:val="left" w:pos="9781"/>
        </w:tabs>
        <w:spacing w:line="237" w:lineRule="auto"/>
        <w:ind w:right="576"/>
        <w:jc w:val="both"/>
        <w:rPr>
          <w:color w:val="000000" w:themeColor="text1"/>
          <w14:textFill>
            <w14:solidFill>
              <w14:schemeClr w14:val="tx1"/>
            </w14:solidFill>
          </w14:textFill>
        </w:rPr>
      </w:pPr>
      <w:r>
        <w:rPr>
          <w:color w:val="000000" w:themeColor="text1"/>
          <w14:textFill>
            <w14:solidFill>
              <w14:schemeClr w14:val="tx1"/>
            </w14:solidFill>
          </w14:textFill>
        </w:rPr>
        <w:t>V položke sa vykazuje zostatková cena účtovaná pri likvidácii majetku alebo prevode majetku podľa osobitných predpisov, o ktorej sa účtuje na účte 551, zostatková cena darovaného dlhodobého nehmotného majetku a dlhodobého hmotného majetku, o ktorej sa účtuje na účte 543, zostatková cena dlhodobého nehmotného majetku a dlhodobého hmotného majetku účtovaná v dôsledku manka alebo škody na účet</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549.</w:t>
      </w:r>
    </w:p>
    <w:p>
      <w:pPr>
        <w:pStyle w:val="5"/>
        <w:tabs>
          <w:tab w:val="left" w:pos="9781"/>
        </w:tabs>
        <w:spacing w:before="9"/>
        <w:jc w:val="both"/>
        <w:rPr>
          <w:color w:val="000000" w:themeColor="text1"/>
          <w14:textFill>
            <w14:solidFill>
              <w14:schemeClr w14:val="tx1"/>
            </w14:solidFill>
          </w14:textFill>
        </w:rPr>
      </w:pPr>
    </w:p>
    <w:p>
      <w:pPr>
        <w:pStyle w:val="10"/>
        <w:numPr>
          <w:ilvl w:val="0"/>
          <w:numId w:val="15"/>
        </w:numPr>
        <w:tabs>
          <w:tab w:val="left" w:pos="423"/>
          <w:tab w:val="left" w:pos="9781"/>
        </w:tabs>
        <w:spacing w:line="235" w:lineRule="auto"/>
        <w:ind w:right="572"/>
        <w:jc w:val="both"/>
        <w:rPr>
          <w:color w:val="000000" w:themeColor="text1"/>
          <w14:textFill>
            <w14:solidFill>
              <w14:schemeClr w14:val="tx1"/>
            </w14:solidFill>
          </w14:textFill>
        </w:rPr>
      </w:pPr>
      <w:r>
        <w:rPr>
          <w:color w:val="000000" w:themeColor="text1"/>
          <w14:textFill>
            <w14:solidFill>
              <w14:schemeClr w14:val="tx1"/>
            </w14:solidFill>
          </w14:textFill>
        </w:rPr>
        <w:t>Údaj sa vykazuje z účtu 557, pričom konečný stav tohto účtu sa pripočítava a z účtu 657, pričom konečný stav tohto účtu sa</w:t>
      </w:r>
      <w:r>
        <w:rPr>
          <w:color w:val="000000" w:themeColor="text1"/>
          <w:spacing w:val="-3"/>
          <w14:textFill>
            <w14:solidFill>
              <w14:schemeClr w14:val="tx1"/>
            </w14:solidFill>
          </w14:textFill>
        </w:rPr>
        <w:t xml:space="preserve"> </w:t>
      </w:r>
      <w:r>
        <w:rPr>
          <w:color w:val="000000" w:themeColor="text1"/>
          <w14:textFill>
            <w14:solidFill>
              <w14:schemeClr w14:val="tx1"/>
            </w14:solidFill>
          </w14:textFill>
        </w:rPr>
        <w:t>odpočítava.</w:t>
      </w:r>
    </w:p>
    <w:p>
      <w:pPr>
        <w:pStyle w:val="5"/>
        <w:tabs>
          <w:tab w:val="left" w:pos="9781"/>
        </w:tabs>
        <w:spacing w:before="5"/>
        <w:jc w:val="both"/>
        <w:rPr>
          <w:color w:val="000000" w:themeColor="text1"/>
          <w14:textFill>
            <w14:solidFill>
              <w14:schemeClr w14:val="tx1"/>
            </w14:solidFill>
          </w14:textFill>
        </w:rPr>
      </w:pPr>
    </w:p>
    <w:p>
      <w:pPr>
        <w:pStyle w:val="10"/>
        <w:numPr>
          <w:ilvl w:val="0"/>
          <w:numId w:val="15"/>
        </w:numPr>
        <w:tabs>
          <w:tab w:val="left" w:pos="423"/>
          <w:tab w:val="left" w:pos="9781"/>
        </w:tabs>
        <w:spacing w:line="235" w:lineRule="auto"/>
        <w:ind w:right="576"/>
        <w:jc w:val="both"/>
        <w:rPr>
          <w:color w:val="000000" w:themeColor="text1"/>
          <w14:textFill>
            <w14:solidFill>
              <w14:schemeClr w14:val="tx1"/>
            </w14:solidFill>
          </w14:textFill>
        </w:rPr>
      </w:pPr>
      <w:r>
        <w:rPr>
          <w:color w:val="000000" w:themeColor="text1"/>
          <w14:textFill>
            <w14:solidFill>
              <w14:schemeClr w14:val="tx1"/>
            </w14:solidFill>
          </w14:textFill>
        </w:rPr>
        <w:t>Údaje sa vykazujú z účtov účtovej skupiny 45, pričom zmena stavu rezerv sa vykazuje ako rozdiel konečného zostatku účtov účtovej skupiny 45 a začiatočného stavu účtov účtovej skupiny 45. Kladný rozdiel</w:t>
      </w:r>
      <w:r>
        <w:rPr>
          <w:color w:val="000000" w:themeColor="text1"/>
          <w:spacing w:val="4"/>
          <w14:textFill>
            <w14:solidFill>
              <w14:schemeClr w14:val="tx1"/>
            </w14:solidFill>
          </w14:textFill>
        </w:rPr>
        <w:t xml:space="preserve"> </w:t>
      </w:r>
      <w:r>
        <w:rPr>
          <w:color w:val="000000" w:themeColor="text1"/>
          <w14:textFill>
            <w14:solidFill>
              <w14:schemeClr w14:val="tx1"/>
            </w14:solidFill>
          </w14:textFill>
        </w:rPr>
        <w:t>sa vykazuje so znamienkom plus (+) a záporný rozdiel so znamienkom mínus (-). Položka sa zisťuje aj z nákladových účtov, na ktorých sa účtovalo o tvorbe a zrušení rezervy. Vplyv účtovných prípadov účtovaných ako krátkodobé rezervy sa v položke nezohľadní. Údaje z nákladových účtov, na ktorých sa účtovalo o tvorbe rezervy sa pripočítavajú a údaje z nákladových účtov, na ktorých sa účtovalo o zrušení rezervy sa odpočítavajú a výsledok sa vykazuje s príslušným znamienkom.</w:t>
      </w:r>
    </w:p>
    <w:p>
      <w:pPr>
        <w:pStyle w:val="5"/>
        <w:tabs>
          <w:tab w:val="left" w:pos="9781"/>
        </w:tabs>
        <w:spacing w:before="9"/>
        <w:jc w:val="both"/>
        <w:rPr>
          <w:color w:val="000000" w:themeColor="text1"/>
          <w:sz w:val="21"/>
          <w14:textFill>
            <w14:solidFill>
              <w14:schemeClr w14:val="tx1"/>
            </w14:solidFill>
          </w14:textFill>
        </w:rPr>
      </w:pPr>
    </w:p>
    <w:p>
      <w:pPr>
        <w:pStyle w:val="10"/>
        <w:numPr>
          <w:ilvl w:val="0"/>
          <w:numId w:val="15"/>
        </w:numPr>
        <w:tabs>
          <w:tab w:val="left" w:pos="423"/>
          <w:tab w:val="left" w:pos="9781"/>
        </w:tabs>
        <w:spacing w:before="1"/>
        <w:ind w:right="572"/>
        <w:jc w:val="both"/>
        <w:rPr>
          <w:color w:val="000000" w:themeColor="text1"/>
          <w14:textFill>
            <w14:solidFill>
              <w14:schemeClr w14:val="tx1"/>
            </w14:solidFill>
          </w14:textFill>
        </w:rPr>
      </w:pPr>
      <w:r>
        <w:rPr>
          <w:color w:val="000000" w:themeColor="text1"/>
          <w14:textFill>
            <w14:solidFill>
              <w14:schemeClr w14:val="tx1"/>
            </w14:solidFill>
          </w14:textFill>
        </w:rPr>
        <w:t>Údaje sa vykazujú z účtov 505, 547, 553, 565 a príslušných účtov účtovej skupiny 61. Údaje z výsledkových účtov, na ktorých sa účtovalo o tvorbe opravnej položky sa pripočítavajú. Údaje z výsledkových účtov, na ktorých sa účtovalo o zúčtovaní opravnej položky z dôvodu čiastočného alebo úplného zániku opodstatneného predpokladu trvania zníženia hodnoty majetku a údaje z príslušných súvahových účtov, na ktorých sa účtovalo o zúčtovaní opravnej položky z dôvodu vyradenia majetku z účtovníctva sa odpočítavajú, pričom výsledok sa vykazuje s príslušným</w:t>
      </w:r>
      <w:r>
        <w:rPr>
          <w:color w:val="000000" w:themeColor="text1"/>
          <w:spacing w:val="-7"/>
          <w14:textFill>
            <w14:solidFill>
              <w14:schemeClr w14:val="tx1"/>
            </w14:solidFill>
          </w14:textFill>
        </w:rPr>
        <w:t xml:space="preserve"> </w:t>
      </w:r>
      <w:r>
        <w:rPr>
          <w:color w:val="000000" w:themeColor="text1"/>
          <w14:textFill>
            <w14:solidFill>
              <w14:schemeClr w14:val="tx1"/>
            </w14:solidFill>
          </w14:textFill>
        </w:rPr>
        <w:t>znamienkom.</w:t>
      </w:r>
    </w:p>
    <w:p>
      <w:pPr>
        <w:pStyle w:val="5"/>
        <w:tabs>
          <w:tab w:val="left" w:pos="9781"/>
        </w:tabs>
        <w:spacing w:before="7"/>
        <w:jc w:val="both"/>
        <w:rPr>
          <w:color w:val="000000" w:themeColor="text1"/>
          <w:sz w:val="21"/>
          <w14:textFill>
            <w14:solidFill>
              <w14:schemeClr w14:val="tx1"/>
            </w14:solidFill>
          </w14:textFill>
        </w:rPr>
      </w:pPr>
    </w:p>
    <w:p>
      <w:pPr>
        <w:pStyle w:val="10"/>
        <w:numPr>
          <w:ilvl w:val="0"/>
          <w:numId w:val="15"/>
        </w:numPr>
        <w:tabs>
          <w:tab w:val="left" w:pos="473"/>
          <w:tab w:val="left" w:pos="9781"/>
        </w:tabs>
        <w:ind w:right="574"/>
        <w:jc w:val="both"/>
        <w:rPr>
          <w:color w:val="000000" w:themeColor="text1"/>
          <w14:textFill>
            <w14:solidFill>
              <w14:schemeClr w14:val="tx1"/>
            </w14:solidFill>
          </w14:textFill>
        </w:rPr>
      </w:pPr>
      <w:r>
        <w:rPr>
          <w:color w:val="000000" w:themeColor="text1"/>
          <w14:textFill>
            <w14:solidFill>
              <w14:schemeClr w14:val="tx1"/>
            </w14:solidFill>
          </w14:textFill>
        </w:rPr>
        <w:tab/>
      </w:r>
      <w:r>
        <w:rPr>
          <w:color w:val="000000" w:themeColor="text1"/>
          <w14:textFill>
            <w14:solidFill>
              <w14:schemeClr w14:val="tx1"/>
            </w14:solidFill>
          </w14:textFill>
        </w:rPr>
        <w:t xml:space="preserve">Údaje sa vykazujú z účtov účtovej skupiny 38. V položke sa nezohľadňujú účtovné prípady časového rozlíšenia nákladových úrokov a výnosových úrokov, výnosov z dividend a iných podielov na zisku a </w:t>
      </w:r>
      <w:r>
        <w:rPr>
          <w:b/>
          <w:color w:val="000000" w:themeColor="text1"/>
          <w14:textFill>
            <w14:solidFill>
              <w14:schemeClr w14:val="tx1"/>
            </w14:solidFill>
          </w14:textFill>
        </w:rPr>
        <w:t>nákladov a výnosov výnimočného rozsahu alebo výskytu</w:t>
      </w:r>
      <w:r>
        <w:rPr>
          <w:color w:val="000000" w:themeColor="text1"/>
          <w14:textFill>
            <w14:solidFill>
              <w14:schemeClr w14:val="tx1"/>
            </w14:solidFill>
          </w14:textFill>
        </w:rPr>
        <w:t>. Osobitne sa zohľadňujú účty majetku 381, 382, 385, pri ktorých sa vykazuje zmena ich stavu s opačným znamienkom a účty záväzkov 383, 384, pri ktorých sa vykazuje zmena stavu s príslušným</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znamienkom.</w:t>
      </w:r>
    </w:p>
    <w:p>
      <w:pPr>
        <w:pStyle w:val="5"/>
        <w:tabs>
          <w:tab w:val="left" w:pos="9781"/>
        </w:tabs>
        <w:spacing w:before="4"/>
        <w:jc w:val="both"/>
        <w:rPr>
          <w:color w:val="000000" w:themeColor="text1"/>
          <w:sz w:val="21"/>
          <w14:textFill>
            <w14:solidFill>
              <w14:schemeClr w14:val="tx1"/>
            </w14:solidFill>
          </w14:textFill>
        </w:rPr>
      </w:pPr>
    </w:p>
    <w:p>
      <w:pPr>
        <w:pStyle w:val="10"/>
        <w:numPr>
          <w:ilvl w:val="0"/>
          <w:numId w:val="15"/>
        </w:numPr>
        <w:tabs>
          <w:tab w:val="left" w:pos="473"/>
          <w:tab w:val="left" w:pos="9781"/>
        </w:tabs>
        <w:ind w:left="472" w:hanging="335"/>
        <w:jc w:val="both"/>
        <w:rPr>
          <w:color w:val="000000" w:themeColor="text1"/>
          <w14:textFill>
            <w14:solidFill>
              <w14:schemeClr w14:val="tx1"/>
            </w14:solidFill>
          </w14:textFill>
        </w:rPr>
      </w:pPr>
      <w:r>
        <w:rPr>
          <w:color w:val="000000" w:themeColor="text1"/>
          <w14:textFill>
            <w14:solidFill>
              <w14:schemeClr w14:val="tx1"/>
            </w14:solidFill>
          </w14:textFill>
        </w:rPr>
        <w:t>Údaje sa vykazujú z príslušného účtu účtovej skupiny</w:t>
      </w:r>
      <w:r>
        <w:rPr>
          <w:color w:val="000000" w:themeColor="text1"/>
          <w:spacing w:val="-13"/>
          <w14:textFill>
            <w14:solidFill>
              <w14:schemeClr w14:val="tx1"/>
            </w14:solidFill>
          </w14:textFill>
        </w:rPr>
        <w:t xml:space="preserve"> </w:t>
      </w:r>
      <w:r>
        <w:rPr>
          <w:color w:val="000000" w:themeColor="text1"/>
          <w14:textFill>
            <w14:solidFill>
              <w14:schemeClr w14:val="tx1"/>
            </w14:solidFill>
          </w14:textFill>
        </w:rPr>
        <w:t>66.</w:t>
      </w:r>
    </w:p>
    <w:p>
      <w:pPr>
        <w:pStyle w:val="5"/>
        <w:tabs>
          <w:tab w:val="left" w:pos="9781"/>
        </w:tabs>
        <w:spacing w:before="6"/>
        <w:jc w:val="both"/>
        <w:rPr>
          <w:color w:val="000000" w:themeColor="text1"/>
          <w:sz w:val="21"/>
          <w14:textFill>
            <w14:solidFill>
              <w14:schemeClr w14:val="tx1"/>
            </w14:solidFill>
          </w14:textFill>
        </w:rPr>
      </w:pPr>
    </w:p>
    <w:p>
      <w:pPr>
        <w:pStyle w:val="10"/>
        <w:numPr>
          <w:ilvl w:val="0"/>
          <w:numId w:val="15"/>
        </w:numPr>
        <w:tabs>
          <w:tab w:val="left" w:pos="473"/>
          <w:tab w:val="left" w:pos="9781"/>
        </w:tabs>
        <w:ind w:left="472" w:hanging="335"/>
        <w:jc w:val="both"/>
        <w:rPr>
          <w:color w:val="000000" w:themeColor="text1"/>
          <w14:textFill>
            <w14:solidFill>
              <w14:schemeClr w14:val="tx1"/>
            </w14:solidFill>
          </w14:textFill>
        </w:rPr>
      </w:pPr>
      <w:r>
        <w:rPr>
          <w:color w:val="000000" w:themeColor="text1"/>
          <w14:textFill>
            <w14:solidFill>
              <w14:schemeClr w14:val="tx1"/>
            </w14:solidFill>
          </w14:textFill>
        </w:rPr>
        <w:t>Údaj sa vykazuje z účtu</w:t>
      </w:r>
      <w:r>
        <w:rPr>
          <w:color w:val="000000" w:themeColor="text1"/>
          <w:spacing w:val="-17"/>
          <w14:textFill>
            <w14:solidFill>
              <w14:schemeClr w14:val="tx1"/>
            </w14:solidFill>
          </w14:textFill>
        </w:rPr>
        <w:t xml:space="preserve"> </w:t>
      </w:r>
      <w:r>
        <w:rPr>
          <w:color w:val="000000" w:themeColor="text1"/>
          <w14:textFill>
            <w14:solidFill>
              <w14:schemeClr w14:val="tx1"/>
            </w14:solidFill>
          </w14:textFill>
        </w:rPr>
        <w:t>562.</w:t>
      </w:r>
    </w:p>
    <w:p>
      <w:pPr>
        <w:pStyle w:val="5"/>
        <w:tabs>
          <w:tab w:val="left" w:pos="9781"/>
        </w:tabs>
        <w:spacing w:before="7"/>
        <w:jc w:val="both"/>
        <w:rPr>
          <w:color w:val="000000" w:themeColor="text1"/>
          <w:sz w:val="21"/>
          <w14:textFill>
            <w14:solidFill>
              <w14:schemeClr w14:val="tx1"/>
            </w14:solidFill>
          </w14:textFill>
        </w:rPr>
      </w:pPr>
    </w:p>
    <w:p>
      <w:pPr>
        <w:pStyle w:val="10"/>
        <w:numPr>
          <w:ilvl w:val="0"/>
          <w:numId w:val="15"/>
        </w:numPr>
        <w:tabs>
          <w:tab w:val="left" w:pos="473"/>
          <w:tab w:val="left" w:pos="9781"/>
        </w:tabs>
        <w:ind w:left="472" w:hanging="335"/>
        <w:jc w:val="both"/>
        <w:rPr>
          <w:color w:val="000000" w:themeColor="text1"/>
          <w14:textFill>
            <w14:solidFill>
              <w14:schemeClr w14:val="tx1"/>
            </w14:solidFill>
          </w14:textFill>
        </w:rPr>
      </w:pPr>
      <w:r>
        <w:rPr>
          <w:color w:val="000000" w:themeColor="text1"/>
          <w14:textFill>
            <w14:solidFill>
              <w14:schemeClr w14:val="tx1"/>
            </w14:solidFill>
          </w14:textFill>
        </w:rPr>
        <w:t>Údaj sa vykazuje z účtu</w:t>
      </w:r>
      <w:r>
        <w:rPr>
          <w:color w:val="000000" w:themeColor="text1"/>
          <w:spacing w:val="-13"/>
          <w14:textFill>
            <w14:solidFill>
              <w14:schemeClr w14:val="tx1"/>
            </w14:solidFill>
          </w14:textFill>
        </w:rPr>
        <w:t xml:space="preserve"> </w:t>
      </w:r>
      <w:r>
        <w:rPr>
          <w:color w:val="000000" w:themeColor="text1"/>
          <w14:textFill>
            <w14:solidFill>
              <w14:schemeClr w14:val="tx1"/>
            </w14:solidFill>
          </w14:textFill>
        </w:rPr>
        <w:t>662.</w:t>
      </w:r>
    </w:p>
    <w:p>
      <w:pPr>
        <w:pStyle w:val="5"/>
        <w:tabs>
          <w:tab w:val="left" w:pos="9781"/>
        </w:tabs>
        <w:spacing w:before="6"/>
        <w:jc w:val="both"/>
        <w:rPr>
          <w:color w:val="000000" w:themeColor="text1"/>
          <w:sz w:val="21"/>
          <w14:textFill>
            <w14:solidFill>
              <w14:schemeClr w14:val="tx1"/>
            </w14:solidFill>
          </w14:textFill>
        </w:rPr>
      </w:pPr>
    </w:p>
    <w:p>
      <w:pPr>
        <w:pStyle w:val="10"/>
        <w:numPr>
          <w:ilvl w:val="0"/>
          <w:numId w:val="15"/>
        </w:numPr>
        <w:tabs>
          <w:tab w:val="left" w:pos="473"/>
          <w:tab w:val="left" w:pos="9781"/>
        </w:tabs>
        <w:spacing w:line="453" w:lineRule="auto"/>
        <w:ind w:left="138" w:right="600" w:firstLine="0"/>
        <w:jc w:val="both"/>
        <w:rPr>
          <w:color w:val="000000" w:themeColor="text1"/>
          <w14:textFill>
            <w14:solidFill>
              <w14:schemeClr w14:val="tx1"/>
            </w14:solidFill>
          </w14:textFill>
        </w:rPr>
      </w:pPr>
      <w:r>
        <w:rPr>
          <w:color w:val="000000" w:themeColor="text1"/>
          <w14:textFill>
            <w14:solidFill>
              <w14:schemeClr w14:val="tx1"/>
            </w14:solidFill>
          </w14:textFill>
        </w:rPr>
        <w:t xml:space="preserve">Údaj sa vykazuje z tej časti účtu 663, ktorá bola vyčíslená ku dňu, ku ktorému sa zostavuje účtovná závierka. </w:t>
      </w:r>
      <w:r>
        <w:rPr>
          <w:rFonts w:ascii="Times New Roman" w:hAnsi="Times New Roman"/>
          <w:i/>
          <w:color w:val="000000" w:themeColor="text1"/>
          <w:sz w:val="24"/>
          <w14:textFill>
            <w14:solidFill>
              <w14:schemeClr w14:val="tx1"/>
            </w14:solidFill>
          </w14:textFill>
        </w:rPr>
        <w:t xml:space="preserve">14 </w:t>
      </w:r>
      <w:r>
        <w:rPr>
          <w:color w:val="000000" w:themeColor="text1"/>
          <w14:textFill>
            <w14:solidFill>
              <w14:schemeClr w14:val="tx1"/>
            </w14:solidFill>
          </w14:textFill>
        </w:rPr>
        <w:t xml:space="preserve">Údaj sa vykazuje z tej časti účtu 563, ktorá bola vyčíslená ku dňu, ku ktorému sa zostavuje účtovná závierka. </w:t>
      </w:r>
      <w:r>
        <w:rPr>
          <w:rFonts w:ascii="Times New Roman" w:hAnsi="Times New Roman"/>
          <w:i/>
          <w:color w:val="000000" w:themeColor="text1"/>
          <w:sz w:val="24"/>
          <w14:textFill>
            <w14:solidFill>
              <w14:schemeClr w14:val="tx1"/>
            </w14:solidFill>
          </w14:textFill>
        </w:rPr>
        <w:t xml:space="preserve">15 </w:t>
      </w:r>
      <w:r>
        <w:rPr>
          <w:color w:val="000000" w:themeColor="text1"/>
          <w14:textFill>
            <w14:solidFill>
              <w14:schemeClr w14:val="tx1"/>
            </w14:solidFill>
          </w14:textFill>
        </w:rPr>
        <w:t>Údaj sa vykazuje ako súčet rozdielov účtov 641 a 541 a príslušnej časti účtov 661 a</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561.</w:t>
      </w:r>
    </w:p>
    <w:p>
      <w:pPr>
        <w:pStyle w:val="5"/>
        <w:tabs>
          <w:tab w:val="left" w:pos="9781"/>
        </w:tabs>
        <w:spacing w:before="3"/>
        <w:ind w:left="422" w:right="569" w:hanging="284"/>
        <w:jc w:val="both"/>
        <w:rPr>
          <w:color w:val="000000" w:themeColor="text1"/>
          <w14:textFill>
            <w14:solidFill>
              <w14:schemeClr w14:val="tx1"/>
            </w14:solidFill>
          </w14:textFill>
        </w:rPr>
      </w:pPr>
      <w:r>
        <w:rPr>
          <w:rFonts w:ascii="Times New Roman" w:hAnsi="Times New Roman"/>
          <w:i/>
          <w:color w:val="000000" w:themeColor="text1"/>
          <w:sz w:val="24"/>
          <w14:textFill>
            <w14:solidFill>
              <w14:schemeClr w14:val="tx1"/>
            </w14:solidFill>
          </w14:textFill>
        </w:rPr>
        <w:t xml:space="preserve">16 </w:t>
      </w:r>
      <w:r>
        <w:rPr>
          <w:color w:val="000000" w:themeColor="text1"/>
          <w14:textFill>
            <w14:solidFill>
              <w14:schemeClr w14:val="tx1"/>
            </w14:solidFill>
          </w14:textFill>
        </w:rPr>
        <w:t>Pri  výpočte  zmeny  stavu  položiek  pracovného   kapitálu,   ktoré   majú  charakter  majetku,  sa   sledujú   na analytických účtoch údaje vzťahujúce sa na prevádzkovú činnosť účtovnej jednotky. Zmena stavu pohľadávok, zásob a krátkodobého finančného majetku sa vykazuje ako rozdiel konečného zostatku a začiatočného stavu príslušných analytických účtov a výsledok sa vykazuje s opačným znamienkom. Zmena stavu záväzkov sa vykazuje ako rozdiel konečného zostatku a začiatočného stavu príslušných analytických účtov a výsledok sa vykazuje s príslušným</w:t>
      </w:r>
      <w:r>
        <w:rPr>
          <w:color w:val="000000" w:themeColor="text1"/>
          <w:spacing w:val="-8"/>
          <w14:textFill>
            <w14:solidFill>
              <w14:schemeClr w14:val="tx1"/>
            </w14:solidFill>
          </w14:textFill>
        </w:rPr>
        <w:t xml:space="preserve"> </w:t>
      </w:r>
      <w:r>
        <w:rPr>
          <w:color w:val="000000" w:themeColor="text1"/>
          <w14:textFill>
            <w14:solidFill>
              <w14:schemeClr w14:val="tx1"/>
            </w14:solidFill>
          </w14:textFill>
        </w:rPr>
        <w:t>znamienkom.</w:t>
      </w:r>
    </w:p>
    <w:p>
      <w:pPr>
        <w:pStyle w:val="5"/>
        <w:tabs>
          <w:tab w:val="left" w:pos="9781"/>
        </w:tabs>
        <w:spacing w:before="76"/>
        <w:ind w:right="101"/>
        <w:jc w:val="both"/>
        <w:rPr>
          <w:color w:val="000000" w:themeColor="text1"/>
          <w14:textFill>
            <w14:solidFill>
              <w14:schemeClr w14:val="tx1"/>
            </w14:solidFill>
          </w14:textFill>
        </w:rPr>
      </w:pPr>
    </w:p>
    <w:p>
      <w:pPr>
        <w:pStyle w:val="5"/>
        <w:tabs>
          <w:tab w:val="left" w:pos="9781"/>
        </w:tabs>
        <w:spacing w:before="76"/>
        <w:ind w:right="101"/>
        <w:jc w:val="both"/>
        <w:rPr>
          <w:color w:val="000000" w:themeColor="text1"/>
          <w14:textFill>
            <w14:solidFill>
              <w14:schemeClr w14:val="tx1"/>
            </w14:solidFill>
          </w14:textFill>
        </w:rPr>
      </w:pPr>
    </w:p>
    <w:p>
      <w:pPr>
        <w:pStyle w:val="5"/>
        <w:tabs>
          <w:tab w:val="left" w:pos="9781"/>
        </w:tabs>
        <w:spacing w:before="76"/>
        <w:ind w:right="101"/>
        <w:jc w:val="both"/>
        <w:rPr>
          <w:color w:val="000000" w:themeColor="text1"/>
          <w14:textFill>
            <w14:solidFill>
              <w14:schemeClr w14:val="tx1"/>
            </w14:solidFill>
          </w14:textFill>
        </w:rPr>
      </w:pPr>
    </w:p>
    <w:p>
      <w:pPr>
        <w:pStyle w:val="5"/>
        <w:tabs>
          <w:tab w:val="left" w:pos="9781"/>
        </w:tabs>
        <w:spacing w:before="76"/>
        <w:ind w:right="101"/>
        <w:jc w:val="both"/>
        <w:rPr>
          <w:color w:val="000000" w:themeColor="text1"/>
          <w14:textFill>
            <w14:solidFill>
              <w14:schemeClr w14:val="tx1"/>
            </w14:solidFill>
          </w14:textFill>
        </w:rPr>
      </w:pPr>
    </w:p>
    <w:p>
      <w:pPr>
        <w:pStyle w:val="5"/>
        <w:tabs>
          <w:tab w:val="left" w:pos="9781"/>
        </w:tabs>
        <w:spacing w:before="76"/>
        <w:ind w:right="101"/>
        <w:jc w:val="both"/>
        <w:rPr>
          <w:color w:val="000000" w:themeColor="text1"/>
          <w14:textFill>
            <w14:solidFill>
              <w14:schemeClr w14:val="tx1"/>
            </w14:solidFill>
          </w14:textFill>
        </w:rPr>
      </w:pPr>
    </w:p>
    <w:p>
      <w:pPr>
        <w:pStyle w:val="5"/>
        <w:tabs>
          <w:tab w:val="left" w:pos="9781"/>
        </w:tabs>
        <w:spacing w:before="76"/>
        <w:ind w:right="101"/>
        <w:jc w:val="both"/>
        <w:rPr>
          <w:color w:val="000000" w:themeColor="text1"/>
          <w14:textFill>
            <w14:solidFill>
              <w14:schemeClr w14:val="tx1"/>
            </w14:solidFill>
          </w14:textFill>
        </w:rPr>
      </w:pPr>
    </w:p>
    <w:p>
      <w:pPr>
        <w:pStyle w:val="5"/>
        <w:tabs>
          <w:tab w:val="left" w:pos="9781"/>
        </w:tabs>
        <w:spacing w:before="76"/>
        <w:ind w:right="101"/>
        <w:jc w:val="both"/>
        <w:rPr>
          <w:color w:val="000000" w:themeColor="text1"/>
          <w14:textFill>
            <w14:solidFill>
              <w14:schemeClr w14:val="tx1"/>
            </w14:solidFill>
          </w14:textFill>
        </w:rPr>
      </w:pPr>
    </w:p>
    <w:p>
      <w:pPr>
        <w:pStyle w:val="5"/>
        <w:tabs>
          <w:tab w:val="left" w:pos="9781"/>
        </w:tabs>
        <w:spacing w:before="76"/>
        <w:ind w:right="101"/>
        <w:jc w:val="both"/>
        <w:rPr>
          <w:color w:val="000000" w:themeColor="text1"/>
          <w14:textFill>
            <w14:solidFill>
              <w14:schemeClr w14:val="tx1"/>
            </w14:solidFill>
          </w14:textFill>
        </w:rPr>
      </w:pPr>
      <w:r>
        <w:rPr>
          <w:color w:val="000000" w:themeColor="text1"/>
          <w14:textFill>
            <w14:solidFill>
              <w14:schemeClr w14:val="tx1"/>
            </w14:solidFill>
          </w14:textFill>
        </w:rPr>
        <w:t>Príloha č. 4 k opatreniu 4455/2003-92</w:t>
      </w:r>
    </w:p>
    <w:p>
      <w:pPr>
        <w:pStyle w:val="5"/>
        <w:tabs>
          <w:tab w:val="left" w:pos="9781"/>
        </w:tabs>
        <w:spacing w:before="10"/>
        <w:jc w:val="both"/>
        <w:rPr>
          <w:color w:val="000000" w:themeColor="text1"/>
          <w:sz w:val="21"/>
          <w14:textFill>
            <w14:solidFill>
              <w14:schemeClr w14:val="tx1"/>
            </w14:solidFill>
          </w14:textFill>
        </w:rPr>
      </w:pPr>
    </w:p>
    <w:p>
      <w:pPr>
        <w:pStyle w:val="2"/>
        <w:tabs>
          <w:tab w:val="left" w:pos="9781"/>
        </w:tabs>
        <w:ind w:left="2022" w:right="2454"/>
        <w:jc w:val="both"/>
        <w:rPr>
          <w:color w:val="000000" w:themeColor="text1"/>
          <w14:textFill>
            <w14:solidFill>
              <w14:schemeClr w14:val="tx1"/>
            </w14:solidFill>
          </w14:textFill>
        </w:rPr>
      </w:pPr>
      <w:r>
        <w:rPr>
          <w:color w:val="000000" w:themeColor="text1"/>
          <w14:textFill>
            <w14:solidFill>
              <w14:schemeClr w14:val="tx1"/>
            </w14:solidFill>
          </w14:textFill>
        </w:rPr>
        <w:t>Zoznam preberaných právne záväzných aktov Európskej únie</w:t>
      </w:r>
    </w:p>
    <w:p>
      <w:pPr>
        <w:pStyle w:val="5"/>
        <w:tabs>
          <w:tab w:val="left" w:pos="9781"/>
        </w:tabs>
        <w:spacing w:before="10"/>
        <w:jc w:val="both"/>
        <w:rPr>
          <w:b/>
          <w:color w:val="000000" w:themeColor="text1"/>
          <w:sz w:val="20"/>
          <w14:textFill>
            <w14:solidFill>
              <w14:schemeClr w14:val="tx1"/>
            </w14:solidFill>
          </w14:textFill>
        </w:rPr>
      </w:pPr>
    </w:p>
    <w:p>
      <w:pPr>
        <w:pStyle w:val="10"/>
        <w:numPr>
          <w:ilvl w:val="0"/>
          <w:numId w:val="16"/>
        </w:numPr>
        <w:tabs>
          <w:tab w:val="left" w:pos="423"/>
          <w:tab w:val="left" w:pos="9781"/>
        </w:tabs>
        <w:ind w:right="571"/>
        <w:jc w:val="both"/>
        <w:rPr>
          <w:color w:val="000000" w:themeColor="text1"/>
          <w14:textFill>
            <w14:solidFill>
              <w14:schemeClr w14:val="tx1"/>
            </w14:solidFill>
          </w14:textFill>
        </w:rPr>
      </w:pPr>
      <w:r>
        <w:rPr>
          <w:color w:val="000000" w:themeColor="text1"/>
          <w14:textFill>
            <w14:solidFill>
              <w14:schemeClr w14:val="tx1"/>
            </w14:solidFill>
          </w14:textFill>
        </w:rPr>
        <w:t>Štvrtá smernica Rady 78/660/EHS z 25. júla 1978 o ročnej účtovnej závierke niektorých typov spoločností, vychádzajúca z článku 54 ods. 3 písm. g) zmluvy (Mimoriadne vydanie Ú. v. EÚ, 17/zv. 1) v znení smernice Rady 83/349/EHS z 13. júna 1983 (Mimoriadne vydanie Ú. v. EÚ, 17/zv. 1), smernice Rady 84/569/EHS z 27. novembra 1984 (Mimoriadne vydanie Ú. v. EÚ, 17/zv. 1), smernice Rady 89/666/EHS z 21. decembra 1989 (Mimoriadne vydanie Ú. v. EÚ, 17/zv. 1), smernice Rady 90/604/EHS z 8. novembra 1990 (Mimoriadne vydanie Ú. v. EÚ, 17/zv. 1), smernice Rady 90/605/EHS z 8. novembra 1990 (Mimoriadne vydanie Ú. v. EÚ, 17/zv. 1), smernice Rady 94/8/ES z 21. marca 1994 (Mimoriadne vydanie Ú. v. EÚ, 17/zv. 1), smernice Európskeho parlamentu a Rady 2001/65/ES z 27. septembra 2001 (Mimoriadne vydanie Ú. v. EÚ, 17/zv. 1), smernice Rady 2003/38/ES z 13. mája 2003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w:t>
      </w:r>
      <w:r>
        <w:rPr>
          <w:color w:val="000000" w:themeColor="text1"/>
          <w:spacing w:val="-19"/>
          <w14:textFill>
            <w14:solidFill>
              <w14:schemeClr w14:val="tx1"/>
            </w14:solidFill>
          </w14:textFill>
        </w:rPr>
        <w:t xml:space="preserve"> </w:t>
      </w:r>
      <w:r>
        <w:rPr>
          <w:color w:val="000000" w:themeColor="text1"/>
          <w14:textFill>
            <w14:solidFill>
              <w14:schemeClr w14:val="tx1"/>
            </w14:solidFill>
          </w14:textFill>
        </w:rPr>
        <w:t>26.6.2009).</w:t>
      </w:r>
    </w:p>
    <w:p>
      <w:pPr>
        <w:pStyle w:val="5"/>
        <w:tabs>
          <w:tab w:val="left" w:pos="9781"/>
        </w:tabs>
        <w:spacing w:before="2"/>
        <w:jc w:val="both"/>
        <w:rPr>
          <w:color w:val="000000" w:themeColor="text1"/>
          <w:sz w:val="21"/>
          <w14:textFill>
            <w14:solidFill>
              <w14:schemeClr w14:val="tx1"/>
            </w14:solidFill>
          </w14:textFill>
        </w:rPr>
      </w:pPr>
    </w:p>
    <w:p>
      <w:pPr>
        <w:pStyle w:val="10"/>
        <w:numPr>
          <w:ilvl w:val="0"/>
          <w:numId w:val="16"/>
        </w:numPr>
        <w:tabs>
          <w:tab w:val="left" w:pos="423"/>
          <w:tab w:val="left" w:pos="9781"/>
        </w:tabs>
        <w:ind w:right="573"/>
        <w:jc w:val="both"/>
        <w:rPr>
          <w:color w:val="000000" w:themeColor="text1"/>
          <w14:textFill>
            <w14:solidFill>
              <w14:schemeClr w14:val="tx1"/>
            </w14:solidFill>
          </w14:textFill>
        </w:rPr>
      </w:pPr>
      <w:r>
        <w:rPr>
          <w:color w:val="000000" w:themeColor="text1"/>
          <w14:textFill>
            <w14:solidFill>
              <w14:schemeClr w14:val="tx1"/>
            </w14:solidFill>
          </w14:textFill>
        </w:rPr>
        <w:t>Smernica Komisie 2006/111/ES zo 16. novembra 2006 o transparentnosti finančných vzťahov členských štátov a verejných podnikov a o finančnej transparentnosti v niektorých podnikoch (kodifikované znenie) (Ú. v. EÚ L 318,</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17.11.2006).</w:t>
      </w:r>
    </w:p>
    <w:p>
      <w:pPr>
        <w:pStyle w:val="5"/>
        <w:tabs>
          <w:tab w:val="left" w:pos="9781"/>
        </w:tabs>
        <w:spacing w:before="9"/>
        <w:jc w:val="both"/>
        <w:rPr>
          <w:color w:val="000000" w:themeColor="text1"/>
          <w:sz w:val="20"/>
          <w14:textFill>
            <w14:solidFill>
              <w14:schemeClr w14:val="tx1"/>
            </w14:solidFill>
          </w14:textFill>
        </w:rPr>
      </w:pPr>
    </w:p>
    <w:p>
      <w:pPr>
        <w:pStyle w:val="10"/>
        <w:numPr>
          <w:ilvl w:val="0"/>
          <w:numId w:val="16"/>
        </w:numPr>
        <w:tabs>
          <w:tab w:val="left" w:pos="423"/>
          <w:tab w:val="left" w:pos="9781"/>
        </w:tabs>
        <w:ind w:right="569"/>
        <w:jc w:val="both"/>
        <w:rPr>
          <w:color w:val="000000" w:themeColor="text1"/>
          <w14:textFill>
            <w14:solidFill>
              <w14:schemeClr w14:val="tx1"/>
            </w14:solidFill>
          </w14:textFill>
        </w:rPr>
      </w:pPr>
      <w:r>
        <w:rPr>
          <w:color w:val="000000" w:themeColor="text1"/>
          <w14:textFill>
            <w14:solidFill>
              <w14:schemeClr w14:val="tx1"/>
            </w14:solidFill>
          </w14:textFill>
        </w:rPr>
        <w:t xml:space="preserve">Siedma smernica Rady 83/349/EHS z 13. júna 1983 o konsolidovaných účtovných závierkach, vychádzajúca z článku 54 ods. 3 písm. g) zmluvy (Mimoriadne vydanie Ú. v. EÚ, 17/zv. 1) v znení smernice Rady 89/666/EHS z 21. decembra 1989 (Mimoriadne vydanie Ú. v. EÚ, 17/zv. 1), smernice Rady 90/604/EHS z 8. novembra 1990 (Mimoriadne vydanie Ú. v. EÚ, 17/zv. 1), smernice Rady 90/605/EHS z 8.novembra 1990 (Mimoriadne vydanie Ú. v. EÚ, 17/zv. 1), smernice Európskeho parlamentu a Rady 2001/65/ES z 27. septembra 2001 (Mimoriadne vydanie Ú. v. EÚ, 17/zv. 1), smernice Európskeho parlamentu a Rady 2003/51/ES z 18. júna 2003 (Mimoriadne vydanie Ú. v. </w:t>
      </w:r>
      <w:r>
        <w:rPr>
          <w:color w:val="000000" w:themeColor="text1"/>
          <w:spacing w:val="-2"/>
          <w14:textFill>
            <w14:solidFill>
              <w14:schemeClr w14:val="tx1"/>
            </w14:solidFill>
          </w14:textFill>
        </w:rPr>
        <w:t xml:space="preserve">EÚ,  </w:t>
      </w:r>
      <w:r>
        <w:rPr>
          <w:color w:val="000000" w:themeColor="text1"/>
          <w14:textFill>
            <w14:solidFill>
              <w14:schemeClr w14:val="tx1"/>
            </w14:solidFill>
          </w14:textFill>
        </w:rPr>
        <w:t>17/zv. 1), smernice Európskeho parlamentu        a Rady 2006/46/ES zo 14. júna 2006 (Ú. v. EÚ L 224, 16.8.2006) a smernice Európskeho parlamentu a Rady 2009/49/ES z 18. júna 2009 (Ú. v. EÚ L 164,</w:t>
      </w:r>
      <w:r>
        <w:rPr>
          <w:color w:val="000000" w:themeColor="text1"/>
          <w:spacing w:val="-9"/>
          <w14:textFill>
            <w14:solidFill>
              <w14:schemeClr w14:val="tx1"/>
            </w14:solidFill>
          </w14:textFill>
        </w:rPr>
        <w:t xml:space="preserve"> </w:t>
      </w:r>
      <w:r>
        <w:rPr>
          <w:color w:val="000000" w:themeColor="text1"/>
          <w14:textFill>
            <w14:solidFill>
              <w14:schemeClr w14:val="tx1"/>
            </w14:solidFill>
          </w14:textFill>
        </w:rPr>
        <w:t>26.6.2009).</w:t>
      </w:r>
    </w:p>
    <w:p>
      <w:pPr>
        <w:pStyle w:val="5"/>
        <w:tabs>
          <w:tab w:val="left" w:pos="9781"/>
        </w:tabs>
        <w:jc w:val="both"/>
        <w:rPr>
          <w:color w:val="000000" w:themeColor="text1"/>
          <w:sz w:val="21"/>
          <w14:textFill>
            <w14:solidFill>
              <w14:schemeClr w14:val="tx1"/>
            </w14:solidFill>
          </w14:textFill>
        </w:rPr>
      </w:pPr>
    </w:p>
    <w:p>
      <w:pPr>
        <w:pStyle w:val="10"/>
        <w:numPr>
          <w:ilvl w:val="0"/>
          <w:numId w:val="16"/>
        </w:numPr>
        <w:tabs>
          <w:tab w:val="left" w:pos="423"/>
          <w:tab w:val="left" w:pos="9781"/>
        </w:tabs>
        <w:ind w:right="572"/>
        <w:jc w:val="both"/>
        <w:rPr>
          <w:color w:val="000000" w:themeColor="text1"/>
          <w14:textFill>
            <w14:solidFill>
              <w14:schemeClr w14:val="tx1"/>
            </w14:solidFill>
          </w14:textFill>
        </w:rPr>
      </w:pPr>
      <w:r>
        <w:rPr>
          <w:color w:val="000000" w:themeColor="text1"/>
          <w14:textFill>
            <w14:solidFill>
              <w14:schemeClr w14:val="tx1"/>
            </w14:solidFill>
          </w14:textFill>
        </w:rPr>
        <w:t>Smernica Európskeho parlamentu a Rady 2013/34/EÚ z 26. júna 2013 o ročných účtovných závierkach, konsolidovaných účtovných závierkach a súvisiacich správach určitých druhov podnikov, ktorou sa mení smernica Európskeho parlamentu a Rady 2006/43/ES a zrušujú smernice Rady 78/660/EHS a 83/349/EHS (Ú. v. EÚ L 182,</w:t>
      </w:r>
      <w:r>
        <w:rPr>
          <w:color w:val="000000" w:themeColor="text1"/>
          <w:spacing w:val="-2"/>
          <w14:textFill>
            <w14:solidFill>
              <w14:schemeClr w14:val="tx1"/>
            </w14:solidFill>
          </w14:textFill>
        </w:rPr>
        <w:t xml:space="preserve"> </w:t>
      </w:r>
      <w:r>
        <w:rPr>
          <w:color w:val="000000" w:themeColor="text1"/>
          <w14:textFill>
            <w14:solidFill>
              <w14:schemeClr w14:val="tx1"/>
            </w14:solidFill>
          </w14:textFill>
        </w:rPr>
        <w:t>29.6.2013).</w:t>
      </w:r>
    </w:p>
    <w:p>
      <w:pPr>
        <w:pStyle w:val="10"/>
        <w:rPr>
          <w:color w:val="000000" w:themeColor="text1"/>
          <w14:textFill>
            <w14:solidFill>
              <w14:schemeClr w14:val="tx1"/>
            </w14:solidFill>
          </w14:textFill>
        </w:rPr>
      </w:pPr>
    </w:p>
    <w:p>
      <w:pPr>
        <w:tabs>
          <w:tab w:val="left" w:pos="423"/>
          <w:tab w:val="left" w:pos="9781"/>
        </w:tabs>
        <w:ind w:right="572"/>
        <w:jc w:val="both"/>
        <w:rPr>
          <w:color w:val="000000" w:themeColor="text1"/>
          <w14:textFill>
            <w14:solidFill>
              <w14:schemeClr w14:val="tx1"/>
            </w14:solidFill>
          </w14:textFill>
        </w:rPr>
      </w:pPr>
    </w:p>
    <w:p>
      <w:pPr>
        <w:tabs>
          <w:tab w:val="left" w:pos="423"/>
          <w:tab w:val="left" w:pos="9781"/>
        </w:tabs>
        <w:ind w:right="572"/>
        <w:jc w:val="both"/>
        <w:rPr>
          <w:color w:val="000000" w:themeColor="text1"/>
          <w14:textFill>
            <w14:solidFill>
              <w14:schemeClr w14:val="tx1"/>
            </w14:solidFill>
          </w14:textFill>
        </w:rPr>
      </w:pPr>
    </w:p>
    <w:p>
      <w:pPr>
        <w:tabs>
          <w:tab w:val="left" w:pos="423"/>
          <w:tab w:val="left" w:pos="9781"/>
        </w:tabs>
        <w:ind w:right="572"/>
        <w:jc w:val="both"/>
        <w:rPr>
          <w:color w:val="000000" w:themeColor="text1"/>
          <w14:textFill>
            <w14:solidFill>
              <w14:schemeClr w14:val="tx1"/>
            </w14:solidFill>
          </w14:textFill>
        </w:rPr>
      </w:pPr>
    </w:p>
    <w:p>
      <w:pPr>
        <w:tabs>
          <w:tab w:val="left" w:pos="423"/>
          <w:tab w:val="left" w:pos="9781"/>
        </w:tabs>
        <w:ind w:right="572"/>
        <w:jc w:val="both"/>
        <w:rPr>
          <w:color w:val="000000" w:themeColor="text1"/>
          <w14:textFill>
            <w14:solidFill>
              <w14:schemeClr w14:val="tx1"/>
            </w14:solidFill>
          </w14:textFill>
        </w:rPr>
      </w:pPr>
    </w:p>
    <w:p>
      <w:pPr>
        <w:tabs>
          <w:tab w:val="left" w:pos="9781"/>
        </w:tabs>
        <w:spacing w:before="76"/>
        <w:ind w:left="138" w:right="575"/>
        <w:jc w:val="both"/>
        <w:rPr>
          <w:color w:val="000000" w:themeColor="text1"/>
          <w:position w:val="5"/>
          <w14:textFill>
            <w14:solidFill>
              <w14:schemeClr w14:val="tx1"/>
            </w14:solidFill>
          </w14:textFill>
        </w:rPr>
      </w:pPr>
    </w:p>
    <w:p>
      <w:pPr>
        <w:tabs>
          <w:tab w:val="left" w:pos="9214"/>
        </w:tabs>
        <w:spacing w:before="76"/>
        <w:ind w:left="138" w:right="575"/>
        <w:jc w:val="both"/>
        <w:rPr>
          <w:color w:val="000000" w:themeColor="text1"/>
          <w:sz w:val="18"/>
          <w:szCs w:val="18"/>
          <w14:textFill>
            <w14:solidFill>
              <w14:schemeClr w14:val="tx1"/>
            </w14:solidFill>
          </w14:textFill>
        </w:rPr>
      </w:pPr>
      <w:r>
        <w:rPr>
          <w:color w:val="000000" w:themeColor="text1"/>
          <w:position w:val="5"/>
          <w:sz w:val="18"/>
          <w:szCs w:val="18"/>
          <w:lang w:eastAsia="sk-SK"/>
          <w14:textFill>
            <w14:solidFill>
              <w14:schemeClr w14:val="tx1"/>
            </w14:solidFill>
          </w14:textFill>
        </w:rPr>
        <mc:AlternateContent>
          <mc:Choice Requires="wps">
            <w:drawing>
              <wp:anchor distT="0" distB="0" distL="114300" distR="114300" simplePos="0" relativeHeight="251664384" behindDoc="0" locked="0" layoutInCell="1" allowOverlap="1">
                <wp:simplePos x="0" y="0"/>
                <wp:positionH relativeFrom="column">
                  <wp:posOffset>48260</wp:posOffset>
                </wp:positionH>
                <wp:positionV relativeFrom="paragraph">
                  <wp:posOffset>27305</wp:posOffset>
                </wp:positionV>
                <wp:extent cx="6164580" cy="0"/>
                <wp:effectExtent l="0" t="0" r="0" b="0"/>
                <wp:wrapNone/>
                <wp:docPr id="3" name="AutoShape 19"/>
                <wp:cNvGraphicFramePr/>
                <a:graphic xmlns:a="http://schemas.openxmlformats.org/drawingml/2006/main">
                  <a:graphicData uri="http://schemas.microsoft.com/office/word/2010/wordprocessingShape">
                    <wps:wsp>
                      <wps:cNvCnPr>
                        <a:cxnSpLocks noChangeShapeType="1"/>
                      </wps:cNvCnPr>
                      <wps:spPr bwMode="auto">
                        <a:xfrm>
                          <a:off x="0" y="0"/>
                          <a:ext cx="6164580" cy="0"/>
                        </a:xfrm>
                        <a:prstGeom prst="straightConnector1">
                          <a:avLst/>
                        </a:prstGeom>
                        <a:noFill/>
                        <a:ln w="9525">
                          <a:solidFill>
                            <a:schemeClr val="bg1">
                              <a:lumMod val="50000"/>
                              <a:lumOff val="0"/>
                            </a:schemeClr>
                          </a:solidFill>
                          <a:round/>
                        </a:ln>
                      </wps:spPr>
                      <wps:bodyPr/>
                    </wps:wsp>
                  </a:graphicData>
                </a:graphic>
              </wp:anchor>
            </w:drawing>
          </mc:Choice>
          <mc:Fallback>
            <w:pict>
              <v:shape id="AutoShape 19" o:spid="_x0000_s1026" o:spt="32" type="#_x0000_t32" style="position:absolute;left:0pt;margin-left:3.8pt;margin-top:2.15pt;height:0pt;width:485.4pt;z-index:251664384;mso-width-relative:page;mso-height-relative:page;" filled="f" stroked="t" coordsize="21600,21600" o:gfxdata="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JJ0&#10;f8zUAAAABQEAAA8AAAAAAAAAAQAgAAAAIgAAAGRycy9kb3ducmV2LnhtbFBLAQIUABQAAAAIAIdO&#10;4kAUgz+47gEAAOgDAAAOAAAAAAAAAAEAIAAAACMBAABkcnMvZTJvRG9jLnhtbFBLBQYAAAAABgAG&#10;AFkBAACDBQAAAAA=&#10;">
                <v:fill on="f" focussize="0,0"/>
                <v:stroke color="#7F7F7F [3212]" joinstyle="round"/>
                <v:imagedata o:title=""/>
                <o:lock v:ext="edit" aspectratio="f"/>
              </v:shape>
            </w:pict>
          </mc:Fallback>
        </mc:AlternateContent>
      </w:r>
      <w:r>
        <w:rPr>
          <w:color w:val="000000" w:themeColor="text1"/>
          <w:position w:val="5"/>
          <w:sz w:val="18"/>
          <w:szCs w:val="18"/>
          <w14:textFill>
            <w14:solidFill>
              <w14:schemeClr w14:val="tx1"/>
            </w14:solidFill>
          </w14:textFill>
        </w:rPr>
        <w:t xml:space="preserve">1ca) </w:t>
      </w:r>
      <w:r>
        <w:rPr>
          <w:color w:val="000000" w:themeColor="text1"/>
          <w:sz w:val="18"/>
          <w:szCs w:val="18"/>
          <w14:textFill>
            <w14:solidFill>
              <w14:schemeClr w14:val="tx1"/>
            </w14:solidFill>
          </w14:textFill>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w:t>
      </w:r>
      <w:r>
        <w:rPr>
          <w:color w:val="000000" w:themeColor="text1"/>
          <w:spacing w:val="-8"/>
          <w:sz w:val="18"/>
          <w:szCs w:val="18"/>
          <w14:textFill>
            <w14:solidFill>
              <w14:schemeClr w14:val="tx1"/>
            </w14:solidFill>
          </w14:textFill>
        </w:rPr>
        <w:t xml:space="preserve"> </w:t>
      </w:r>
      <w:r>
        <w:rPr>
          <w:color w:val="000000" w:themeColor="text1"/>
          <w:sz w:val="18"/>
          <w:szCs w:val="18"/>
          <w14:textFill>
            <w14:solidFill>
              <w14:schemeClr w14:val="tx1"/>
            </w14:solidFill>
          </w14:textFill>
        </w:rPr>
        <w:t>znení.</w:t>
      </w:r>
    </w:p>
    <w:sectPr>
      <w:headerReference r:id="rId4" w:type="default"/>
      <w:footerReference r:id="rId5" w:type="default"/>
      <w:pgSz w:w="11910" w:h="16850"/>
      <w:pgMar w:top="1340" w:right="840" w:bottom="1080" w:left="1280" w:header="0" w:footer="897" w:gutter="0"/>
      <w:cols w:space="708"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w:rPr>
        <w:lang w:eastAsia="sk-SK"/>
      </w:rPr>
      <mc:AlternateContent>
        <mc:Choice Requires="wps">
          <w:drawing>
            <wp:anchor distT="0" distB="0" distL="114300" distR="114300" simplePos="0" relativeHeight="251660288" behindDoc="1" locked="0" layoutInCell="1" allowOverlap="1">
              <wp:simplePos x="0" y="0"/>
              <wp:positionH relativeFrom="page">
                <wp:posOffset>6496685</wp:posOffset>
              </wp:positionH>
              <wp:positionV relativeFrom="page">
                <wp:posOffset>9984740</wp:posOffset>
              </wp:positionV>
              <wp:extent cx="204470" cy="186690"/>
              <wp:effectExtent l="0" t="0" r="0" b="0"/>
              <wp:wrapNone/>
              <wp:docPr id="2" name="Text Box 1"/>
              <wp:cNvGraphicFramePr/>
              <a:graphic xmlns:a="http://schemas.openxmlformats.org/drawingml/2006/main">
                <a:graphicData uri="http://schemas.microsoft.com/office/word/2010/wordprocessingShape">
                  <wps:wsp>
                    <wps:cNvSpPr txBox="1">
                      <a:spLocks noChangeArrowheads="1"/>
                    </wps:cNvSpPr>
                    <wps:spPr bwMode="auto">
                      <a:xfrm>
                        <a:off x="0" y="0"/>
                        <a:ext cx="204470" cy="186690"/>
                      </a:xfrm>
                      <a:prstGeom prst="rect">
                        <a:avLst/>
                      </a:prstGeom>
                      <a:noFill/>
                      <a:ln>
                        <a:noFill/>
                      </a:ln>
                    </wps:spPr>
                    <wps:txbx>
                      <w:txbxContent>
                        <w:p>
                          <w:pPr>
                            <w:pStyle w:val="5"/>
                            <w:spacing w:before="20"/>
                            <w:ind w:left="60"/>
                          </w:pPr>
                        </w:p>
                      </w:txbxContent>
                    </wps:txbx>
                    <wps:bodyPr rot="0" vert="horz" wrap="square" lIns="0" tIns="0" rIns="0" bIns="0" anchor="t" anchorCtr="0" upright="1">
                      <a:noAutofit/>
                    </wps:bodyPr>
                  </wps:wsp>
                </a:graphicData>
              </a:graphic>
            </wp:anchor>
          </w:drawing>
        </mc:Choice>
        <mc:Fallback>
          <w:pict>
            <v:shape id="Text Box 1" o:spid="_x0000_s1026" o:spt="202" type="#_x0000_t202" style="position:absolute;left:0pt;margin-left:511.55pt;margin-top:786.2pt;height:14.7pt;width:16.1pt;mso-position-horizontal-relative:page;mso-position-vertical-relative:page;z-index:-251656192;mso-width-relative:page;mso-height-relative:page;" filled="f" stroked="f" coordsize="21600,21600" o:gfxdata="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jXZYUdsAAAAPAQAADwAAAAAAAAABACAAAAAiAAAAZHJzL2Rvd25y&#10;ZXYueG1sUEsBAhQAFAAAAAgAh07iQDUHgyr7AQAAAwQAAA4AAAAAAAAAAQAgAAAAKgEAAGRycy9l&#10;Mm9Eb2MueG1sUEsFBgAAAAAGAAYAWQEAAJcFAAAAAA==&#10;">
              <v:fill on="f" focussize="0,0"/>
              <v:stroke on="f"/>
              <v:imagedata o:title=""/>
              <o:lock v:ext="edit" aspectratio="f"/>
              <v:textbox inset="0mm,0mm,0mm,0mm">
                <w:txbxContent>
                  <w:p>
                    <w:pPr>
                      <w:pStyle w:val="5"/>
                      <w:spacing w:before="20"/>
                      <w:ind w:left="60"/>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16320993"/>
      <w:docPartObj>
        <w:docPartGallery w:val="autotext"/>
      </w:docPartObj>
    </w:sdtPr>
    <w:sdtContent>
      <w:p>
        <w:pPr>
          <w:pStyle w:val="6"/>
        </w:pPr>
        <w:r>
          <w:rPr>
            <w:lang w:eastAsia="sk-SK"/>
          </w:rPr>
          <mc:AlternateContent>
            <mc:Choice Requires="wps">
              <w:drawing>
                <wp:anchor distT="0" distB="0" distL="114300" distR="114300" simplePos="0" relativeHeight="251661312" behindDoc="0" locked="0" layoutInCell="1" allowOverlap="1">
                  <wp:simplePos x="0" y="0"/>
                  <wp:positionH relativeFrom="column">
                    <wp:posOffset>33020</wp:posOffset>
                  </wp:positionH>
                  <wp:positionV relativeFrom="paragraph">
                    <wp:posOffset>-635</wp:posOffset>
                  </wp:positionV>
                  <wp:extent cx="6172200" cy="0"/>
                  <wp:effectExtent l="0" t="0" r="0" b="0"/>
                  <wp:wrapNone/>
                  <wp:docPr id="1" name="AutoShape 4"/>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straightConnector1">
                            <a:avLst/>
                          </a:prstGeom>
                          <a:noFill/>
                          <a:ln w="9525">
                            <a:solidFill>
                              <a:schemeClr val="tx1">
                                <a:lumMod val="50000"/>
                                <a:lumOff val="50000"/>
                              </a:schemeClr>
                            </a:solidFill>
                            <a:round/>
                          </a:ln>
                        </wps:spPr>
                        <wps:bodyPr/>
                      </wps:wsp>
                    </a:graphicData>
                  </a:graphic>
                </wp:anchor>
              </w:drawing>
            </mc:Choice>
            <mc:Fallback>
              <w:pict>
                <v:shape id="AutoShape 4" o:spid="_x0000_s1026" o:spt="32" type="#_x0000_t32" style="position:absolute;left:0pt;margin-left:2.6pt;margin-top:-0.05pt;height:0pt;width:486pt;z-index:251661312;mso-width-relative:page;mso-height-relative:page;" filled="f" stroked="t" coordsize="21600,21600" o:gfxdata="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UXAZE0AAAAAUB&#10;AAAPAAAAAAAAAAEAIAAAACIAAABkcnMvZG93bnJldi54bWxQSwECFAAUAAAACACHTuJADABEDeoB&#10;AADrAwAADgAAAAAAAAABACAAAAAfAQAAZHJzL2Uyb0RvYy54bWxQSwUGAAAAAAYABgBZAQAAewUA&#10;AAAA&#10;">
                  <v:fill on="f" focussize="0,0"/>
                  <v:stroke color="#808080 [1629]" joinstyle="round"/>
                  <v:imagedata o:title=""/>
                  <o:lock v:ext="edit" aspectratio="f"/>
                </v:shape>
              </w:pict>
            </mc:Fallback>
          </mc:AlternateContent>
        </w:r>
        <w:r>
          <w:t>* vyberte z uvedených variant</w:t>
        </w:r>
        <w:r>
          <w:tab/>
        </w:r>
        <w:r>
          <w:tab/>
        </w:r>
        <w:r>
          <w:fldChar w:fldCharType="begin"/>
        </w:r>
        <w:r>
          <w:instrText xml:space="preserve">PAGE   \* MERGEFORMAT</w:instrText>
        </w:r>
        <w:r>
          <w:fldChar w:fldCharType="separate"/>
        </w:r>
        <w:r>
          <w:t>21</w:t>
        </w:r>
        <w:r>
          <w:fldChar w:fldCharType="end"/>
        </w:r>
      </w:p>
      <w:p>
        <w:pPr>
          <w:pStyle w:val="6"/>
        </w:pP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right"/>
      <w:rPr>
        <w:b/>
        <w:bCs/>
      </w:rPr>
    </w:pPr>
    <w:r>
      <w:rPr>
        <w:b/>
        <w:bCs/>
      </w:rPr>
      <w:t xml:space="preserve">Príloha č. 3 k opatreniu 4455/2003-92 </w:t>
    </w:r>
  </w:p>
  <w:p>
    <w:pPr>
      <w:pStyle w:val="7"/>
      <w:jc w:val="right"/>
    </w:pPr>
    <w:r>
      <w:rPr>
        <w:b/>
        <w:bCs/>
      </w:rPr>
      <w:t>doplnená o povinnosti a obmedzenia registrovaného sociálneho podniku podľa osobitného predpisu, ktorým je  Zákon 112/2018 o sociálnej ekonomike a sociálnych podnikoch a o zmene a doplnení niektorých zákonov</w:t>
    </w:r>
  </w:p>
  <w:p>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7D38D5"/>
    <w:multiLevelType w:val="multilevel"/>
    <w:tmpl w:val="057D38D5"/>
    <w:lvl w:ilvl="0" w:tentative="0">
      <w:start w:val="1"/>
      <w:numFmt w:val="bullet"/>
      <w:lvlText w:val=""/>
      <w:lvlJc w:val="left"/>
      <w:pPr>
        <w:ind w:left="1004" w:hanging="360"/>
      </w:pPr>
      <w:rPr>
        <w:rFonts w:hint="default" w:ascii="Symbol" w:hAnsi="Symbol"/>
      </w:rPr>
    </w:lvl>
    <w:lvl w:ilvl="1" w:tentative="0">
      <w:start w:val="1"/>
      <w:numFmt w:val="bullet"/>
      <w:lvlText w:val="o"/>
      <w:lvlJc w:val="left"/>
      <w:pPr>
        <w:ind w:left="1724" w:hanging="360"/>
      </w:pPr>
      <w:rPr>
        <w:rFonts w:hint="default" w:ascii="Courier New" w:hAnsi="Courier New" w:cs="Courier New"/>
      </w:rPr>
    </w:lvl>
    <w:lvl w:ilvl="2" w:tentative="0">
      <w:start w:val="1"/>
      <w:numFmt w:val="bullet"/>
      <w:lvlText w:val=""/>
      <w:lvlJc w:val="left"/>
      <w:pPr>
        <w:ind w:left="2444" w:hanging="360"/>
      </w:pPr>
      <w:rPr>
        <w:rFonts w:hint="default" w:ascii="Wingdings" w:hAnsi="Wingdings"/>
      </w:rPr>
    </w:lvl>
    <w:lvl w:ilvl="3" w:tentative="0">
      <w:start w:val="1"/>
      <w:numFmt w:val="bullet"/>
      <w:lvlText w:val=""/>
      <w:lvlJc w:val="left"/>
      <w:pPr>
        <w:ind w:left="3164" w:hanging="360"/>
      </w:pPr>
      <w:rPr>
        <w:rFonts w:hint="default" w:ascii="Symbol" w:hAnsi="Symbol"/>
      </w:rPr>
    </w:lvl>
    <w:lvl w:ilvl="4" w:tentative="0">
      <w:start w:val="1"/>
      <w:numFmt w:val="bullet"/>
      <w:lvlText w:val="o"/>
      <w:lvlJc w:val="left"/>
      <w:pPr>
        <w:ind w:left="3884" w:hanging="360"/>
      </w:pPr>
      <w:rPr>
        <w:rFonts w:hint="default" w:ascii="Courier New" w:hAnsi="Courier New" w:cs="Courier New"/>
      </w:rPr>
    </w:lvl>
    <w:lvl w:ilvl="5" w:tentative="0">
      <w:start w:val="1"/>
      <w:numFmt w:val="bullet"/>
      <w:lvlText w:val=""/>
      <w:lvlJc w:val="left"/>
      <w:pPr>
        <w:ind w:left="4604" w:hanging="360"/>
      </w:pPr>
      <w:rPr>
        <w:rFonts w:hint="default" w:ascii="Wingdings" w:hAnsi="Wingdings"/>
      </w:rPr>
    </w:lvl>
    <w:lvl w:ilvl="6" w:tentative="0">
      <w:start w:val="1"/>
      <w:numFmt w:val="bullet"/>
      <w:lvlText w:val=""/>
      <w:lvlJc w:val="left"/>
      <w:pPr>
        <w:ind w:left="5324" w:hanging="360"/>
      </w:pPr>
      <w:rPr>
        <w:rFonts w:hint="default" w:ascii="Symbol" w:hAnsi="Symbol"/>
      </w:rPr>
    </w:lvl>
    <w:lvl w:ilvl="7" w:tentative="0">
      <w:start w:val="1"/>
      <w:numFmt w:val="bullet"/>
      <w:lvlText w:val="o"/>
      <w:lvlJc w:val="left"/>
      <w:pPr>
        <w:ind w:left="6044" w:hanging="360"/>
      </w:pPr>
      <w:rPr>
        <w:rFonts w:hint="default" w:ascii="Courier New" w:hAnsi="Courier New" w:cs="Courier New"/>
      </w:rPr>
    </w:lvl>
    <w:lvl w:ilvl="8" w:tentative="0">
      <w:start w:val="1"/>
      <w:numFmt w:val="bullet"/>
      <w:lvlText w:val=""/>
      <w:lvlJc w:val="left"/>
      <w:pPr>
        <w:ind w:left="6764" w:hanging="360"/>
      </w:pPr>
      <w:rPr>
        <w:rFonts w:hint="default" w:ascii="Wingdings" w:hAnsi="Wingdings"/>
      </w:rPr>
    </w:lvl>
  </w:abstractNum>
  <w:abstractNum w:abstractNumId="1">
    <w:nsid w:val="05F41E7F"/>
    <w:multiLevelType w:val="multilevel"/>
    <w:tmpl w:val="05F41E7F"/>
    <w:lvl w:ilvl="0" w:tentative="0">
      <w:start w:val="18"/>
      <w:numFmt w:val="upperLetter"/>
      <w:lvlText w:val="%1."/>
      <w:lvlJc w:val="left"/>
      <w:pPr>
        <w:ind w:left="438" w:hanging="288"/>
      </w:pPr>
      <w:rPr>
        <w:rFonts w:hint="default" w:ascii="Arial Narrow" w:hAnsi="Arial Narrow" w:eastAsia="Arial Narrow" w:cs="Arial Narrow"/>
        <w:b/>
        <w:bCs/>
        <w:spacing w:val="-2"/>
        <w:w w:val="94"/>
        <w:sz w:val="22"/>
        <w:szCs w:val="22"/>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A503DDF"/>
    <w:multiLevelType w:val="multilevel"/>
    <w:tmpl w:val="0A503DDF"/>
    <w:lvl w:ilvl="0" w:tentative="0">
      <w:start w:val="3"/>
      <w:numFmt w:val="upperLetter"/>
      <w:lvlText w:val="%1."/>
      <w:lvlJc w:val="left"/>
      <w:pPr>
        <w:ind w:left="2262" w:hanging="1416"/>
      </w:pPr>
      <w:rPr>
        <w:rFonts w:hint="default"/>
        <w:b/>
        <w:bCs/>
        <w:i/>
        <w:spacing w:val="-2"/>
        <w:w w:val="100"/>
        <w:lang w:val="sk-SK" w:eastAsia="en-US" w:bidi="ar-SA"/>
      </w:rPr>
    </w:lvl>
    <w:lvl w:ilvl="1" w:tentative="0">
      <w:start w:val="0"/>
      <w:numFmt w:val="bullet"/>
      <w:lvlText w:val="•"/>
      <w:lvlJc w:val="left"/>
      <w:pPr>
        <w:ind w:left="3012" w:hanging="1416"/>
      </w:pPr>
      <w:rPr>
        <w:rFonts w:hint="default"/>
        <w:lang w:val="sk-SK" w:eastAsia="en-US" w:bidi="ar-SA"/>
      </w:rPr>
    </w:lvl>
    <w:lvl w:ilvl="2" w:tentative="0">
      <w:start w:val="0"/>
      <w:numFmt w:val="bullet"/>
      <w:lvlText w:val="•"/>
      <w:lvlJc w:val="left"/>
      <w:pPr>
        <w:ind w:left="3765" w:hanging="1416"/>
      </w:pPr>
      <w:rPr>
        <w:rFonts w:hint="default"/>
        <w:lang w:val="sk-SK" w:eastAsia="en-US" w:bidi="ar-SA"/>
      </w:rPr>
    </w:lvl>
    <w:lvl w:ilvl="3" w:tentative="0">
      <w:start w:val="0"/>
      <w:numFmt w:val="bullet"/>
      <w:lvlText w:val="•"/>
      <w:lvlJc w:val="left"/>
      <w:pPr>
        <w:ind w:left="4517" w:hanging="1416"/>
      </w:pPr>
      <w:rPr>
        <w:rFonts w:hint="default"/>
        <w:lang w:val="sk-SK" w:eastAsia="en-US" w:bidi="ar-SA"/>
      </w:rPr>
    </w:lvl>
    <w:lvl w:ilvl="4" w:tentative="0">
      <w:start w:val="0"/>
      <w:numFmt w:val="bullet"/>
      <w:lvlText w:val="•"/>
      <w:lvlJc w:val="left"/>
      <w:pPr>
        <w:ind w:left="5270" w:hanging="1416"/>
      </w:pPr>
      <w:rPr>
        <w:rFonts w:hint="default"/>
        <w:lang w:val="sk-SK" w:eastAsia="en-US" w:bidi="ar-SA"/>
      </w:rPr>
    </w:lvl>
    <w:lvl w:ilvl="5" w:tentative="0">
      <w:start w:val="0"/>
      <w:numFmt w:val="bullet"/>
      <w:lvlText w:val="•"/>
      <w:lvlJc w:val="left"/>
      <w:pPr>
        <w:ind w:left="6023" w:hanging="1416"/>
      </w:pPr>
      <w:rPr>
        <w:rFonts w:hint="default"/>
        <w:lang w:val="sk-SK" w:eastAsia="en-US" w:bidi="ar-SA"/>
      </w:rPr>
    </w:lvl>
    <w:lvl w:ilvl="6" w:tentative="0">
      <w:start w:val="0"/>
      <w:numFmt w:val="bullet"/>
      <w:lvlText w:val="•"/>
      <w:lvlJc w:val="left"/>
      <w:pPr>
        <w:ind w:left="6775" w:hanging="1416"/>
      </w:pPr>
      <w:rPr>
        <w:rFonts w:hint="default"/>
        <w:lang w:val="sk-SK" w:eastAsia="en-US" w:bidi="ar-SA"/>
      </w:rPr>
    </w:lvl>
    <w:lvl w:ilvl="7" w:tentative="0">
      <w:start w:val="0"/>
      <w:numFmt w:val="bullet"/>
      <w:lvlText w:val="•"/>
      <w:lvlJc w:val="left"/>
      <w:pPr>
        <w:ind w:left="7528" w:hanging="1416"/>
      </w:pPr>
      <w:rPr>
        <w:rFonts w:hint="default"/>
        <w:lang w:val="sk-SK" w:eastAsia="en-US" w:bidi="ar-SA"/>
      </w:rPr>
    </w:lvl>
    <w:lvl w:ilvl="8" w:tentative="0">
      <w:start w:val="0"/>
      <w:numFmt w:val="bullet"/>
      <w:lvlText w:val="•"/>
      <w:lvlJc w:val="left"/>
      <w:pPr>
        <w:ind w:left="8281" w:hanging="1416"/>
      </w:pPr>
      <w:rPr>
        <w:rFonts w:hint="default"/>
        <w:lang w:val="sk-SK" w:eastAsia="en-US" w:bidi="ar-SA"/>
      </w:rPr>
    </w:lvl>
  </w:abstractNum>
  <w:abstractNum w:abstractNumId="3">
    <w:nsid w:val="0E0F7B2E"/>
    <w:multiLevelType w:val="multilevel"/>
    <w:tmpl w:val="0E0F7B2E"/>
    <w:lvl w:ilvl="0" w:tentative="0">
      <w:start w:val="1"/>
      <w:numFmt w:val="decimal"/>
      <w:lvlText w:val="%1."/>
      <w:lvlJc w:val="left"/>
      <w:pPr>
        <w:ind w:left="1936" w:hanging="358"/>
      </w:pPr>
      <w:rPr>
        <w:rFonts w:hint="default" w:ascii="Arial Narrow" w:hAnsi="Arial Narrow" w:eastAsia="Arial Narrow" w:cs="Arial Narrow"/>
        <w:w w:val="100"/>
        <w:sz w:val="22"/>
        <w:szCs w:val="22"/>
        <w:lang w:val="sk-SK" w:eastAsia="en-US" w:bidi="ar-SA"/>
      </w:rPr>
    </w:lvl>
    <w:lvl w:ilvl="1" w:tentative="0">
      <w:start w:val="0"/>
      <w:numFmt w:val="bullet"/>
      <w:lvlText w:val="•"/>
      <w:lvlJc w:val="left"/>
      <w:pPr>
        <w:ind w:left="2724" w:hanging="358"/>
      </w:pPr>
      <w:rPr>
        <w:rFonts w:hint="default"/>
        <w:lang w:val="sk-SK" w:eastAsia="en-US" w:bidi="ar-SA"/>
      </w:rPr>
    </w:lvl>
    <w:lvl w:ilvl="2" w:tentative="0">
      <w:start w:val="0"/>
      <w:numFmt w:val="bullet"/>
      <w:lvlText w:val="•"/>
      <w:lvlJc w:val="left"/>
      <w:pPr>
        <w:ind w:left="3509" w:hanging="358"/>
      </w:pPr>
      <w:rPr>
        <w:rFonts w:hint="default"/>
        <w:lang w:val="sk-SK" w:eastAsia="en-US" w:bidi="ar-SA"/>
      </w:rPr>
    </w:lvl>
    <w:lvl w:ilvl="3" w:tentative="0">
      <w:start w:val="0"/>
      <w:numFmt w:val="bullet"/>
      <w:lvlText w:val="•"/>
      <w:lvlJc w:val="left"/>
      <w:pPr>
        <w:ind w:left="4293" w:hanging="358"/>
      </w:pPr>
      <w:rPr>
        <w:rFonts w:hint="default"/>
        <w:lang w:val="sk-SK" w:eastAsia="en-US" w:bidi="ar-SA"/>
      </w:rPr>
    </w:lvl>
    <w:lvl w:ilvl="4" w:tentative="0">
      <w:start w:val="0"/>
      <w:numFmt w:val="bullet"/>
      <w:lvlText w:val="•"/>
      <w:lvlJc w:val="left"/>
      <w:pPr>
        <w:ind w:left="5078" w:hanging="358"/>
      </w:pPr>
      <w:rPr>
        <w:rFonts w:hint="default"/>
        <w:lang w:val="sk-SK" w:eastAsia="en-US" w:bidi="ar-SA"/>
      </w:rPr>
    </w:lvl>
    <w:lvl w:ilvl="5" w:tentative="0">
      <w:start w:val="0"/>
      <w:numFmt w:val="bullet"/>
      <w:lvlText w:val="•"/>
      <w:lvlJc w:val="left"/>
      <w:pPr>
        <w:ind w:left="5863" w:hanging="358"/>
      </w:pPr>
      <w:rPr>
        <w:rFonts w:hint="default"/>
        <w:lang w:val="sk-SK" w:eastAsia="en-US" w:bidi="ar-SA"/>
      </w:rPr>
    </w:lvl>
    <w:lvl w:ilvl="6" w:tentative="0">
      <w:start w:val="0"/>
      <w:numFmt w:val="bullet"/>
      <w:lvlText w:val="•"/>
      <w:lvlJc w:val="left"/>
      <w:pPr>
        <w:ind w:left="6647" w:hanging="358"/>
      </w:pPr>
      <w:rPr>
        <w:rFonts w:hint="default"/>
        <w:lang w:val="sk-SK" w:eastAsia="en-US" w:bidi="ar-SA"/>
      </w:rPr>
    </w:lvl>
    <w:lvl w:ilvl="7" w:tentative="0">
      <w:start w:val="0"/>
      <w:numFmt w:val="bullet"/>
      <w:lvlText w:val="•"/>
      <w:lvlJc w:val="left"/>
      <w:pPr>
        <w:ind w:left="7432" w:hanging="358"/>
      </w:pPr>
      <w:rPr>
        <w:rFonts w:hint="default"/>
        <w:lang w:val="sk-SK" w:eastAsia="en-US" w:bidi="ar-SA"/>
      </w:rPr>
    </w:lvl>
    <w:lvl w:ilvl="8" w:tentative="0">
      <w:start w:val="0"/>
      <w:numFmt w:val="bullet"/>
      <w:lvlText w:val="•"/>
      <w:lvlJc w:val="left"/>
      <w:pPr>
        <w:ind w:left="8217" w:hanging="358"/>
      </w:pPr>
      <w:rPr>
        <w:rFonts w:hint="default"/>
        <w:lang w:val="sk-SK" w:eastAsia="en-US" w:bidi="ar-SA"/>
      </w:rPr>
    </w:lvl>
  </w:abstractNum>
  <w:abstractNum w:abstractNumId="4">
    <w:nsid w:val="17140364"/>
    <w:multiLevelType w:val="multilevel"/>
    <w:tmpl w:val="17140364"/>
    <w:lvl w:ilvl="0" w:tentative="0">
      <w:start w:val="1"/>
      <w:numFmt w:val="decimal"/>
      <w:lvlText w:val="%1"/>
      <w:lvlJc w:val="left"/>
      <w:pPr>
        <w:ind w:left="422" w:hanging="284"/>
      </w:pPr>
      <w:rPr>
        <w:rFonts w:hint="default" w:ascii="Times New Roman" w:hAnsi="Times New Roman" w:eastAsia="Times New Roman" w:cs="Times New Roman"/>
        <w:i/>
        <w:w w:val="100"/>
        <w:sz w:val="24"/>
        <w:szCs w:val="24"/>
        <w:lang w:val="sk-SK" w:eastAsia="en-US" w:bidi="ar-SA"/>
      </w:rPr>
    </w:lvl>
    <w:lvl w:ilvl="1" w:tentative="0">
      <w:start w:val="1"/>
      <w:numFmt w:val="lowerLetter"/>
      <w:lvlText w:val="%2."/>
      <w:lvlJc w:val="left"/>
      <w:pPr>
        <w:ind w:left="1578" w:hanging="360"/>
      </w:pPr>
      <w:rPr>
        <w:rFonts w:hint="default" w:ascii="Arial Narrow" w:hAnsi="Arial Narrow" w:eastAsia="Arial Narrow" w:cs="Arial Narrow"/>
        <w:w w:val="100"/>
        <w:sz w:val="22"/>
        <w:szCs w:val="22"/>
        <w:lang w:val="sk-SK" w:eastAsia="en-US" w:bidi="ar-SA"/>
      </w:rPr>
    </w:lvl>
    <w:lvl w:ilvl="2" w:tentative="0">
      <w:start w:val="0"/>
      <w:numFmt w:val="bullet"/>
      <w:lvlText w:val="•"/>
      <w:lvlJc w:val="left"/>
      <w:pPr>
        <w:ind w:left="2491" w:hanging="360"/>
      </w:pPr>
      <w:rPr>
        <w:rFonts w:hint="default"/>
        <w:lang w:val="sk-SK" w:eastAsia="en-US" w:bidi="ar-SA"/>
      </w:rPr>
    </w:lvl>
    <w:lvl w:ilvl="3" w:tentative="0">
      <w:start w:val="0"/>
      <w:numFmt w:val="bullet"/>
      <w:lvlText w:val="•"/>
      <w:lvlJc w:val="left"/>
      <w:pPr>
        <w:ind w:left="3403" w:hanging="360"/>
      </w:pPr>
      <w:rPr>
        <w:rFonts w:hint="default"/>
        <w:lang w:val="sk-SK" w:eastAsia="en-US" w:bidi="ar-SA"/>
      </w:rPr>
    </w:lvl>
    <w:lvl w:ilvl="4" w:tentative="0">
      <w:start w:val="0"/>
      <w:numFmt w:val="bullet"/>
      <w:lvlText w:val="•"/>
      <w:lvlJc w:val="left"/>
      <w:pPr>
        <w:ind w:left="4315" w:hanging="360"/>
      </w:pPr>
      <w:rPr>
        <w:rFonts w:hint="default"/>
        <w:lang w:val="sk-SK" w:eastAsia="en-US" w:bidi="ar-SA"/>
      </w:rPr>
    </w:lvl>
    <w:lvl w:ilvl="5" w:tentative="0">
      <w:start w:val="0"/>
      <w:numFmt w:val="bullet"/>
      <w:lvlText w:val="•"/>
      <w:lvlJc w:val="left"/>
      <w:pPr>
        <w:ind w:left="5227" w:hanging="360"/>
      </w:pPr>
      <w:rPr>
        <w:rFonts w:hint="default"/>
        <w:lang w:val="sk-SK" w:eastAsia="en-US" w:bidi="ar-SA"/>
      </w:rPr>
    </w:lvl>
    <w:lvl w:ilvl="6" w:tentative="0">
      <w:start w:val="0"/>
      <w:numFmt w:val="bullet"/>
      <w:lvlText w:val="•"/>
      <w:lvlJc w:val="left"/>
      <w:pPr>
        <w:ind w:left="6139" w:hanging="360"/>
      </w:pPr>
      <w:rPr>
        <w:rFonts w:hint="default"/>
        <w:lang w:val="sk-SK" w:eastAsia="en-US" w:bidi="ar-SA"/>
      </w:rPr>
    </w:lvl>
    <w:lvl w:ilvl="7" w:tentative="0">
      <w:start w:val="0"/>
      <w:numFmt w:val="bullet"/>
      <w:lvlText w:val="•"/>
      <w:lvlJc w:val="left"/>
      <w:pPr>
        <w:ind w:left="7050" w:hanging="360"/>
      </w:pPr>
      <w:rPr>
        <w:rFonts w:hint="default"/>
        <w:lang w:val="sk-SK" w:eastAsia="en-US" w:bidi="ar-SA"/>
      </w:rPr>
    </w:lvl>
    <w:lvl w:ilvl="8" w:tentative="0">
      <w:start w:val="0"/>
      <w:numFmt w:val="bullet"/>
      <w:lvlText w:val="•"/>
      <w:lvlJc w:val="left"/>
      <w:pPr>
        <w:ind w:left="7962" w:hanging="360"/>
      </w:pPr>
      <w:rPr>
        <w:rFonts w:hint="default"/>
        <w:lang w:val="sk-SK" w:eastAsia="en-US" w:bidi="ar-SA"/>
      </w:rPr>
    </w:lvl>
  </w:abstractNum>
  <w:abstractNum w:abstractNumId="5">
    <w:nsid w:val="19340FBD"/>
    <w:multiLevelType w:val="multilevel"/>
    <w:tmpl w:val="19340FBD"/>
    <w:lvl w:ilvl="0" w:tentative="0">
      <w:start w:val="1"/>
      <w:numFmt w:val="decimal"/>
      <w:lvlText w:val="%1)"/>
      <w:lvlJc w:val="left"/>
      <w:pPr>
        <w:ind w:left="786" w:hanging="360"/>
      </w:pPr>
      <w:rPr>
        <w:rFonts w:hint="default"/>
      </w:rPr>
    </w:lvl>
    <w:lvl w:ilvl="1" w:tentative="0">
      <w:start w:val="1"/>
      <w:numFmt w:val="lowerLetter"/>
      <w:lvlText w:val="%2."/>
      <w:lvlJc w:val="left"/>
      <w:pPr>
        <w:ind w:left="1506" w:hanging="360"/>
      </w:pPr>
    </w:lvl>
    <w:lvl w:ilvl="2" w:tentative="0">
      <w:start w:val="1"/>
      <w:numFmt w:val="lowerRoman"/>
      <w:lvlText w:val="%3."/>
      <w:lvlJc w:val="right"/>
      <w:pPr>
        <w:ind w:left="2226" w:hanging="180"/>
      </w:pPr>
    </w:lvl>
    <w:lvl w:ilvl="3" w:tentative="0">
      <w:start w:val="1"/>
      <w:numFmt w:val="decimal"/>
      <w:lvlText w:val="%4."/>
      <w:lvlJc w:val="left"/>
      <w:pPr>
        <w:ind w:left="2946" w:hanging="360"/>
      </w:pPr>
    </w:lvl>
    <w:lvl w:ilvl="4" w:tentative="0">
      <w:start w:val="1"/>
      <w:numFmt w:val="lowerLetter"/>
      <w:lvlText w:val="%5."/>
      <w:lvlJc w:val="left"/>
      <w:pPr>
        <w:ind w:left="3666" w:hanging="360"/>
      </w:pPr>
    </w:lvl>
    <w:lvl w:ilvl="5" w:tentative="0">
      <w:start w:val="1"/>
      <w:numFmt w:val="lowerRoman"/>
      <w:lvlText w:val="%6."/>
      <w:lvlJc w:val="right"/>
      <w:pPr>
        <w:ind w:left="4386" w:hanging="180"/>
      </w:pPr>
    </w:lvl>
    <w:lvl w:ilvl="6" w:tentative="0">
      <w:start w:val="1"/>
      <w:numFmt w:val="decimal"/>
      <w:lvlText w:val="%7."/>
      <w:lvlJc w:val="left"/>
      <w:pPr>
        <w:ind w:left="5106" w:hanging="360"/>
      </w:pPr>
    </w:lvl>
    <w:lvl w:ilvl="7" w:tentative="0">
      <w:start w:val="1"/>
      <w:numFmt w:val="lowerLetter"/>
      <w:lvlText w:val="%8."/>
      <w:lvlJc w:val="left"/>
      <w:pPr>
        <w:ind w:left="5826" w:hanging="360"/>
      </w:pPr>
    </w:lvl>
    <w:lvl w:ilvl="8" w:tentative="0">
      <w:start w:val="1"/>
      <w:numFmt w:val="lowerRoman"/>
      <w:lvlText w:val="%9."/>
      <w:lvlJc w:val="right"/>
      <w:pPr>
        <w:ind w:left="6546" w:hanging="180"/>
      </w:pPr>
    </w:lvl>
  </w:abstractNum>
  <w:abstractNum w:abstractNumId="6">
    <w:nsid w:val="19D77DC1"/>
    <w:multiLevelType w:val="multilevel"/>
    <w:tmpl w:val="19D77DC1"/>
    <w:lvl w:ilvl="0" w:tentative="0">
      <w:start w:val="1"/>
      <w:numFmt w:val="lowerRoman"/>
      <w:lvlText w:val="%1."/>
      <w:lvlJc w:val="right"/>
      <w:pPr>
        <w:ind w:left="1440" w:hanging="360"/>
      </w:pPr>
    </w:lvl>
    <w:lvl w:ilvl="1" w:tentative="0">
      <w:start w:val="1"/>
      <w:numFmt w:val="lowerLetter"/>
      <w:lvlText w:val="%2)"/>
      <w:lvlJc w:val="left"/>
      <w:pPr>
        <w:ind w:left="2160" w:hanging="360"/>
      </w:pPr>
      <w:rPr>
        <w:rFonts w:hint="default"/>
      </w:r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7">
    <w:nsid w:val="24A21002"/>
    <w:multiLevelType w:val="multilevel"/>
    <w:tmpl w:val="24A21002"/>
    <w:lvl w:ilvl="0" w:tentative="0">
      <w:start w:val="1"/>
      <w:numFmt w:val="upperLetter"/>
      <w:lvlText w:val="%1."/>
      <w:lvlJc w:val="left"/>
      <w:pPr>
        <w:ind w:left="438" w:hanging="288"/>
      </w:pPr>
      <w:rPr>
        <w:rFonts w:hint="default" w:ascii="Arial Narrow" w:hAnsi="Arial Narrow" w:eastAsia="Arial Narrow" w:cs="Arial Narrow"/>
        <w:b/>
        <w:bCs/>
        <w:spacing w:val="-2"/>
        <w:w w:val="94"/>
        <w:sz w:val="24"/>
        <w:szCs w:val="24"/>
        <w:lang w:val="sk-SK" w:eastAsia="en-US" w:bidi="ar-SA"/>
      </w:rPr>
    </w:lvl>
    <w:lvl w:ilvl="1" w:tentative="0">
      <w:start w:val="1"/>
      <w:numFmt w:val="lowerLetter"/>
      <w:lvlText w:val="%2)"/>
      <w:lvlJc w:val="left"/>
      <w:pPr>
        <w:ind w:left="1103" w:hanging="286"/>
      </w:pPr>
      <w:rPr>
        <w:rFonts w:hint="default"/>
        <w:color w:val="auto"/>
        <w:w w:val="100"/>
        <w:lang w:val="sk-SK" w:eastAsia="en-US" w:bidi="ar-SA"/>
      </w:rPr>
    </w:lvl>
    <w:lvl w:ilvl="2" w:tentative="0">
      <w:start w:val="1"/>
      <w:numFmt w:val="decimal"/>
      <w:lvlText w:val="%3."/>
      <w:lvlJc w:val="left"/>
      <w:pPr>
        <w:ind w:left="1936" w:hanging="286"/>
      </w:pPr>
      <w:rPr>
        <w:rFonts w:hint="default" w:ascii="Arial Narrow" w:hAnsi="Arial Narrow" w:eastAsia="Arial Narrow" w:cs="Arial Narrow"/>
        <w:w w:val="100"/>
        <w:sz w:val="22"/>
        <w:szCs w:val="22"/>
        <w:lang w:val="sk-SK" w:eastAsia="en-US" w:bidi="ar-SA"/>
      </w:rPr>
    </w:lvl>
    <w:lvl w:ilvl="3" w:tentative="0">
      <w:start w:val="0"/>
      <w:numFmt w:val="bullet"/>
      <w:lvlText w:val="•"/>
      <w:lvlJc w:val="left"/>
      <w:pPr>
        <w:ind w:left="1920" w:hanging="286"/>
      </w:pPr>
      <w:rPr>
        <w:rFonts w:hint="default"/>
        <w:lang w:val="sk-SK" w:eastAsia="en-US" w:bidi="ar-SA"/>
      </w:rPr>
    </w:lvl>
    <w:lvl w:ilvl="4" w:tentative="0">
      <w:start w:val="0"/>
      <w:numFmt w:val="bullet"/>
      <w:lvlText w:val="•"/>
      <w:lvlJc w:val="left"/>
      <w:pPr>
        <w:ind w:left="1940" w:hanging="286"/>
      </w:pPr>
      <w:rPr>
        <w:rFonts w:hint="default"/>
        <w:lang w:val="sk-SK" w:eastAsia="en-US" w:bidi="ar-SA"/>
      </w:rPr>
    </w:lvl>
    <w:lvl w:ilvl="5" w:tentative="0">
      <w:start w:val="0"/>
      <w:numFmt w:val="bullet"/>
      <w:lvlText w:val="•"/>
      <w:lvlJc w:val="left"/>
      <w:pPr>
        <w:ind w:left="3247" w:hanging="286"/>
      </w:pPr>
      <w:rPr>
        <w:rFonts w:hint="default"/>
        <w:lang w:val="sk-SK" w:eastAsia="en-US" w:bidi="ar-SA"/>
      </w:rPr>
    </w:lvl>
    <w:lvl w:ilvl="6" w:tentative="0">
      <w:start w:val="0"/>
      <w:numFmt w:val="bullet"/>
      <w:lvlText w:val="•"/>
      <w:lvlJc w:val="left"/>
      <w:pPr>
        <w:ind w:left="4555" w:hanging="286"/>
      </w:pPr>
      <w:rPr>
        <w:rFonts w:hint="default"/>
        <w:lang w:val="sk-SK" w:eastAsia="en-US" w:bidi="ar-SA"/>
      </w:rPr>
    </w:lvl>
    <w:lvl w:ilvl="7" w:tentative="0">
      <w:start w:val="0"/>
      <w:numFmt w:val="bullet"/>
      <w:lvlText w:val="•"/>
      <w:lvlJc w:val="left"/>
      <w:pPr>
        <w:ind w:left="5863" w:hanging="286"/>
      </w:pPr>
      <w:rPr>
        <w:rFonts w:hint="default"/>
        <w:lang w:val="sk-SK" w:eastAsia="en-US" w:bidi="ar-SA"/>
      </w:rPr>
    </w:lvl>
    <w:lvl w:ilvl="8" w:tentative="0">
      <w:start w:val="0"/>
      <w:numFmt w:val="bullet"/>
      <w:lvlText w:val="•"/>
      <w:lvlJc w:val="left"/>
      <w:pPr>
        <w:ind w:left="7170" w:hanging="286"/>
      </w:pPr>
      <w:rPr>
        <w:rFonts w:hint="default"/>
        <w:lang w:val="sk-SK" w:eastAsia="en-US" w:bidi="ar-SA"/>
      </w:rPr>
    </w:lvl>
  </w:abstractNum>
  <w:abstractNum w:abstractNumId="8">
    <w:nsid w:val="29781ECA"/>
    <w:multiLevelType w:val="multilevel"/>
    <w:tmpl w:val="29781ECA"/>
    <w:lvl w:ilvl="0" w:tentative="0">
      <w:start w:val="1"/>
      <w:numFmt w:val="bullet"/>
      <w:lvlText w:val=""/>
      <w:lvlJc w:val="left"/>
      <w:pPr>
        <w:ind w:left="1800" w:hanging="360"/>
      </w:pPr>
      <w:rPr>
        <w:rFonts w:hint="default" w:ascii="Symbol" w:hAnsi="Symbol"/>
      </w:rPr>
    </w:lvl>
    <w:lvl w:ilvl="1" w:tentative="0">
      <w:start w:val="1"/>
      <w:numFmt w:val="bullet"/>
      <w:lvlText w:val="o"/>
      <w:lvlJc w:val="left"/>
      <w:pPr>
        <w:ind w:left="2520" w:hanging="360"/>
      </w:pPr>
      <w:rPr>
        <w:rFonts w:hint="default" w:ascii="Courier New" w:hAnsi="Courier New" w:cs="Courier New"/>
      </w:rPr>
    </w:lvl>
    <w:lvl w:ilvl="2" w:tentative="0">
      <w:start w:val="1"/>
      <w:numFmt w:val="bullet"/>
      <w:lvlText w:val=""/>
      <w:lvlJc w:val="left"/>
      <w:pPr>
        <w:ind w:left="3240" w:hanging="360"/>
      </w:pPr>
      <w:rPr>
        <w:rFonts w:hint="default" w:ascii="Wingdings" w:hAnsi="Wingdings"/>
      </w:rPr>
    </w:lvl>
    <w:lvl w:ilvl="3" w:tentative="0">
      <w:start w:val="1"/>
      <w:numFmt w:val="bullet"/>
      <w:lvlText w:val=""/>
      <w:lvlJc w:val="left"/>
      <w:pPr>
        <w:ind w:left="3960" w:hanging="360"/>
      </w:pPr>
      <w:rPr>
        <w:rFonts w:hint="default" w:ascii="Symbol" w:hAnsi="Symbol"/>
      </w:rPr>
    </w:lvl>
    <w:lvl w:ilvl="4" w:tentative="0">
      <w:start w:val="1"/>
      <w:numFmt w:val="bullet"/>
      <w:lvlText w:val="o"/>
      <w:lvlJc w:val="left"/>
      <w:pPr>
        <w:ind w:left="4680" w:hanging="360"/>
      </w:pPr>
      <w:rPr>
        <w:rFonts w:hint="default" w:ascii="Courier New" w:hAnsi="Courier New" w:cs="Courier New"/>
      </w:rPr>
    </w:lvl>
    <w:lvl w:ilvl="5" w:tentative="0">
      <w:start w:val="1"/>
      <w:numFmt w:val="bullet"/>
      <w:lvlText w:val=""/>
      <w:lvlJc w:val="left"/>
      <w:pPr>
        <w:ind w:left="5400" w:hanging="360"/>
      </w:pPr>
      <w:rPr>
        <w:rFonts w:hint="default" w:ascii="Wingdings" w:hAnsi="Wingdings"/>
      </w:rPr>
    </w:lvl>
    <w:lvl w:ilvl="6" w:tentative="0">
      <w:start w:val="1"/>
      <w:numFmt w:val="bullet"/>
      <w:lvlText w:val=""/>
      <w:lvlJc w:val="left"/>
      <w:pPr>
        <w:ind w:left="6120" w:hanging="360"/>
      </w:pPr>
      <w:rPr>
        <w:rFonts w:hint="default" w:ascii="Symbol" w:hAnsi="Symbol"/>
      </w:rPr>
    </w:lvl>
    <w:lvl w:ilvl="7" w:tentative="0">
      <w:start w:val="1"/>
      <w:numFmt w:val="bullet"/>
      <w:lvlText w:val="o"/>
      <w:lvlJc w:val="left"/>
      <w:pPr>
        <w:ind w:left="6840" w:hanging="360"/>
      </w:pPr>
      <w:rPr>
        <w:rFonts w:hint="default" w:ascii="Courier New" w:hAnsi="Courier New" w:cs="Courier New"/>
      </w:rPr>
    </w:lvl>
    <w:lvl w:ilvl="8" w:tentative="0">
      <w:start w:val="1"/>
      <w:numFmt w:val="bullet"/>
      <w:lvlText w:val=""/>
      <w:lvlJc w:val="left"/>
      <w:pPr>
        <w:ind w:left="7560" w:hanging="360"/>
      </w:pPr>
      <w:rPr>
        <w:rFonts w:hint="default" w:ascii="Wingdings" w:hAnsi="Wingdings"/>
      </w:rPr>
    </w:lvl>
  </w:abstractNum>
  <w:abstractNum w:abstractNumId="9">
    <w:nsid w:val="2A6F1126"/>
    <w:multiLevelType w:val="multilevel"/>
    <w:tmpl w:val="2A6F1126"/>
    <w:lvl w:ilvl="0" w:tentative="0">
      <w:start w:val="1"/>
      <w:numFmt w:val="upperLetter"/>
      <w:lvlText w:val="%1."/>
      <w:lvlJc w:val="left"/>
      <w:pPr>
        <w:ind w:left="2234" w:hanging="1388"/>
      </w:pPr>
      <w:rPr>
        <w:rFonts w:hint="default"/>
        <w:b/>
        <w:bCs/>
        <w:i/>
        <w:spacing w:val="-2"/>
        <w:w w:val="100"/>
        <w:lang w:val="sk-SK" w:eastAsia="en-US" w:bidi="ar-SA"/>
      </w:rPr>
    </w:lvl>
    <w:lvl w:ilvl="1" w:tentative="0">
      <w:start w:val="0"/>
      <w:numFmt w:val="bullet"/>
      <w:lvlText w:val="•"/>
      <w:lvlJc w:val="left"/>
      <w:pPr>
        <w:ind w:left="2994" w:hanging="1388"/>
      </w:pPr>
      <w:rPr>
        <w:rFonts w:hint="default"/>
        <w:lang w:val="sk-SK" w:eastAsia="en-US" w:bidi="ar-SA"/>
      </w:rPr>
    </w:lvl>
    <w:lvl w:ilvl="2" w:tentative="0">
      <w:start w:val="0"/>
      <w:numFmt w:val="bullet"/>
      <w:lvlText w:val="•"/>
      <w:lvlJc w:val="left"/>
      <w:pPr>
        <w:ind w:left="3749" w:hanging="1388"/>
      </w:pPr>
      <w:rPr>
        <w:rFonts w:hint="default"/>
        <w:lang w:val="sk-SK" w:eastAsia="en-US" w:bidi="ar-SA"/>
      </w:rPr>
    </w:lvl>
    <w:lvl w:ilvl="3" w:tentative="0">
      <w:start w:val="0"/>
      <w:numFmt w:val="bullet"/>
      <w:lvlText w:val="•"/>
      <w:lvlJc w:val="left"/>
      <w:pPr>
        <w:ind w:left="4503" w:hanging="1388"/>
      </w:pPr>
      <w:rPr>
        <w:rFonts w:hint="default"/>
        <w:lang w:val="sk-SK" w:eastAsia="en-US" w:bidi="ar-SA"/>
      </w:rPr>
    </w:lvl>
    <w:lvl w:ilvl="4" w:tentative="0">
      <w:start w:val="0"/>
      <w:numFmt w:val="bullet"/>
      <w:lvlText w:val="•"/>
      <w:lvlJc w:val="left"/>
      <w:pPr>
        <w:ind w:left="5258" w:hanging="1388"/>
      </w:pPr>
      <w:rPr>
        <w:rFonts w:hint="default"/>
        <w:lang w:val="sk-SK" w:eastAsia="en-US" w:bidi="ar-SA"/>
      </w:rPr>
    </w:lvl>
    <w:lvl w:ilvl="5" w:tentative="0">
      <w:start w:val="0"/>
      <w:numFmt w:val="bullet"/>
      <w:lvlText w:val="•"/>
      <w:lvlJc w:val="left"/>
      <w:pPr>
        <w:ind w:left="6013" w:hanging="1388"/>
      </w:pPr>
      <w:rPr>
        <w:rFonts w:hint="default"/>
        <w:lang w:val="sk-SK" w:eastAsia="en-US" w:bidi="ar-SA"/>
      </w:rPr>
    </w:lvl>
    <w:lvl w:ilvl="6" w:tentative="0">
      <w:start w:val="0"/>
      <w:numFmt w:val="bullet"/>
      <w:lvlText w:val="•"/>
      <w:lvlJc w:val="left"/>
      <w:pPr>
        <w:ind w:left="6767" w:hanging="1388"/>
      </w:pPr>
      <w:rPr>
        <w:rFonts w:hint="default"/>
        <w:lang w:val="sk-SK" w:eastAsia="en-US" w:bidi="ar-SA"/>
      </w:rPr>
    </w:lvl>
    <w:lvl w:ilvl="7" w:tentative="0">
      <w:start w:val="0"/>
      <w:numFmt w:val="bullet"/>
      <w:lvlText w:val="•"/>
      <w:lvlJc w:val="left"/>
      <w:pPr>
        <w:ind w:left="7522" w:hanging="1388"/>
      </w:pPr>
      <w:rPr>
        <w:rFonts w:hint="default"/>
        <w:lang w:val="sk-SK" w:eastAsia="en-US" w:bidi="ar-SA"/>
      </w:rPr>
    </w:lvl>
    <w:lvl w:ilvl="8" w:tentative="0">
      <w:start w:val="0"/>
      <w:numFmt w:val="bullet"/>
      <w:lvlText w:val="•"/>
      <w:lvlJc w:val="left"/>
      <w:pPr>
        <w:ind w:left="8277" w:hanging="1388"/>
      </w:pPr>
      <w:rPr>
        <w:rFonts w:hint="default"/>
        <w:lang w:val="sk-SK" w:eastAsia="en-US" w:bidi="ar-SA"/>
      </w:rPr>
    </w:lvl>
  </w:abstractNum>
  <w:abstractNum w:abstractNumId="10">
    <w:nsid w:val="2E7B5D2A"/>
    <w:multiLevelType w:val="multilevel"/>
    <w:tmpl w:val="2E7B5D2A"/>
    <w:lvl w:ilvl="0" w:tentative="0">
      <w:start w:val="1"/>
      <w:numFmt w:val="decimal"/>
      <w:lvlText w:val="%1."/>
      <w:lvlJc w:val="left"/>
      <w:pPr>
        <w:ind w:left="422" w:hanging="284"/>
      </w:pPr>
      <w:rPr>
        <w:rFonts w:hint="default" w:ascii="Arial Narrow" w:hAnsi="Arial Narrow" w:eastAsia="Arial Narrow" w:cs="Arial Narrow"/>
        <w:w w:val="100"/>
        <w:sz w:val="22"/>
        <w:szCs w:val="22"/>
        <w:lang w:val="sk-SK" w:eastAsia="en-US" w:bidi="ar-SA"/>
      </w:rPr>
    </w:lvl>
    <w:lvl w:ilvl="1" w:tentative="0">
      <w:start w:val="0"/>
      <w:numFmt w:val="bullet"/>
      <w:lvlText w:val="•"/>
      <w:lvlJc w:val="left"/>
      <w:pPr>
        <w:ind w:left="1356" w:hanging="284"/>
      </w:pPr>
      <w:rPr>
        <w:rFonts w:hint="default"/>
        <w:lang w:val="sk-SK" w:eastAsia="en-US" w:bidi="ar-SA"/>
      </w:rPr>
    </w:lvl>
    <w:lvl w:ilvl="2" w:tentative="0">
      <w:start w:val="0"/>
      <w:numFmt w:val="bullet"/>
      <w:lvlText w:val="•"/>
      <w:lvlJc w:val="left"/>
      <w:pPr>
        <w:ind w:left="2293" w:hanging="284"/>
      </w:pPr>
      <w:rPr>
        <w:rFonts w:hint="default"/>
        <w:lang w:val="sk-SK" w:eastAsia="en-US" w:bidi="ar-SA"/>
      </w:rPr>
    </w:lvl>
    <w:lvl w:ilvl="3" w:tentative="0">
      <w:start w:val="0"/>
      <w:numFmt w:val="bullet"/>
      <w:lvlText w:val="•"/>
      <w:lvlJc w:val="left"/>
      <w:pPr>
        <w:ind w:left="3229" w:hanging="284"/>
      </w:pPr>
      <w:rPr>
        <w:rFonts w:hint="default"/>
        <w:lang w:val="sk-SK" w:eastAsia="en-US" w:bidi="ar-SA"/>
      </w:rPr>
    </w:lvl>
    <w:lvl w:ilvl="4" w:tentative="0">
      <w:start w:val="0"/>
      <w:numFmt w:val="bullet"/>
      <w:lvlText w:val="•"/>
      <w:lvlJc w:val="left"/>
      <w:pPr>
        <w:ind w:left="4166" w:hanging="284"/>
      </w:pPr>
      <w:rPr>
        <w:rFonts w:hint="default"/>
        <w:lang w:val="sk-SK" w:eastAsia="en-US" w:bidi="ar-SA"/>
      </w:rPr>
    </w:lvl>
    <w:lvl w:ilvl="5" w:tentative="0">
      <w:start w:val="0"/>
      <w:numFmt w:val="bullet"/>
      <w:lvlText w:val="•"/>
      <w:lvlJc w:val="left"/>
      <w:pPr>
        <w:ind w:left="5103" w:hanging="284"/>
      </w:pPr>
      <w:rPr>
        <w:rFonts w:hint="default"/>
        <w:lang w:val="sk-SK" w:eastAsia="en-US" w:bidi="ar-SA"/>
      </w:rPr>
    </w:lvl>
    <w:lvl w:ilvl="6" w:tentative="0">
      <w:start w:val="0"/>
      <w:numFmt w:val="bullet"/>
      <w:lvlText w:val="•"/>
      <w:lvlJc w:val="left"/>
      <w:pPr>
        <w:ind w:left="6039" w:hanging="284"/>
      </w:pPr>
      <w:rPr>
        <w:rFonts w:hint="default"/>
        <w:lang w:val="sk-SK" w:eastAsia="en-US" w:bidi="ar-SA"/>
      </w:rPr>
    </w:lvl>
    <w:lvl w:ilvl="7" w:tentative="0">
      <w:start w:val="0"/>
      <w:numFmt w:val="bullet"/>
      <w:lvlText w:val="•"/>
      <w:lvlJc w:val="left"/>
      <w:pPr>
        <w:ind w:left="6976" w:hanging="284"/>
      </w:pPr>
      <w:rPr>
        <w:rFonts w:hint="default"/>
        <w:lang w:val="sk-SK" w:eastAsia="en-US" w:bidi="ar-SA"/>
      </w:rPr>
    </w:lvl>
    <w:lvl w:ilvl="8" w:tentative="0">
      <w:start w:val="0"/>
      <w:numFmt w:val="bullet"/>
      <w:lvlText w:val="•"/>
      <w:lvlJc w:val="left"/>
      <w:pPr>
        <w:ind w:left="7913" w:hanging="284"/>
      </w:pPr>
      <w:rPr>
        <w:rFonts w:hint="default"/>
        <w:lang w:val="sk-SK" w:eastAsia="en-US" w:bidi="ar-SA"/>
      </w:rPr>
    </w:lvl>
  </w:abstractNum>
  <w:abstractNum w:abstractNumId="11">
    <w:nsid w:val="396B0EE0"/>
    <w:multiLevelType w:val="multilevel"/>
    <w:tmpl w:val="396B0EE0"/>
    <w:lvl w:ilvl="0" w:tentative="0">
      <w:start w:val="1"/>
      <w:numFmt w:val="upperLetter"/>
      <w:lvlText w:val="%1."/>
      <w:lvlJc w:val="left"/>
      <w:pPr>
        <w:ind w:left="2262" w:hanging="221"/>
      </w:pPr>
      <w:rPr>
        <w:rFonts w:hint="default" w:ascii="Arial Narrow" w:hAnsi="Arial Narrow" w:eastAsia="Arial Narrow" w:cs="Arial Narrow"/>
        <w:spacing w:val="-1"/>
        <w:w w:val="100"/>
        <w:sz w:val="22"/>
        <w:szCs w:val="22"/>
        <w:lang w:val="sk-SK" w:eastAsia="en-US" w:bidi="ar-SA"/>
      </w:rPr>
    </w:lvl>
    <w:lvl w:ilvl="1" w:tentative="0">
      <w:start w:val="0"/>
      <w:numFmt w:val="bullet"/>
      <w:lvlText w:val="•"/>
      <w:lvlJc w:val="left"/>
      <w:pPr>
        <w:ind w:left="3012" w:hanging="221"/>
      </w:pPr>
      <w:rPr>
        <w:rFonts w:hint="default"/>
        <w:lang w:val="sk-SK" w:eastAsia="en-US" w:bidi="ar-SA"/>
      </w:rPr>
    </w:lvl>
    <w:lvl w:ilvl="2" w:tentative="0">
      <w:start w:val="0"/>
      <w:numFmt w:val="bullet"/>
      <w:lvlText w:val="•"/>
      <w:lvlJc w:val="left"/>
      <w:pPr>
        <w:ind w:left="3765" w:hanging="221"/>
      </w:pPr>
      <w:rPr>
        <w:rFonts w:hint="default"/>
        <w:lang w:val="sk-SK" w:eastAsia="en-US" w:bidi="ar-SA"/>
      </w:rPr>
    </w:lvl>
    <w:lvl w:ilvl="3" w:tentative="0">
      <w:start w:val="0"/>
      <w:numFmt w:val="bullet"/>
      <w:lvlText w:val="•"/>
      <w:lvlJc w:val="left"/>
      <w:pPr>
        <w:ind w:left="4517" w:hanging="221"/>
      </w:pPr>
      <w:rPr>
        <w:rFonts w:hint="default"/>
        <w:lang w:val="sk-SK" w:eastAsia="en-US" w:bidi="ar-SA"/>
      </w:rPr>
    </w:lvl>
    <w:lvl w:ilvl="4" w:tentative="0">
      <w:start w:val="0"/>
      <w:numFmt w:val="bullet"/>
      <w:lvlText w:val="•"/>
      <w:lvlJc w:val="left"/>
      <w:pPr>
        <w:ind w:left="5270" w:hanging="221"/>
      </w:pPr>
      <w:rPr>
        <w:rFonts w:hint="default"/>
        <w:lang w:val="sk-SK" w:eastAsia="en-US" w:bidi="ar-SA"/>
      </w:rPr>
    </w:lvl>
    <w:lvl w:ilvl="5" w:tentative="0">
      <w:start w:val="0"/>
      <w:numFmt w:val="bullet"/>
      <w:lvlText w:val="•"/>
      <w:lvlJc w:val="left"/>
      <w:pPr>
        <w:ind w:left="6023" w:hanging="221"/>
      </w:pPr>
      <w:rPr>
        <w:rFonts w:hint="default"/>
        <w:lang w:val="sk-SK" w:eastAsia="en-US" w:bidi="ar-SA"/>
      </w:rPr>
    </w:lvl>
    <w:lvl w:ilvl="6" w:tentative="0">
      <w:start w:val="0"/>
      <w:numFmt w:val="bullet"/>
      <w:lvlText w:val="•"/>
      <w:lvlJc w:val="left"/>
      <w:pPr>
        <w:ind w:left="6775" w:hanging="221"/>
      </w:pPr>
      <w:rPr>
        <w:rFonts w:hint="default"/>
        <w:lang w:val="sk-SK" w:eastAsia="en-US" w:bidi="ar-SA"/>
      </w:rPr>
    </w:lvl>
    <w:lvl w:ilvl="7" w:tentative="0">
      <w:start w:val="0"/>
      <w:numFmt w:val="bullet"/>
      <w:lvlText w:val="•"/>
      <w:lvlJc w:val="left"/>
      <w:pPr>
        <w:ind w:left="7528" w:hanging="221"/>
      </w:pPr>
      <w:rPr>
        <w:rFonts w:hint="default"/>
        <w:lang w:val="sk-SK" w:eastAsia="en-US" w:bidi="ar-SA"/>
      </w:rPr>
    </w:lvl>
    <w:lvl w:ilvl="8" w:tentative="0">
      <w:start w:val="0"/>
      <w:numFmt w:val="bullet"/>
      <w:lvlText w:val="•"/>
      <w:lvlJc w:val="left"/>
      <w:pPr>
        <w:ind w:left="8281" w:hanging="221"/>
      </w:pPr>
      <w:rPr>
        <w:rFonts w:hint="default"/>
        <w:lang w:val="sk-SK" w:eastAsia="en-US" w:bidi="ar-SA"/>
      </w:rPr>
    </w:lvl>
  </w:abstractNum>
  <w:abstractNum w:abstractNumId="12">
    <w:nsid w:val="53593507"/>
    <w:multiLevelType w:val="multilevel"/>
    <w:tmpl w:val="53593507"/>
    <w:lvl w:ilvl="0" w:tentative="0">
      <w:start w:val="1"/>
      <w:numFmt w:val="ideographDigital"/>
      <w:lvlText w:val=""/>
      <w:lvlJc w:val="left"/>
      <w:pPr>
        <w:ind w:left="438" w:hanging="288"/>
      </w:pPr>
      <w:rPr>
        <w:rFonts w:hint="default"/>
        <w:b/>
        <w:bCs/>
        <w:spacing w:val="-2"/>
        <w:w w:val="94"/>
        <w:sz w:val="22"/>
        <w:szCs w:val="22"/>
        <w:lang w:val="sk-SK" w:eastAsia="en-US" w:bidi="ar-SA"/>
      </w:rPr>
    </w:lvl>
    <w:lvl w:ilvl="1" w:tentative="0">
      <w:start w:val="1"/>
      <w:numFmt w:val="lowerLetter"/>
      <w:lvlText w:val="%2)"/>
      <w:lvlJc w:val="left"/>
      <w:pPr>
        <w:ind w:left="1103" w:hanging="286"/>
      </w:pPr>
      <w:rPr>
        <w:rFonts w:hint="default"/>
        <w:w w:val="100"/>
        <w:lang w:val="sk-SK" w:eastAsia="en-US" w:bidi="ar-SA"/>
      </w:rPr>
    </w:lvl>
    <w:lvl w:ilvl="2" w:tentative="0">
      <w:start w:val="1"/>
      <w:numFmt w:val="decimal"/>
      <w:lvlText w:val="%3."/>
      <w:lvlJc w:val="left"/>
      <w:pPr>
        <w:ind w:left="1936" w:hanging="286"/>
      </w:pPr>
      <w:rPr>
        <w:rFonts w:hint="default" w:ascii="Arial Narrow" w:hAnsi="Arial Narrow" w:eastAsia="Arial Narrow" w:cs="Arial Narrow"/>
        <w:w w:val="100"/>
        <w:sz w:val="22"/>
        <w:szCs w:val="22"/>
        <w:lang w:val="sk-SK" w:eastAsia="en-US" w:bidi="ar-SA"/>
      </w:rPr>
    </w:lvl>
    <w:lvl w:ilvl="3" w:tentative="0">
      <w:start w:val="0"/>
      <w:numFmt w:val="bullet"/>
      <w:lvlText w:val="•"/>
      <w:lvlJc w:val="left"/>
      <w:pPr>
        <w:ind w:left="1920" w:hanging="286"/>
      </w:pPr>
      <w:rPr>
        <w:rFonts w:hint="default"/>
        <w:lang w:val="sk-SK" w:eastAsia="en-US" w:bidi="ar-SA"/>
      </w:rPr>
    </w:lvl>
    <w:lvl w:ilvl="4" w:tentative="0">
      <w:start w:val="0"/>
      <w:numFmt w:val="bullet"/>
      <w:lvlText w:val="•"/>
      <w:lvlJc w:val="left"/>
      <w:pPr>
        <w:ind w:left="1940" w:hanging="286"/>
      </w:pPr>
      <w:rPr>
        <w:rFonts w:hint="default"/>
        <w:lang w:val="sk-SK" w:eastAsia="en-US" w:bidi="ar-SA"/>
      </w:rPr>
    </w:lvl>
    <w:lvl w:ilvl="5" w:tentative="0">
      <w:start w:val="0"/>
      <w:numFmt w:val="bullet"/>
      <w:lvlText w:val="•"/>
      <w:lvlJc w:val="left"/>
      <w:pPr>
        <w:ind w:left="3247" w:hanging="286"/>
      </w:pPr>
      <w:rPr>
        <w:rFonts w:hint="default"/>
        <w:lang w:val="sk-SK" w:eastAsia="en-US" w:bidi="ar-SA"/>
      </w:rPr>
    </w:lvl>
    <w:lvl w:ilvl="6" w:tentative="0">
      <w:start w:val="0"/>
      <w:numFmt w:val="bullet"/>
      <w:lvlText w:val="•"/>
      <w:lvlJc w:val="left"/>
      <w:pPr>
        <w:ind w:left="4555" w:hanging="286"/>
      </w:pPr>
      <w:rPr>
        <w:rFonts w:hint="default"/>
        <w:lang w:val="sk-SK" w:eastAsia="en-US" w:bidi="ar-SA"/>
      </w:rPr>
    </w:lvl>
    <w:lvl w:ilvl="7" w:tentative="0">
      <w:start w:val="0"/>
      <w:numFmt w:val="bullet"/>
      <w:lvlText w:val="•"/>
      <w:lvlJc w:val="left"/>
      <w:pPr>
        <w:ind w:left="5863" w:hanging="286"/>
      </w:pPr>
      <w:rPr>
        <w:rFonts w:hint="default"/>
        <w:lang w:val="sk-SK" w:eastAsia="en-US" w:bidi="ar-SA"/>
      </w:rPr>
    </w:lvl>
    <w:lvl w:ilvl="8" w:tentative="0">
      <w:start w:val="0"/>
      <w:numFmt w:val="bullet"/>
      <w:lvlText w:val="•"/>
      <w:lvlJc w:val="left"/>
      <w:pPr>
        <w:ind w:left="7170" w:hanging="286"/>
      </w:pPr>
      <w:rPr>
        <w:rFonts w:hint="default"/>
        <w:lang w:val="sk-SK" w:eastAsia="en-US" w:bidi="ar-SA"/>
      </w:rPr>
    </w:lvl>
  </w:abstractNum>
  <w:abstractNum w:abstractNumId="13">
    <w:nsid w:val="63D410E0"/>
    <w:multiLevelType w:val="multilevel"/>
    <w:tmpl w:val="63D410E0"/>
    <w:lvl w:ilvl="0" w:tentative="0">
      <w:start w:val="3"/>
      <w:numFmt w:val="upperLetter"/>
      <w:lvlText w:val="%1."/>
      <w:lvlJc w:val="left"/>
      <w:pPr>
        <w:ind w:left="2265" w:hanging="1421"/>
      </w:pPr>
      <w:rPr>
        <w:rFonts w:hint="default"/>
        <w:b/>
        <w:bCs/>
        <w:i/>
        <w:spacing w:val="-2"/>
        <w:w w:val="100"/>
        <w:lang w:val="sk-SK" w:eastAsia="en-US" w:bidi="ar-SA"/>
      </w:rPr>
    </w:lvl>
    <w:lvl w:ilvl="1" w:tentative="0">
      <w:start w:val="0"/>
      <w:numFmt w:val="bullet"/>
      <w:lvlText w:val="•"/>
      <w:lvlJc w:val="left"/>
      <w:pPr>
        <w:ind w:left="3012" w:hanging="1421"/>
      </w:pPr>
      <w:rPr>
        <w:rFonts w:hint="default"/>
        <w:lang w:val="sk-SK" w:eastAsia="en-US" w:bidi="ar-SA"/>
      </w:rPr>
    </w:lvl>
    <w:lvl w:ilvl="2" w:tentative="0">
      <w:start w:val="0"/>
      <w:numFmt w:val="bullet"/>
      <w:lvlText w:val="•"/>
      <w:lvlJc w:val="left"/>
      <w:pPr>
        <w:ind w:left="3765" w:hanging="1421"/>
      </w:pPr>
      <w:rPr>
        <w:rFonts w:hint="default"/>
        <w:lang w:val="sk-SK" w:eastAsia="en-US" w:bidi="ar-SA"/>
      </w:rPr>
    </w:lvl>
    <w:lvl w:ilvl="3" w:tentative="0">
      <w:start w:val="0"/>
      <w:numFmt w:val="bullet"/>
      <w:lvlText w:val="•"/>
      <w:lvlJc w:val="left"/>
      <w:pPr>
        <w:ind w:left="4517" w:hanging="1421"/>
      </w:pPr>
      <w:rPr>
        <w:rFonts w:hint="default"/>
        <w:lang w:val="sk-SK" w:eastAsia="en-US" w:bidi="ar-SA"/>
      </w:rPr>
    </w:lvl>
    <w:lvl w:ilvl="4" w:tentative="0">
      <w:start w:val="0"/>
      <w:numFmt w:val="bullet"/>
      <w:lvlText w:val="•"/>
      <w:lvlJc w:val="left"/>
      <w:pPr>
        <w:ind w:left="5270" w:hanging="1421"/>
      </w:pPr>
      <w:rPr>
        <w:rFonts w:hint="default"/>
        <w:lang w:val="sk-SK" w:eastAsia="en-US" w:bidi="ar-SA"/>
      </w:rPr>
    </w:lvl>
    <w:lvl w:ilvl="5" w:tentative="0">
      <w:start w:val="0"/>
      <w:numFmt w:val="bullet"/>
      <w:lvlText w:val="•"/>
      <w:lvlJc w:val="left"/>
      <w:pPr>
        <w:ind w:left="6023" w:hanging="1421"/>
      </w:pPr>
      <w:rPr>
        <w:rFonts w:hint="default"/>
        <w:lang w:val="sk-SK" w:eastAsia="en-US" w:bidi="ar-SA"/>
      </w:rPr>
    </w:lvl>
    <w:lvl w:ilvl="6" w:tentative="0">
      <w:start w:val="0"/>
      <w:numFmt w:val="bullet"/>
      <w:lvlText w:val="•"/>
      <w:lvlJc w:val="left"/>
      <w:pPr>
        <w:ind w:left="6775" w:hanging="1421"/>
      </w:pPr>
      <w:rPr>
        <w:rFonts w:hint="default"/>
        <w:lang w:val="sk-SK" w:eastAsia="en-US" w:bidi="ar-SA"/>
      </w:rPr>
    </w:lvl>
    <w:lvl w:ilvl="7" w:tentative="0">
      <w:start w:val="0"/>
      <w:numFmt w:val="bullet"/>
      <w:lvlText w:val="•"/>
      <w:lvlJc w:val="left"/>
      <w:pPr>
        <w:ind w:left="7528" w:hanging="1421"/>
      </w:pPr>
      <w:rPr>
        <w:rFonts w:hint="default"/>
        <w:lang w:val="sk-SK" w:eastAsia="en-US" w:bidi="ar-SA"/>
      </w:rPr>
    </w:lvl>
    <w:lvl w:ilvl="8" w:tentative="0">
      <w:start w:val="0"/>
      <w:numFmt w:val="bullet"/>
      <w:lvlText w:val="•"/>
      <w:lvlJc w:val="left"/>
      <w:pPr>
        <w:ind w:left="8281" w:hanging="1421"/>
      </w:pPr>
      <w:rPr>
        <w:rFonts w:hint="default"/>
        <w:lang w:val="sk-SK" w:eastAsia="en-US" w:bidi="ar-SA"/>
      </w:rPr>
    </w:lvl>
  </w:abstractNum>
  <w:abstractNum w:abstractNumId="14">
    <w:nsid w:val="6C803CAB"/>
    <w:multiLevelType w:val="multilevel"/>
    <w:tmpl w:val="6C803CAB"/>
    <w:lvl w:ilvl="0" w:tentative="0">
      <w:start w:val="18"/>
      <w:numFmt w:val="upperLetter"/>
      <w:lvlText w:val="%1."/>
      <w:lvlJc w:val="left"/>
      <w:pPr>
        <w:ind w:left="438" w:hanging="300"/>
      </w:pPr>
      <w:rPr>
        <w:rFonts w:hint="default" w:ascii="Arial Narrow" w:hAnsi="Arial Narrow" w:eastAsia="Arial Narrow" w:cs="Arial Narrow"/>
        <w:b/>
        <w:bCs/>
        <w:spacing w:val="-2"/>
        <w:w w:val="100"/>
        <w:sz w:val="22"/>
        <w:szCs w:val="22"/>
        <w:lang w:val="sk-SK" w:eastAsia="en-US" w:bidi="ar-SA"/>
      </w:rPr>
    </w:lvl>
    <w:lvl w:ilvl="1" w:tentative="0">
      <w:start w:val="1"/>
      <w:numFmt w:val="lowerLetter"/>
      <w:lvlText w:val="%2)"/>
      <w:lvlJc w:val="left"/>
      <w:pPr>
        <w:ind w:left="1038" w:hanging="360"/>
      </w:pPr>
      <w:rPr>
        <w:rFonts w:hint="default"/>
        <w:w w:val="100"/>
        <w:lang w:val="sk-SK" w:eastAsia="en-US" w:bidi="ar-SA"/>
      </w:rPr>
    </w:lvl>
    <w:lvl w:ilvl="2" w:tentative="0">
      <w:start w:val="1"/>
      <w:numFmt w:val="decimal"/>
      <w:lvlText w:val="%3."/>
      <w:lvlJc w:val="left"/>
      <w:pPr>
        <w:ind w:left="1936" w:hanging="360"/>
      </w:pPr>
      <w:rPr>
        <w:rFonts w:hint="default" w:ascii="Arial Narrow" w:hAnsi="Arial Narrow" w:eastAsia="Arial Narrow" w:cs="Arial Narrow"/>
        <w:w w:val="100"/>
        <w:sz w:val="22"/>
        <w:szCs w:val="22"/>
        <w:lang w:val="sk-SK" w:eastAsia="en-US" w:bidi="ar-SA"/>
      </w:rPr>
    </w:lvl>
    <w:lvl w:ilvl="3" w:tentative="0">
      <w:start w:val="0"/>
      <w:numFmt w:val="bullet"/>
      <w:lvlText w:val="•"/>
      <w:lvlJc w:val="left"/>
      <w:pPr>
        <w:ind w:left="1840" w:hanging="360"/>
      </w:pPr>
      <w:rPr>
        <w:rFonts w:hint="default"/>
        <w:lang w:val="sk-SK" w:eastAsia="en-US" w:bidi="ar-SA"/>
      </w:rPr>
    </w:lvl>
    <w:lvl w:ilvl="4" w:tentative="0">
      <w:start w:val="0"/>
      <w:numFmt w:val="bullet"/>
      <w:lvlText w:val="•"/>
      <w:lvlJc w:val="left"/>
      <w:pPr>
        <w:ind w:left="1900" w:hanging="360"/>
      </w:pPr>
      <w:rPr>
        <w:rFonts w:hint="default"/>
        <w:lang w:val="sk-SK" w:eastAsia="en-US" w:bidi="ar-SA"/>
      </w:rPr>
    </w:lvl>
    <w:lvl w:ilvl="5" w:tentative="0">
      <w:start w:val="0"/>
      <w:numFmt w:val="bullet"/>
      <w:lvlText w:val="•"/>
      <w:lvlJc w:val="left"/>
      <w:pPr>
        <w:ind w:left="1940" w:hanging="360"/>
      </w:pPr>
      <w:rPr>
        <w:rFonts w:hint="default"/>
        <w:lang w:val="sk-SK" w:eastAsia="en-US" w:bidi="ar-SA"/>
      </w:rPr>
    </w:lvl>
    <w:lvl w:ilvl="6" w:tentative="0">
      <w:start w:val="0"/>
      <w:numFmt w:val="bullet"/>
      <w:lvlText w:val="•"/>
      <w:lvlJc w:val="left"/>
      <w:pPr>
        <w:ind w:left="3509" w:hanging="360"/>
      </w:pPr>
      <w:rPr>
        <w:rFonts w:hint="default"/>
        <w:lang w:val="sk-SK" w:eastAsia="en-US" w:bidi="ar-SA"/>
      </w:rPr>
    </w:lvl>
    <w:lvl w:ilvl="7" w:tentative="0">
      <w:start w:val="0"/>
      <w:numFmt w:val="bullet"/>
      <w:lvlText w:val="•"/>
      <w:lvlJc w:val="left"/>
      <w:pPr>
        <w:ind w:left="5078" w:hanging="360"/>
      </w:pPr>
      <w:rPr>
        <w:rFonts w:hint="default"/>
        <w:lang w:val="sk-SK" w:eastAsia="en-US" w:bidi="ar-SA"/>
      </w:rPr>
    </w:lvl>
    <w:lvl w:ilvl="8" w:tentative="0">
      <w:start w:val="0"/>
      <w:numFmt w:val="bullet"/>
      <w:lvlText w:val="•"/>
      <w:lvlJc w:val="left"/>
      <w:pPr>
        <w:ind w:left="6647" w:hanging="360"/>
      </w:pPr>
      <w:rPr>
        <w:rFonts w:hint="default"/>
        <w:lang w:val="sk-SK" w:eastAsia="en-US" w:bidi="ar-SA"/>
      </w:rPr>
    </w:lvl>
  </w:abstractNum>
  <w:abstractNum w:abstractNumId="15">
    <w:nsid w:val="6DB623CF"/>
    <w:multiLevelType w:val="multilevel"/>
    <w:tmpl w:val="6DB623CF"/>
    <w:lvl w:ilvl="0" w:tentative="0">
      <w:start w:val="1"/>
      <w:numFmt w:val="decimal"/>
      <w:lvlText w:val="%1)"/>
      <w:lvlJc w:val="left"/>
      <w:pPr>
        <w:ind w:left="786" w:hanging="360"/>
      </w:pPr>
      <w:rPr>
        <w:rFonts w:hint="default"/>
        <w:w w:val="100"/>
        <w:sz w:val="22"/>
        <w:szCs w:val="22"/>
        <w:lang w:val="sk-SK" w:eastAsia="en-US" w:bidi="ar-SA"/>
      </w:rPr>
    </w:lvl>
    <w:lvl w:ilvl="1" w:tentative="0">
      <w:start w:val="1"/>
      <w:numFmt w:val="lowerLetter"/>
      <w:lvlText w:val="%2."/>
      <w:lvlJc w:val="left"/>
      <w:pPr>
        <w:ind w:left="1506" w:hanging="360"/>
      </w:pPr>
    </w:lvl>
    <w:lvl w:ilvl="2" w:tentative="0">
      <w:start w:val="1"/>
      <w:numFmt w:val="lowerRoman"/>
      <w:lvlText w:val="%3."/>
      <w:lvlJc w:val="right"/>
      <w:pPr>
        <w:ind w:left="2226" w:hanging="180"/>
      </w:pPr>
    </w:lvl>
    <w:lvl w:ilvl="3" w:tentative="0">
      <w:start w:val="1"/>
      <w:numFmt w:val="decimal"/>
      <w:lvlText w:val="%4."/>
      <w:lvlJc w:val="left"/>
      <w:pPr>
        <w:ind w:left="2946" w:hanging="360"/>
      </w:pPr>
    </w:lvl>
    <w:lvl w:ilvl="4" w:tentative="0">
      <w:start w:val="1"/>
      <w:numFmt w:val="lowerLetter"/>
      <w:lvlText w:val="%5."/>
      <w:lvlJc w:val="left"/>
      <w:pPr>
        <w:ind w:left="3666" w:hanging="360"/>
      </w:pPr>
    </w:lvl>
    <w:lvl w:ilvl="5" w:tentative="0">
      <w:start w:val="1"/>
      <w:numFmt w:val="lowerRoman"/>
      <w:lvlText w:val="%6."/>
      <w:lvlJc w:val="right"/>
      <w:pPr>
        <w:ind w:left="4386" w:hanging="180"/>
      </w:pPr>
    </w:lvl>
    <w:lvl w:ilvl="6" w:tentative="0">
      <w:start w:val="1"/>
      <w:numFmt w:val="decimal"/>
      <w:lvlText w:val="%7."/>
      <w:lvlJc w:val="left"/>
      <w:pPr>
        <w:ind w:left="5106" w:hanging="360"/>
      </w:pPr>
    </w:lvl>
    <w:lvl w:ilvl="7" w:tentative="0">
      <w:start w:val="1"/>
      <w:numFmt w:val="lowerLetter"/>
      <w:lvlText w:val="%8."/>
      <w:lvlJc w:val="left"/>
      <w:pPr>
        <w:ind w:left="5826" w:hanging="360"/>
      </w:pPr>
    </w:lvl>
    <w:lvl w:ilvl="8" w:tentative="0">
      <w:start w:val="1"/>
      <w:numFmt w:val="lowerRoman"/>
      <w:lvlText w:val="%9."/>
      <w:lvlJc w:val="right"/>
      <w:pPr>
        <w:ind w:left="6546" w:hanging="180"/>
      </w:pPr>
    </w:lvl>
  </w:abstractNum>
  <w:num w:numId="1">
    <w:abstractNumId w:val="7"/>
  </w:num>
  <w:num w:numId="2">
    <w:abstractNumId w:val="5"/>
  </w:num>
  <w:num w:numId="3">
    <w:abstractNumId w:val="0"/>
  </w:num>
  <w:num w:numId="4">
    <w:abstractNumId w:val="12"/>
  </w:num>
  <w:num w:numId="5">
    <w:abstractNumId w:val="15"/>
  </w:num>
  <w:num w:numId="6">
    <w:abstractNumId w:val="3"/>
  </w:num>
  <w:num w:numId="7">
    <w:abstractNumId w:val="6"/>
  </w:num>
  <w:num w:numId="8">
    <w:abstractNumId w:val="8"/>
  </w:num>
  <w:num w:numId="9">
    <w:abstractNumId w:val="1"/>
  </w:num>
  <w:num w:numId="10">
    <w:abstractNumId w:val="14"/>
  </w:num>
  <w:num w:numId="11">
    <w:abstractNumId w:val="9"/>
  </w:num>
  <w:num w:numId="12">
    <w:abstractNumId w:val="2"/>
  </w:num>
  <w:num w:numId="13">
    <w:abstractNumId w:val="11"/>
  </w:num>
  <w:num w:numId="14">
    <w:abstractNumId w:val="13"/>
  </w:num>
  <w:num w:numId="15">
    <w:abstractNumId w:val="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FF2"/>
    <w:rsid w:val="00030FC6"/>
    <w:rsid w:val="000550FB"/>
    <w:rsid w:val="00071012"/>
    <w:rsid w:val="00086548"/>
    <w:rsid w:val="000C2407"/>
    <w:rsid w:val="000E5CB0"/>
    <w:rsid w:val="000F77DB"/>
    <w:rsid w:val="0011606D"/>
    <w:rsid w:val="00117CDD"/>
    <w:rsid w:val="001242C1"/>
    <w:rsid w:val="001C3C80"/>
    <w:rsid w:val="00200DEC"/>
    <w:rsid w:val="00243CAE"/>
    <w:rsid w:val="002523C6"/>
    <w:rsid w:val="00270DD0"/>
    <w:rsid w:val="0028721C"/>
    <w:rsid w:val="00287809"/>
    <w:rsid w:val="00295778"/>
    <w:rsid w:val="002B2BDF"/>
    <w:rsid w:val="002D243F"/>
    <w:rsid w:val="00334676"/>
    <w:rsid w:val="00334E11"/>
    <w:rsid w:val="00346366"/>
    <w:rsid w:val="0039207C"/>
    <w:rsid w:val="003C2DE1"/>
    <w:rsid w:val="003F2427"/>
    <w:rsid w:val="00444B15"/>
    <w:rsid w:val="0044549F"/>
    <w:rsid w:val="00445C0A"/>
    <w:rsid w:val="004501D7"/>
    <w:rsid w:val="00465BF1"/>
    <w:rsid w:val="004A36C9"/>
    <w:rsid w:val="004C335E"/>
    <w:rsid w:val="004D3CC4"/>
    <w:rsid w:val="00506678"/>
    <w:rsid w:val="00530D8A"/>
    <w:rsid w:val="00545CE0"/>
    <w:rsid w:val="00564263"/>
    <w:rsid w:val="00593403"/>
    <w:rsid w:val="005B302E"/>
    <w:rsid w:val="005B5387"/>
    <w:rsid w:val="005C1B27"/>
    <w:rsid w:val="005E76DC"/>
    <w:rsid w:val="005F5469"/>
    <w:rsid w:val="006011AD"/>
    <w:rsid w:val="006131EA"/>
    <w:rsid w:val="006142FE"/>
    <w:rsid w:val="006225B2"/>
    <w:rsid w:val="00657FDD"/>
    <w:rsid w:val="006F3420"/>
    <w:rsid w:val="006F7EB7"/>
    <w:rsid w:val="00716487"/>
    <w:rsid w:val="00735194"/>
    <w:rsid w:val="00747FA5"/>
    <w:rsid w:val="0075712E"/>
    <w:rsid w:val="007920AB"/>
    <w:rsid w:val="00792B3B"/>
    <w:rsid w:val="00796C2D"/>
    <w:rsid w:val="007B1C5B"/>
    <w:rsid w:val="007D1F45"/>
    <w:rsid w:val="007D7313"/>
    <w:rsid w:val="007F71CC"/>
    <w:rsid w:val="0080170A"/>
    <w:rsid w:val="0080220F"/>
    <w:rsid w:val="0082153C"/>
    <w:rsid w:val="00854318"/>
    <w:rsid w:val="00871650"/>
    <w:rsid w:val="00882BEB"/>
    <w:rsid w:val="008B6C33"/>
    <w:rsid w:val="008C25D3"/>
    <w:rsid w:val="008C2B28"/>
    <w:rsid w:val="00912273"/>
    <w:rsid w:val="00915D77"/>
    <w:rsid w:val="00922F02"/>
    <w:rsid w:val="00964FF2"/>
    <w:rsid w:val="00967B1B"/>
    <w:rsid w:val="00997A65"/>
    <w:rsid w:val="009B2824"/>
    <w:rsid w:val="009C0E0A"/>
    <w:rsid w:val="009D7AFD"/>
    <w:rsid w:val="00A13631"/>
    <w:rsid w:val="00A8068A"/>
    <w:rsid w:val="00AA4321"/>
    <w:rsid w:val="00AB6404"/>
    <w:rsid w:val="00AD040E"/>
    <w:rsid w:val="00AF164F"/>
    <w:rsid w:val="00AF6DA4"/>
    <w:rsid w:val="00B050B3"/>
    <w:rsid w:val="00B2116E"/>
    <w:rsid w:val="00B361E6"/>
    <w:rsid w:val="00B42936"/>
    <w:rsid w:val="00B620DF"/>
    <w:rsid w:val="00B75B20"/>
    <w:rsid w:val="00B86B6C"/>
    <w:rsid w:val="00BA7AA5"/>
    <w:rsid w:val="00BC7A57"/>
    <w:rsid w:val="00BD46F7"/>
    <w:rsid w:val="00C46984"/>
    <w:rsid w:val="00CC03D0"/>
    <w:rsid w:val="00CC397E"/>
    <w:rsid w:val="00D502F7"/>
    <w:rsid w:val="00DA1AE6"/>
    <w:rsid w:val="00DB27CE"/>
    <w:rsid w:val="00DD3B5A"/>
    <w:rsid w:val="00DE720B"/>
    <w:rsid w:val="00E00C3E"/>
    <w:rsid w:val="00E03050"/>
    <w:rsid w:val="00E408E5"/>
    <w:rsid w:val="00E642CF"/>
    <w:rsid w:val="00E70AAE"/>
    <w:rsid w:val="00EF6D01"/>
    <w:rsid w:val="00EF725C"/>
    <w:rsid w:val="00F052E2"/>
    <w:rsid w:val="00F2277B"/>
    <w:rsid w:val="00F341EA"/>
    <w:rsid w:val="00F3570B"/>
    <w:rsid w:val="00F54A5E"/>
    <w:rsid w:val="00F7028B"/>
    <w:rsid w:val="00F94677"/>
    <w:rsid w:val="00F97836"/>
    <w:rsid w:val="00FD53E1"/>
    <w:rsid w:val="00FF633A"/>
    <w:rsid w:val="1ADD2709"/>
    <w:rsid w:val="49237F45"/>
    <w:rsid w:val="53F62D12"/>
    <w:rsid w:val="5BF27270"/>
    <w:rsid w:val="69BB2640"/>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Arial Narrow" w:hAnsi="Arial Narrow" w:eastAsia="Arial Narrow" w:cs="Arial Narrow"/>
      <w:sz w:val="22"/>
      <w:szCs w:val="22"/>
      <w:lang w:val="sk-SK" w:eastAsia="en-US" w:bidi="ar-SA"/>
    </w:rPr>
  </w:style>
  <w:style w:type="paragraph" w:styleId="2">
    <w:name w:val="heading 1"/>
    <w:basedOn w:val="1"/>
    <w:next w:val="1"/>
    <w:qFormat/>
    <w:uiPriority w:val="9"/>
    <w:pPr>
      <w:ind w:left="438"/>
      <w:outlineLvl w:val="0"/>
    </w:pPr>
    <w:rPr>
      <w:b/>
      <w:bCs/>
    </w:rPr>
  </w:style>
  <w:style w:type="character" w:default="1" w:styleId="3">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Body Text"/>
    <w:basedOn w:val="1"/>
    <w:qFormat/>
    <w:uiPriority w:val="1"/>
  </w:style>
  <w:style w:type="paragraph" w:styleId="6">
    <w:name w:val="footer"/>
    <w:basedOn w:val="1"/>
    <w:link w:val="13"/>
    <w:unhideWhenUsed/>
    <w:uiPriority w:val="99"/>
    <w:pPr>
      <w:tabs>
        <w:tab w:val="center" w:pos="4513"/>
        <w:tab w:val="right" w:pos="9026"/>
      </w:tabs>
    </w:pPr>
  </w:style>
  <w:style w:type="paragraph" w:styleId="7">
    <w:name w:val="header"/>
    <w:basedOn w:val="1"/>
    <w:link w:val="12"/>
    <w:unhideWhenUsed/>
    <w:uiPriority w:val="99"/>
    <w:pPr>
      <w:tabs>
        <w:tab w:val="center" w:pos="4513"/>
        <w:tab w:val="right" w:pos="9026"/>
      </w:tabs>
    </w:pPr>
  </w:style>
  <w:style w:type="table" w:styleId="8">
    <w:name w:val="Table Grid"/>
    <w:basedOn w:val="4"/>
    <w:uiPriority w:val="59"/>
    <w:pPr>
      <w:widowControl/>
      <w:autoSpaceDE/>
      <w:autoSpaceDN/>
    </w:pPr>
    <w:rPr>
      <w:lang w:val="sk-SK"/>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9">
    <w:name w:val="Table Normal1"/>
    <w:semiHidden/>
    <w:unhideWhenUsed/>
    <w:qFormat/>
    <w:uiPriority w:val="2"/>
    <w:tblPr>
      <w:tblCellMar>
        <w:top w:w="0" w:type="dxa"/>
        <w:left w:w="0" w:type="dxa"/>
        <w:bottom w:w="0" w:type="dxa"/>
        <w:right w:w="0" w:type="dxa"/>
      </w:tblCellMar>
    </w:tblPr>
  </w:style>
  <w:style w:type="paragraph" w:styleId="10">
    <w:name w:val="List Paragraph"/>
    <w:basedOn w:val="1"/>
    <w:qFormat/>
    <w:uiPriority w:val="1"/>
    <w:pPr>
      <w:ind w:left="1141" w:hanging="284"/>
    </w:pPr>
  </w:style>
  <w:style w:type="paragraph" w:customStyle="1" w:styleId="11">
    <w:name w:val="Table Paragraph"/>
    <w:basedOn w:val="1"/>
    <w:qFormat/>
    <w:uiPriority w:val="1"/>
    <w:pPr>
      <w:ind w:left="119"/>
    </w:pPr>
  </w:style>
  <w:style w:type="character" w:customStyle="1" w:styleId="12">
    <w:name w:val="Hlavička Char"/>
    <w:basedOn w:val="3"/>
    <w:link w:val="7"/>
    <w:uiPriority w:val="99"/>
    <w:rPr>
      <w:rFonts w:ascii="Arial Narrow" w:hAnsi="Arial Narrow" w:eastAsia="Arial Narrow" w:cs="Arial Narrow"/>
      <w:lang w:val="sk-SK"/>
    </w:rPr>
  </w:style>
  <w:style w:type="character" w:customStyle="1" w:styleId="13">
    <w:name w:val="Päta Char"/>
    <w:basedOn w:val="3"/>
    <w:link w:val="6"/>
    <w:uiPriority w:val="99"/>
    <w:rPr>
      <w:rFonts w:ascii="Arial Narrow" w:hAnsi="Arial Narrow" w:eastAsia="Arial Narrow" w:cs="Arial Narrow"/>
      <w:lang w:val="sk-SK"/>
    </w:rPr>
  </w:style>
  <w:style w:type="paragraph" w:customStyle="1" w:styleId="14">
    <w:name w:val="Default"/>
    <w:uiPriority w:val="0"/>
    <w:pPr>
      <w:widowControl/>
      <w:autoSpaceDE w:val="0"/>
      <w:autoSpaceDN w:val="0"/>
      <w:adjustRightInd w:val="0"/>
    </w:pPr>
    <w:rPr>
      <w:rFonts w:ascii="Arial" w:hAnsi="Arial" w:cs="Arial" w:eastAsiaTheme="minorHAnsi"/>
      <w:color w:val="000000"/>
      <w:sz w:val="24"/>
      <w:szCs w:val="24"/>
      <w:lang w:val="sk-SK"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354D424-12FC-4D03-88E5-C5523D0DC047}">
  <ds:schemaRefs/>
</ds:datastoreItem>
</file>

<file path=docProps/app.xml><?xml version="1.0" encoding="utf-8"?>
<Properties xmlns="http://schemas.openxmlformats.org/officeDocument/2006/extended-properties" xmlns:vt="http://schemas.openxmlformats.org/officeDocument/2006/docPropsVTypes">
  <Template>Normal</Template>
  <Pages>23</Pages>
  <Words>12067</Words>
  <Characters>68784</Characters>
  <Lines>573</Lines>
  <Paragraphs>161</Paragraphs>
  <TotalTime>7</TotalTime>
  <ScaleCrop>false</ScaleCrop>
  <LinksUpToDate>false</LinksUpToDate>
  <CharactersWithSpaces>80690</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2022-07-13T11:28:00Z</dcterms:created>
  <dc:creator>Matulova Silvia</dc:creator>
  <cp:lastModifiedBy>HP</cp:lastModifiedBy>
  <dcterms:modified xsi:type="dcterms:W3CDTF">2023-06-30T07:12:41Z</dcterms:modified>
  <dc:title>Opatrenie</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y fmtid="{D5CDD505-2E9C-101B-9397-08002B2CF9AE}" pid="5" name="KSOProductBuildVer">
    <vt:lpwstr>1033-11.2.0.11537</vt:lpwstr>
  </property>
  <property fmtid="{D5CDD505-2E9C-101B-9397-08002B2CF9AE}" pid="6" name="ICV">
    <vt:lpwstr>DCA6CF8B05B34300991BA8E0A84B44DE</vt:lpwstr>
  </property>
</Properties>
</file>