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default"/>
          <w:lang w:val="sk-SK"/>
        </w:rPr>
      </w:pPr>
      <w:r>
        <w:rPr>
          <w:b/>
          <w:bCs/>
        </w:rPr>
        <w:t>Poznámky Úč MÚJ 3-01  202</w:t>
      </w:r>
      <w:r>
        <w:rPr>
          <w:rFonts w:hint="default"/>
          <w:b/>
          <w:bCs/>
          <w:lang w:val="sk-SK"/>
        </w:rPr>
        <w:t xml:space="preserve">2 </w:t>
      </w:r>
      <w:bookmarkStart w:id="0" w:name="_GoBack"/>
      <w:bookmarkEnd w:id="0"/>
      <w:r>
        <w:rPr>
          <w:b/>
          <w:bCs/>
        </w:rPr>
        <w:t xml:space="preserve">      </w:t>
      </w:r>
      <w:r>
        <w:t xml:space="preserve">     IČO: </w:t>
      </w:r>
      <w:r>
        <w:rPr>
          <w:rFonts w:hint="default"/>
          <w:lang w:val="sk-SK"/>
        </w:rPr>
        <w:t>53796276</w:t>
      </w:r>
      <w:r>
        <w:t xml:space="preserve">                                               DIČ: </w:t>
      </w:r>
      <w:r>
        <w:rPr>
          <w:rFonts w:hint="default"/>
          <w:lang w:val="sk-SK"/>
        </w:rPr>
        <w:t>2121510336</w:t>
      </w:r>
    </w:p>
    <w:p>
      <w:pPr>
        <w:pStyle w:val="4"/>
        <w:numPr>
          <w:ilvl w:val="0"/>
          <w:numId w:val="1"/>
        </w:numPr>
        <w:rPr>
          <w:i/>
          <w:iCs/>
        </w:rPr>
      </w:pPr>
      <w:r>
        <w:rPr>
          <w:i/>
          <w:iCs/>
        </w:rPr>
        <w:t xml:space="preserve">Všeobecné informácie </w:t>
      </w:r>
    </w:p>
    <w:p>
      <w:r>
        <w:t>Obchodné meno:   K2net</w:t>
      </w:r>
      <w:r>
        <w:rPr>
          <w:rFonts w:hint="default"/>
          <w:lang w:val="sk-SK"/>
        </w:rPr>
        <w:t>,</w:t>
      </w:r>
      <w:r>
        <w:t xml:space="preserve"> s.r.o.</w:t>
      </w:r>
    </w:p>
    <w:p>
      <w:r>
        <w:t xml:space="preserve">Sídlo:   Novozámocká 104, 949 05 Nitra </w:t>
      </w:r>
    </w:p>
    <w:p/>
    <w:p>
      <w:pPr>
        <w:rPr>
          <w:b/>
          <w:bCs/>
        </w:rPr>
      </w:pPr>
      <w:r>
        <w:rPr>
          <w:b/>
          <w:bCs/>
        </w:rPr>
        <w:t xml:space="preserve">Údaje o konsolidovanom celku </w:t>
      </w:r>
    </w:p>
    <w:p>
      <w:r>
        <w:t xml:space="preserve">ÚJ nie je súčasťou konsolidovaného celku. </w:t>
      </w:r>
    </w:p>
    <w:p/>
    <w:p>
      <w:r>
        <w:rPr>
          <w:b/>
          <w:bCs/>
        </w:rPr>
        <w:t>Priemerný prepočítaný počet zamestnancov :</w:t>
      </w:r>
      <w:r>
        <w:t xml:space="preserve">                         1</w:t>
      </w:r>
    </w:p>
    <w:p/>
    <w:p>
      <w:pPr>
        <w:pStyle w:val="4"/>
        <w:numPr>
          <w:ilvl w:val="0"/>
          <w:numId w:val="1"/>
        </w:numPr>
        <w:rPr>
          <w:i/>
          <w:iCs/>
        </w:rPr>
      </w:pPr>
      <w:r>
        <w:rPr>
          <w:i/>
          <w:iCs/>
        </w:rPr>
        <w:t xml:space="preserve">Informácie o prijatých postupoch </w:t>
      </w:r>
    </w:p>
    <w:p/>
    <w:p>
      <w:r>
        <w:rPr>
          <w:b/>
          <w:bCs/>
        </w:rPr>
        <w:t xml:space="preserve">Účtovná závierka bola zostavená za predpokladu, že účtovná jednotka bude nepretržite pokračovať vo svojej činnosti  </w:t>
      </w:r>
      <w:r>
        <w:t xml:space="preserve">                                       ÁNO X</w:t>
      </w:r>
    </w:p>
    <w:p/>
    <w:p>
      <w:pPr>
        <w:rPr>
          <w:b/>
          <w:bCs/>
        </w:rPr>
      </w:pPr>
      <w:r>
        <w:rPr>
          <w:b/>
          <w:bCs/>
        </w:rPr>
        <w:t xml:space="preserve">Spôsob oceňovania jednotlivých položiek majetku a záväzkov </w:t>
      </w:r>
    </w:p>
    <w:p>
      <w:pPr>
        <w:rPr>
          <w:b/>
          <w:bCs/>
        </w:rPr>
      </w:pPr>
      <w:r>
        <w:rPr>
          <w:b/>
          <w:bCs/>
        </w:rPr>
        <w:t xml:space="preserve">Obstarávacou cenou </w:t>
      </w:r>
    </w:p>
    <w:p>
      <w:pPr>
        <w:pStyle w:val="4"/>
        <w:numPr>
          <w:ilvl w:val="0"/>
          <w:numId w:val="2"/>
        </w:numPr>
        <w:rPr>
          <w:b/>
          <w:bCs/>
        </w:rPr>
      </w:pPr>
      <w:r>
        <w:t>Hmotný majetok s výnimkou hmotného majetku vytvoreného vlastnou činnosťou              X</w:t>
      </w:r>
    </w:p>
    <w:p>
      <w:pPr>
        <w:pStyle w:val="4"/>
        <w:numPr>
          <w:ilvl w:val="0"/>
          <w:numId w:val="2"/>
        </w:numPr>
        <w:rPr>
          <w:b/>
          <w:bCs/>
        </w:rPr>
      </w:pPr>
      <w:r>
        <w:t>Zásoby s výnimkou zásob vytvorených vlastnou činnosťou                                                        X</w:t>
      </w:r>
    </w:p>
    <w:p>
      <w:pPr>
        <w:pStyle w:val="4"/>
        <w:numPr>
          <w:ilvl w:val="0"/>
          <w:numId w:val="2"/>
        </w:numPr>
        <w:rPr>
          <w:b/>
          <w:bCs/>
        </w:rPr>
      </w:pPr>
      <w:r>
        <w:t>Podiely na ZI obchodných spoločností                                                                                            X</w:t>
      </w:r>
    </w:p>
    <w:p>
      <w:pPr>
        <w:pStyle w:val="4"/>
        <w:numPr>
          <w:ilvl w:val="0"/>
          <w:numId w:val="2"/>
        </w:numPr>
        <w:rPr>
          <w:b/>
          <w:bCs/>
        </w:rPr>
      </w:pPr>
      <w:r>
        <w:t>Pohľadávky pri odplatnom nadobudnutí alebo pohľadávky nadobudnuté vkladom do ZI      X</w:t>
      </w:r>
    </w:p>
    <w:p>
      <w:pPr>
        <w:pStyle w:val="4"/>
        <w:numPr>
          <w:ilvl w:val="0"/>
          <w:numId w:val="2"/>
        </w:numPr>
        <w:rPr>
          <w:b/>
          <w:bCs/>
        </w:rPr>
      </w:pPr>
      <w:r>
        <w:t>Nehmotný majetok s výnimkou nehmotného majetku vytvoreného vlastnou činnosťou       X</w:t>
      </w:r>
    </w:p>
    <w:p>
      <w:pPr>
        <w:rPr>
          <w:b/>
          <w:bCs/>
        </w:rPr>
      </w:pPr>
    </w:p>
    <w:p>
      <w:pPr>
        <w:rPr>
          <w:b/>
          <w:bCs/>
        </w:rPr>
      </w:pPr>
      <w:r>
        <w:rPr>
          <w:b/>
          <w:bCs/>
        </w:rPr>
        <w:t xml:space="preserve">Vlastnými nákladmi </w:t>
      </w:r>
    </w:p>
    <w:p>
      <w:pPr>
        <w:pStyle w:val="4"/>
        <w:numPr>
          <w:ilvl w:val="0"/>
          <w:numId w:val="3"/>
        </w:numPr>
      </w:pPr>
      <w:r>
        <w:t>Hmotný majetok vytvorený vlastnou činnosťou                                                                               X</w:t>
      </w:r>
    </w:p>
    <w:p>
      <w:pPr>
        <w:rPr>
          <w:b/>
          <w:bCs/>
        </w:rPr>
      </w:pPr>
      <w:r>
        <w:rPr>
          <w:b/>
          <w:bCs/>
        </w:rPr>
        <w:t xml:space="preserve">Menovitou hodnotou </w:t>
      </w:r>
    </w:p>
    <w:p>
      <w:pPr>
        <w:pStyle w:val="4"/>
        <w:numPr>
          <w:ilvl w:val="0"/>
          <w:numId w:val="4"/>
        </w:numPr>
      </w:pPr>
      <w:r>
        <w:t>Peňažné prostriedky a ceniny                                                                                                               X</w:t>
      </w:r>
    </w:p>
    <w:p>
      <w:pPr>
        <w:pStyle w:val="4"/>
        <w:numPr>
          <w:ilvl w:val="0"/>
          <w:numId w:val="4"/>
        </w:numPr>
      </w:pPr>
      <w:r>
        <w:t>Pohľadávky pri ich vzniku                                                                                                                       X</w:t>
      </w:r>
    </w:p>
    <w:p>
      <w:pPr>
        <w:pStyle w:val="4"/>
        <w:numPr>
          <w:ilvl w:val="0"/>
          <w:numId w:val="4"/>
        </w:numPr>
      </w:pPr>
      <w:r>
        <w:t>Záväzky pri ich vzniku                                                                                                                              X</w:t>
      </w:r>
    </w:p>
    <w:p/>
    <w:p>
      <w:r>
        <w:t xml:space="preserve">Úbytok zásob rovnakého druhu sa účtuje v ocenení: </w:t>
      </w:r>
    </w:p>
    <w:p>
      <w:r>
        <w:t>Cenou zistenou váženým aritmetickým priemerom</w:t>
      </w:r>
    </w:p>
    <w:p>
      <w:r>
        <w:t>Metódou FIFO                                                                                                                                                        X</w:t>
      </w:r>
    </w:p>
    <w:p>
      <w:r>
        <w:t xml:space="preserve">Obstarávacia cena sa rozdeľuje na cenu, za ktoré sa zásoby obstarali a náklady </w:t>
      </w:r>
    </w:p>
    <w:p>
      <w:r>
        <w:t>Súvisiace s obstaraním                                                                                                                                       X</w:t>
      </w:r>
    </w:p>
    <w:p/>
    <w:p/>
    <w:p>
      <w:r>
        <w:t xml:space="preserve">Dlhodobý hmotný majetok sa odpisuje s ohľadom na opotrebovanie zodpovedajúce bežným podmienkam jeho používania. Pri tvorbe odpisového plánu sa zohľadňuje doba použiteľnosti , počet výrobkov alebo podobných jednotiek, u ktorých sa predpokladá ich získanie prostredníctvom majetku. Účtovné a daňové odpisy sa rovnajú. </w:t>
      </w:r>
    </w:p>
    <w:p>
      <w:r>
        <w:t>Dlhodobý nehmotný majetok = doba použiteľnosti viac ako rok a vstupná cena je viac ako : 2400,00 €</w:t>
      </w:r>
    </w:p>
    <w:p>
      <w:r>
        <w:t>Samostatne hnuteľné veci sú dlhodobým hmotným majetkom ak doba použiteľnosti je viac ako rok a vstupná cena viac ako:                                                                                                                     1 700,00 €</w:t>
      </w:r>
    </w:p>
    <w:p/>
    <w:p/>
    <w:p/>
    <w:p>
      <w:pPr>
        <w:rPr>
          <w:b/>
          <w:bCs/>
        </w:rPr>
      </w:pPr>
      <w:r>
        <w:rPr>
          <w:b/>
          <w:bCs/>
        </w:rPr>
        <w:t xml:space="preserve">Informácie o záväzkov </w:t>
      </w:r>
    </w:p>
    <w:p>
      <w:pPr>
        <w:pStyle w:val="4"/>
        <w:numPr>
          <w:ilvl w:val="0"/>
          <w:numId w:val="5"/>
        </w:numPr>
      </w:pPr>
      <w:r>
        <w:t>Celková suma záväzkov so zostatkovou dobou splatnosti dlhšou ako päť</w:t>
      </w:r>
    </w:p>
    <w:p>
      <w:pPr>
        <w:pStyle w:val="4"/>
        <w:rPr>
          <w:rFonts w:hint="default"/>
          <w:lang w:val="sk-SK"/>
        </w:rPr>
      </w:pPr>
      <w:r>
        <w:t xml:space="preserve">Rokov                                                                                                                          </w:t>
      </w:r>
      <w:r>
        <w:rPr>
          <w:rFonts w:hint="default"/>
          <w:lang w:val="sk-SK"/>
        </w:rPr>
        <w:t>0,00 €</w:t>
      </w:r>
    </w:p>
    <w:p/>
    <w:p/>
    <w:p/>
    <w:p/>
    <w:p/>
    <w:p>
      <w:pPr>
        <w:pStyle w:val="4"/>
      </w:pPr>
    </w:p>
    <w:p>
      <w:pPr>
        <w:pStyle w:val="4"/>
      </w:pPr>
    </w:p>
    <w:p>
      <w:pPr>
        <w:pStyle w:val="4"/>
      </w:pPr>
    </w:p>
    <w:p/>
    <w:p/>
    <w:p>
      <w:pPr>
        <w:pStyle w:val="4"/>
      </w:pPr>
    </w:p>
    <w:p>
      <w:pPr>
        <w:pStyle w:val="4"/>
      </w:pPr>
      <w:r>
        <w:t xml:space="preserve"> </w:t>
      </w:r>
    </w:p>
    <w:p/>
    <w:p/>
    <w:p/>
    <w:p/>
    <w:sectPr>
      <w:pgSz w:w="11906" w:h="16838"/>
      <w:pgMar w:top="1417" w:right="1417" w:bottom="1417" w:left="1417" w:header="708" w:footer="708" w:gutter="0"/>
      <w:cols w:space="708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default"/>
    <w:sig w:usb0="E0002EFF" w:usb1="C000785B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86"/>
    <w:family w:val="swiss"/>
    <w:pitch w:val="default"/>
    <w:sig w:usb0="E4002EFF" w:usb1="C200247B" w:usb2="00000009" w:usb3="00000000" w:csb0="200001FF" w:csb1="00000000"/>
  </w:font>
  <w:font w:name="Calibri">
    <w:panose1 w:val="020F0502020204030204"/>
    <w:charset w:val="86"/>
    <w:family w:val="swiss"/>
    <w:pitch w:val="default"/>
    <w:sig w:usb0="E4002EFF" w:usb1="C200247B" w:usb2="00000009" w:usb3="00000000" w:csb0="200001FF" w:csb1="00000000"/>
  </w:font>
  <w:font w:name="Calibri">
    <w:panose1 w:val="020F0502020204030204"/>
    <w:charset w:val="00"/>
    <w:family w:val="auto"/>
    <w:pitch w:val="default"/>
    <w:sig w:usb0="E4002EFF" w:usb1="C200247B" w:usb2="00000009" w:usb3="00000000" w:csb0="2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59" w:lineRule="auto"/>
      </w:pPr>
      <w:r>
        <w:separator/>
      </w:r>
    </w:p>
  </w:footnote>
  <w:footnote w:type="continuationSeparator" w:id="1">
    <w:p>
      <w:pPr>
        <w:spacing w:before="0" w:after="0" w:line="259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FC77209"/>
    <w:multiLevelType w:val="multilevel"/>
    <w:tmpl w:val="0FC77209"/>
    <w:lvl w:ilvl="0" w:tentative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B74327D"/>
    <w:multiLevelType w:val="multilevel"/>
    <w:tmpl w:val="2B74327D"/>
    <w:lvl w:ilvl="0" w:tentative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F2311AF"/>
    <w:multiLevelType w:val="multilevel"/>
    <w:tmpl w:val="2F2311AF"/>
    <w:lvl w:ilvl="0" w:tentative="0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6FA5402"/>
    <w:multiLevelType w:val="multilevel"/>
    <w:tmpl w:val="36FA5402"/>
    <w:lvl w:ilvl="0" w:tentative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623C5418"/>
    <w:multiLevelType w:val="multilevel"/>
    <w:tmpl w:val="623C5418"/>
    <w:lvl w:ilvl="0" w:tentative="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0"/>
  </w:num>
  <w:num w:numId="3">
    <w:abstractNumId w:val="1"/>
  </w:num>
  <w:num w:numId="4">
    <w:abstractNumId w:val="3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cumentProtection w:enforcement="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169A0"/>
    <w:rsid w:val="000169A0"/>
    <w:rsid w:val="000D44C4"/>
    <w:rsid w:val="0069743B"/>
    <w:rsid w:val="006C055A"/>
    <w:rsid w:val="00A67BD7"/>
    <w:rsid w:val="00B27E5A"/>
    <w:rsid w:val="00BA4FD6"/>
    <w:rsid w:val="16DF36AC"/>
    <w:rsid w:val="7AB333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HAnsi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160" w:line="259" w:lineRule="auto"/>
    </w:pPr>
    <w:rPr>
      <w:rFonts w:asciiTheme="minorHAnsi" w:hAnsiTheme="minorHAnsi" w:eastAsiaTheme="minorHAnsi" w:cstheme="minorBidi"/>
      <w:sz w:val="22"/>
      <w:szCs w:val="22"/>
      <w:lang w:val="sk-SK" w:eastAsia="en-US" w:bidi="ar-SA"/>
    </w:rPr>
  </w:style>
  <w:style w:type="character" w:default="1" w:styleId="2">
    <w:name w:val="Default Paragraph Font"/>
    <w:semiHidden/>
    <w:unhideWhenUsed/>
    <w:uiPriority w:val="1"/>
  </w:style>
  <w:style w:type="table" w:default="1" w:styleId="3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List Paragraph"/>
    <w:basedOn w:val="1"/>
    <w:qFormat/>
    <w:uiPriority w:val="34"/>
    <w:pPr>
      <w:ind w:left="720"/>
      <w:contextualSpacing/>
    </w:p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3</Pages>
  <Words>587</Words>
  <Characters>3351</Characters>
  <Lines>27</Lines>
  <Paragraphs>7</Paragraphs>
  <TotalTime>33</TotalTime>
  <ScaleCrop>false</ScaleCrop>
  <LinksUpToDate>false</LinksUpToDate>
  <CharactersWithSpaces>3931</CharactersWithSpaces>
  <Application>WPS Office_11.2.0.11537_F1E327BC-269C-435d-A152-05C5408002CA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2022-06-30T16:09:00Z</dcterms:created>
  <dc:creator>Monika</dc:creator>
  <cp:lastModifiedBy>Monika Mišáková</cp:lastModifiedBy>
  <dcterms:modified xsi:type="dcterms:W3CDTF">2023-06-30T15:45:21Z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1033-11.2.0.11537</vt:lpwstr>
  </property>
  <property fmtid="{D5CDD505-2E9C-101B-9397-08002B2CF9AE}" pid="3" name="ICV">
    <vt:lpwstr>50E1A3AF33D34F6C8BCCD795E12F6EED</vt:lpwstr>
  </property>
</Properties>
</file>