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Mriekatabuky"/>
        <w:tblW w:w="9248" w:type="dxa"/>
        <w:jc w:val="left"/>
        <w:tblInd w:w="8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6"/>
        <w:gridCol w:w="2234"/>
        <w:gridCol w:w="315"/>
        <w:gridCol w:w="316"/>
        <w:gridCol w:w="315"/>
        <w:gridCol w:w="315"/>
        <w:gridCol w:w="316"/>
        <w:gridCol w:w="315"/>
        <w:gridCol w:w="315"/>
        <w:gridCol w:w="316"/>
        <w:gridCol w:w="567"/>
        <w:gridCol w:w="315"/>
        <w:gridCol w:w="315"/>
        <w:gridCol w:w="316"/>
        <w:gridCol w:w="322"/>
      </w:tblGrid>
      <w:tr>
        <w:trPr/>
        <w:tc>
          <w:tcPr>
            <w:tcW w:w="2656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234" w:type="dxa"/>
            <w:tcBorders>
              <w:top w:val="nil"/>
              <w:bottom w:val="nil"/>
              <w:insideH w:val="nil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jc w:val="righ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5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6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5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5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6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5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5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6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  <w:insideH w:val="nil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5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315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316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  <w:tc>
          <w:tcPr>
            <w:tcW w:w="322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0" w:after="120"/>
              <w:outlineLvl w:val="2"/>
              <w:rPr>
                <w:rFonts w:ascii="Arial" w:hAnsi="Arial"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120"/>
        <w:outlineLvl w:val="2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lineRule="auto" w:line="240" w:before="0" w:after="120"/>
        <w:jc w:val="center"/>
        <w:rPr/>
      </w:pPr>
      <w:r>
        <w:rPr>
          <w:b/>
          <w:sz w:val="24"/>
        </w:rPr>
        <w:t>POZNÁMKY K ÚČTOVNEJ ZÁVIERKE 202</w:t>
      </w:r>
      <w:r>
        <w:rPr>
          <w:b/>
          <w:sz w:val="24"/>
        </w:rPr>
        <w:t>2</w:t>
      </w:r>
    </w:p>
    <w:p>
      <w:pPr>
        <w:pStyle w:val="Normal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lineRule="auto" w:line="240"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>
      <w:pPr>
        <w:pStyle w:val="Normal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lineRule="auto" w:line="240"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>
      <w:pPr>
        <w:pStyle w:val="Normal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lineRule="auto" w:line="240"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 sústave podvojného účtovníctva, </w:t>
      </w:r>
    </w:p>
    <w:p>
      <w:pPr>
        <w:pStyle w:val="Normal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lineRule="auto" w:line="240" w:before="0" w:after="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ktoré nie sú založené alebo zriadené na účely podnikania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240"/>
        <w:jc w:val="center"/>
        <w:rPr>
          <w:rFonts w:cs="Arial Narrow"/>
          <w:b/>
          <w:b/>
          <w:sz w:val="22"/>
          <w:szCs w:val="22"/>
          <w:u w:val="single"/>
        </w:rPr>
      </w:pPr>
      <w:r>
        <w:rPr>
          <w:rFonts w:cs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rFonts w:cs="Arial Narrow"/>
          <w:sz w:val="22"/>
          <w:szCs w:val="22"/>
          <w:u w:val="single"/>
        </w:rPr>
        <w:t>Základné informácie o účtovnej jednotke</w:t>
      </w:r>
      <w:r>
        <w:rPr>
          <w:rFonts w:cs="Arial Narrow"/>
          <w:sz w:val="22"/>
          <w:szCs w:val="22"/>
        </w:rPr>
        <w:t>:</w:t>
      </w:r>
    </w:p>
    <w:tbl>
      <w:tblPr>
        <w:tblW w:w="4900" w:type="pct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216"/>
        <w:gridCol w:w="1221"/>
        <w:gridCol w:w="2"/>
        <w:gridCol w:w="3223"/>
        <w:gridCol w:w="3227"/>
      </w:tblGrid>
      <w:tr>
        <w:trPr>
          <w:trHeight w:val="109" w:hRule="atLeast"/>
        </w:trPr>
        <w:tc>
          <w:tcPr>
            <w:tcW w:w="24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 Narrow"/>
                <w:b/>
                <w:sz w:val="22"/>
                <w:szCs w:val="22"/>
              </w:rPr>
              <w:t xml:space="preserve">  </w:t>
            </w:r>
            <w:r>
              <w:rPr>
                <w:rFonts w:cs="Arial Narrow"/>
                <w:b/>
                <w:sz w:val="22"/>
                <w:szCs w:val="22"/>
              </w:rPr>
              <w:t xml:space="preserve">Športový klub JUNIOR SKI POPRAD </w:t>
            </w:r>
          </w:p>
        </w:tc>
      </w:tr>
      <w:tr>
        <w:trPr>
          <w:trHeight w:val="157" w:hRule="atLeast"/>
        </w:trPr>
        <w:tc>
          <w:tcPr>
            <w:tcW w:w="24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 Narrow"/>
                <w:sz w:val="22"/>
                <w:szCs w:val="22"/>
              </w:rPr>
              <w:t>058 01 Poprad, Železničná 1097/35</w:t>
            </w:r>
          </w:p>
        </w:tc>
      </w:tr>
      <w:tr>
        <w:trPr>
          <w:trHeight w:val="125" w:hRule="atLeast"/>
        </w:trPr>
        <w:tc>
          <w:tcPr>
            <w:tcW w:w="24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4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 Narrow"/>
                <w:sz w:val="22"/>
                <w:szCs w:val="22"/>
              </w:rPr>
              <w:t>19.07.2001</w:t>
            </w:r>
          </w:p>
        </w:tc>
      </w:tr>
      <w:tr>
        <w:trPr>
          <w:trHeight w:val="116" w:hRule="atLeast"/>
        </w:trPr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32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 Narrow"/>
                <w:sz w:val="22"/>
                <w:szCs w:val="22"/>
              </w:rPr>
              <w:t>IČO: 37796585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 Narrow"/>
                <w:sz w:val="22"/>
                <w:szCs w:val="22"/>
              </w:rPr>
              <w:t>DIČ: - 2021586732</w:t>
            </w:r>
          </w:p>
        </w:tc>
      </w:tr>
      <w:tr>
        <w:trPr>
          <w:trHeight w:val="116" w:hRule="atLeast"/>
        </w:trPr>
        <w:tc>
          <w:tcPr>
            <w:tcW w:w="24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 Narrow"/>
                <w:sz w:val="22"/>
                <w:szCs w:val="22"/>
              </w:rPr>
              <w:t>Kalendárny rok 202</w:t>
            </w:r>
            <w:r>
              <w:rPr>
                <w:rFonts w:cs="Arial Narrow"/>
                <w:sz w:val="22"/>
                <w:szCs w:val="22"/>
              </w:rPr>
              <w:t>2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>
      <w:pPr>
        <w:pStyle w:val="Normal"/>
        <w:spacing w:lineRule="auto" w:line="240" w:before="0" w:after="120"/>
        <w:rPr/>
      </w:pPr>
      <w:r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>
        <w:rPr>
          <w:rFonts w:cs="Arial Narrow"/>
          <w:sz w:val="22"/>
          <w:szCs w:val="22"/>
          <w:u w:val="single"/>
        </w:rPr>
        <w:t>zakladateľom alebo zriaďovateľom</w:t>
      </w:r>
      <w:r>
        <w:rPr>
          <w:rFonts w:cs="Arial Narrow"/>
          <w:sz w:val="22"/>
          <w:szCs w:val="22"/>
        </w:rPr>
        <w:t xml:space="preserve"> účtovnej jednotky, dátum založenia alebo zriadenia účtovnej jednotky:</w:t>
      </w:r>
    </w:p>
    <w:p>
      <w:pPr>
        <w:pStyle w:val="Normal"/>
        <w:spacing w:lineRule="auto" w:line="240" w:before="0" w:after="120"/>
        <w:rPr/>
      </w:pPr>
      <w:r>
        <w:rPr>
          <w:rFonts w:cs="Arial Narrow"/>
          <w:sz w:val="22"/>
          <w:szCs w:val="22"/>
        </w:rPr>
        <w:t>Zakladateľ: Ing. Igor Tropp</w:t>
      </w:r>
    </w:p>
    <w:p>
      <w:pPr>
        <w:pStyle w:val="Normal"/>
        <w:spacing w:lineRule="auto" w:line="240" w:before="0" w:after="120"/>
        <w:rPr/>
      </w:pPr>
      <w:r>
        <w:rPr>
          <w:rFonts w:cs="Arial Narrow"/>
          <w:sz w:val="22"/>
          <w:szCs w:val="22"/>
        </w:rPr>
        <w:t>Dátum založenia: 19.07.2001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Informácie o členoch štatutárnych orgánov</w:t>
      </w:r>
      <w:r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>Predseda rady klubu:       Ing. Alexander Kanovits</w:t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>Podpredseda rady klubu: Ing. Martin Horník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3)  </w:t>
      </w:r>
      <w:r>
        <w:rPr>
          <w:sz w:val="22"/>
          <w:szCs w:val="22"/>
          <w:u w:val="single"/>
        </w:rPr>
        <w:t>Opis činnosti</w:t>
      </w:r>
      <w:r>
        <w:rPr>
          <w:sz w:val="22"/>
          <w:szCs w:val="22"/>
        </w:rPr>
        <w:t>, na účel ktorej bola účtovná jednotka zriadená (zriaďovacia listina) a opis druhu podnikateľskej činnosti, ak ju účtovná jednotka vykonáva (živnostenské oprávnenie):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- Vyúčba a zdokonaľovanie detí v lyžovaní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sz w:val="22"/>
          <w:szCs w:val="22"/>
          <w:u w:val="single"/>
        </w:rPr>
        <w:t>Priemerný prepočítaný počet zamestnancov</w:t>
      </w:r>
      <w:r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>
        <w:rPr>
          <w:sz w:val="22"/>
          <w:szCs w:val="22"/>
          <w:u w:val="single"/>
        </w:rPr>
        <w:t>Počet dobrovoľníkov</w:t>
      </w:r>
      <w:r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Style w:val="Mriekatabuky"/>
        <w:tblW w:w="9288" w:type="dxa"/>
        <w:jc w:val="left"/>
        <w:tblInd w:w="-30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00"/>
        <w:gridCol w:w="2518"/>
        <w:gridCol w:w="2770"/>
      </w:tblGrid>
      <w:tr>
        <w:trPr>
          <w:trHeight w:val="377" w:hRule="atLeast"/>
        </w:trPr>
        <w:tc>
          <w:tcPr>
            <w:tcW w:w="400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277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>
        <w:trPr/>
        <w:tc>
          <w:tcPr>
            <w:tcW w:w="400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 w:ascii="Arial" w:hAnsi="Arial"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4000" w:type="dxa"/>
            <w:tcBorders/>
            <w:shd w:fill="auto" w:val="clear"/>
            <w:tcMar>
              <w:left w:w="7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36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 toho: počet vedúcich zamestnancov</w:t>
            </w:r>
          </w:p>
        </w:tc>
        <w:tc>
          <w:tcPr>
            <w:tcW w:w="2518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4000" w:type="dxa"/>
            <w:tcBorders/>
            <w:shd w:fill="auto" w:val="clear"/>
            <w:tcMar>
              <w:left w:w="7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36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Počet vyslaných dobrovoľníkov</w:t>
            </w:r>
          </w:p>
        </w:tc>
        <w:tc>
          <w:tcPr>
            <w:tcW w:w="2518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4000" w:type="dxa"/>
            <w:tcBorders/>
            <w:shd w:fill="auto" w:val="clear"/>
            <w:tcMar>
              <w:left w:w="7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36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Počet prijatých dobrovoľníkov</w:t>
            </w:r>
          </w:p>
        </w:tc>
        <w:tc>
          <w:tcPr>
            <w:tcW w:w="2518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Informácia o organizáciách</w:t>
      </w:r>
      <w:r>
        <w:rPr>
          <w:sz w:val="22"/>
          <w:szCs w:val="22"/>
        </w:rPr>
        <w:t xml:space="preserve"> v zriaďovateľskej pôsobnosti účtovnej jednotky: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Účtovná jednotka nemá zriadené iné organizácie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240"/>
        <w:jc w:val="center"/>
        <w:outlineLvl w:val="0"/>
        <w:rPr>
          <w:b/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Článok II – INFORMÁCIE O ÚČTOVNÝCH ZÁSADÁCH A ÚČTOVNÝCH METÓDACH</w:t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 xml:space="preserve">1) Informácia, či je účtovná závierka zostavená za splnenia predpokladu, že účtovná jednotka bude </w:t>
      </w:r>
      <w:r>
        <w:rPr>
          <w:sz w:val="22"/>
          <w:szCs w:val="22"/>
          <w:u w:val="single"/>
        </w:rPr>
        <w:t>nepretržite pokračovať</w:t>
      </w:r>
      <w:r>
        <w:rPr>
          <w:sz w:val="22"/>
          <w:szCs w:val="22"/>
        </w:rPr>
        <w:t xml:space="preserve"> vo svojej činnosti (najmenej 12 mesiacov po závierkovom dni):</w:t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>Áno, bude poklačovať vo svojej nezdaňovanej činnosti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Zmeny účtovných zásad a zmeny účtovných metód</w:t>
      </w:r>
      <w:r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>účtovná jednotka nezmenila účtovné zásady a metódy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Spôsob oceňovania</w:t>
      </w:r>
      <w:r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Style w:val="Mriekatabuky"/>
        <w:tblW w:w="9288" w:type="dxa"/>
        <w:jc w:val="left"/>
        <w:tblInd w:w="-30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7"/>
        <w:gridCol w:w="5351"/>
        <w:gridCol w:w="3510"/>
      </w:tblGrid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ocenenia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b)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reálna hodnota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e)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f)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reálna hodnota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g)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h)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i)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j)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reálna hdnota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 / obstarávacia cena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l)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deriváty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27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r)</w:t>
            </w:r>
          </w:p>
        </w:tc>
        <w:tc>
          <w:tcPr>
            <w:tcW w:w="53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4) Spôsob zostavenia </w:t>
      </w:r>
      <w:r>
        <w:rPr>
          <w:sz w:val="22"/>
          <w:szCs w:val="22"/>
          <w:u w:val="single"/>
        </w:rPr>
        <w:t>odpisového plánu</w:t>
      </w:r>
      <w:r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9288" w:type="dxa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025"/>
        <w:gridCol w:w="1039"/>
        <w:gridCol w:w="2049"/>
        <w:gridCol w:w="2174"/>
      </w:tblGrid>
      <w:tr>
        <w:trPr/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Sadzby odpisov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  <w:u w:val="single"/>
        </w:rPr>
        <w:t>Komentár k odpisovému plánu</w:t>
      </w:r>
      <w:r>
        <w:rPr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Účtovná jednotka (UJ) používa </w:t>
      </w:r>
      <w:r>
        <w:rPr>
          <w:sz w:val="22"/>
          <w:szCs w:val="22"/>
          <w:u w:val="single"/>
        </w:rPr>
        <w:t>účtovné odpisy rovnajúce sa daňovým odpisom</w:t>
      </w:r>
      <w:r>
        <w:rPr>
          <w:sz w:val="22"/>
          <w:szCs w:val="22"/>
        </w:rPr>
        <w:t xml:space="preserve"> podľa § 22 až 29 zákona č.595/2003 Z.z. o dani z príjmov v znení neskorších predpisov (ZDP).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rFonts w:cs="Arial Narrow"/>
          <w:sz w:val="22"/>
          <w:szCs w:val="22"/>
        </w:rPr>
      </w:pPr>
      <w:r>
        <w:rPr>
          <w:sz w:val="22"/>
          <w:szCs w:val="22"/>
        </w:rPr>
        <w:t>Nehmotný majetok (softvér) sa podľa rozhodnutia UJ odpisuje 5 rokov (§ 22/8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UJ používa </w:t>
      </w:r>
      <w:r>
        <w:rPr>
          <w:sz w:val="22"/>
          <w:szCs w:val="22"/>
          <w:u w:val="single"/>
        </w:rPr>
        <w:t>rovnomerné odpisovanie</w:t>
      </w:r>
      <w:r>
        <w:rPr>
          <w:sz w:val="22"/>
          <w:szCs w:val="22"/>
        </w:rPr>
        <w:t xml:space="preserve"> dlhodobého hmotného majetku a dlhodobého nehmotného majetku. Podrobný účtovný odpisový plán po položkách sa vedie v súbore Majetok s podporou softvéru Exel.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UJ odpisuje jednotlivé veci alebo relevantné </w:t>
      </w:r>
      <w:r>
        <w:rPr>
          <w:sz w:val="22"/>
          <w:szCs w:val="22"/>
          <w:u w:val="single"/>
        </w:rPr>
        <w:t>súbory hnuteľných vecí</w:t>
      </w:r>
      <w:r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>
        <w:rPr>
          <w:sz w:val="22"/>
          <w:szCs w:val="22"/>
          <w:u w:val="single"/>
        </w:rPr>
        <w:t>nepoužíva kategóriu drobného dlhodobého nehmotného majetku</w:t>
      </w:r>
      <w:r>
        <w:rPr>
          <w:sz w:val="22"/>
          <w:szCs w:val="22"/>
        </w:rPr>
        <w:t xml:space="preserve"> - položky pod 2 400 eur jednotkovej ceny so životnosťou nad jeden rok (§ 17/2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>
        <w:rPr>
          <w:sz w:val="22"/>
          <w:szCs w:val="22"/>
          <w:u w:val="single"/>
        </w:rPr>
        <w:t>nepoužíva kategóriu drobného dlhodobého hmotného majetku</w:t>
      </w:r>
      <w:r>
        <w:rPr>
          <w:sz w:val="22"/>
          <w:szCs w:val="22"/>
        </w:rPr>
        <w:t xml:space="preserve"> - položky pod 1 700 eur jednotkovej ceny so životnosťou nad jeden rok (§ 17/5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ÚJ </w:t>
      </w:r>
      <w:r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cs="Arial Narrow"/>
          <w:sz w:val="22"/>
          <w:szCs w:val="22"/>
        </w:rPr>
        <w:t xml:space="preserve"> do odpisovaného dlhodobého majetku – technické zhodnotenie pod 1 700 eur za účtovné obdobie (§ 18/3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ÚJ </w:t>
      </w:r>
      <w:r>
        <w:rPr>
          <w:rFonts w:cs="Arial Narrow"/>
          <w:sz w:val="22"/>
          <w:szCs w:val="22"/>
          <w:u w:val="single"/>
        </w:rPr>
        <w:t>nepoužíva dobrovoľnú kapitalizáciu úrokov</w:t>
      </w:r>
      <w:r>
        <w:rPr>
          <w:rFonts w:cs="Arial Narrow"/>
          <w:sz w:val="22"/>
          <w:szCs w:val="22"/>
        </w:rPr>
        <w:t xml:space="preserve"> do obstarávacej ceny odpisovaného dlhodobého hmotného majetku (§ 22/2/a PU).</w:t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5) Zásady pre zohľadnenie zníženia hodnoty majetku. Uvádza sa, či účtovná jednotka uplatňuje opravné položky a rezervy: UJ nevytvára opravné položky ani rezervy ani dobrovoľne.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240"/>
        <w:jc w:val="center"/>
        <w:outlineLvl w:val="0"/>
        <w:rPr>
          <w:b/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Článok III – INFORMÁCIE, KTORÉ DOPLŇUJÚ A VYSVETĽUJÚ ÚDAJE V SÚVAHE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1a,b,c) Údaje o </w:t>
      </w:r>
      <w:r>
        <w:rPr>
          <w:sz w:val="22"/>
          <w:szCs w:val="22"/>
          <w:u w:val="single"/>
        </w:rPr>
        <w:t>dlhodobom nehmotnom majetku a dlhodobom hmotnom majetk</w:t>
      </w:r>
      <w:r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11"/>
        <w:gridCol w:w="1139"/>
        <w:gridCol w:w="986"/>
        <w:gridCol w:w="1158"/>
        <w:gridCol w:w="1416"/>
        <w:gridCol w:w="1276"/>
        <w:gridCol w:w="1277"/>
        <w:gridCol w:w="1128"/>
      </w:tblGrid>
      <w:tr>
        <w:trPr/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vývoja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 ostatný DNM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DHM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051)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>
        <w:trPr>
          <w:trHeight w:val="198" w:hRule="atLeast"/>
        </w:trPr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>
        <w:trPr>
          <w:trHeight w:val="340" w:hRule="atLeast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20" w:hRule="atLeast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38" w:hRule="atLeast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56" w:hRule="atLeast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Oprávky</w:t>
            </w:r>
          </w:p>
        </w:tc>
      </w:tr>
      <w:tr>
        <w:trPr/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4" w:hRule="atLeast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36" w:hRule="atLeast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>
        <w:trPr/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09" w:hRule="atLeast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30" w:hRule="atLeast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25" w:hRule="atLeast"/>
        </w:trPr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>
        <w:trPr>
          <w:trHeight w:val="361" w:hRule="atLeast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1" w:hRule="atLeast"/>
        </w:trPr>
        <w:tc>
          <w:tcPr>
            <w:tcW w:w="1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W w:w="9993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46"/>
        <w:gridCol w:w="709"/>
        <w:gridCol w:w="710"/>
        <w:gridCol w:w="708"/>
        <w:gridCol w:w="851"/>
        <w:gridCol w:w="856"/>
        <w:gridCol w:w="851"/>
        <w:gridCol w:w="856"/>
        <w:gridCol w:w="851"/>
        <w:gridCol w:w="710"/>
        <w:gridCol w:w="708"/>
        <w:gridCol w:w="836"/>
      </w:tblGrid>
      <w:tr>
        <w:trPr/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Pozem-ky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031)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Ume-lecké diela, zbierky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Samost. veci a súbory </w:t>
            </w:r>
            <w:r>
              <w:rPr>
                <w:sz w:val="16"/>
                <w:szCs w:val="16"/>
              </w:rPr>
              <w:t>(účet 022)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Dopravné prostried-ky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Trvalé porasty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025)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Základné stádo a ťažné zvieratá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Drobný a ostatný DHM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(028,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029)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Obsta-ranie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davky na HIM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(052)</w:t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Cs w:val="20"/>
              </w:rPr>
            </w:pPr>
            <w:r>
              <w:rPr>
                <w:b/>
                <w:szCs w:val="20"/>
              </w:rPr>
              <w:t>Prvotné ocenenie</w:t>
            </w:r>
          </w:p>
        </w:tc>
      </w:tr>
      <w:tr>
        <w:trPr/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72" w:hRule="atLeast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0" w:hRule="atLeast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8" w:hRule="atLeast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Cs w:val="20"/>
              </w:rPr>
            </w:pPr>
            <w:r>
              <w:rPr>
                <w:b/>
                <w:szCs w:val="20"/>
              </w:rPr>
              <w:t>Oprávky</w:t>
            </w:r>
          </w:p>
        </w:tc>
      </w:tr>
      <w:tr>
        <w:trPr/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86" w:hRule="atLeast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4" w:hRule="atLeast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19" w:hRule="atLeast"/>
        </w:trPr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Cs w:val="20"/>
              </w:rPr>
            </w:pPr>
            <w:r>
              <w:rPr>
                <w:b/>
                <w:szCs w:val="20"/>
              </w:rPr>
              <w:t>Opravné položky</w:t>
            </w:r>
          </w:p>
        </w:tc>
      </w:tr>
      <w:tr>
        <w:trPr>
          <w:trHeight w:val="219" w:hRule="atLeast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82" w:hRule="atLeast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7" w:hRule="atLeast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45" w:hRule="atLeast"/>
        </w:trPr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Cs w:val="20"/>
              </w:rPr>
            </w:pPr>
            <w:r>
              <w:rPr>
                <w:b/>
                <w:szCs w:val="20"/>
              </w:rPr>
              <w:t>Zostatková hodnota</w:t>
            </w:r>
          </w:p>
        </w:tc>
      </w:tr>
      <w:tr>
        <w:trPr>
          <w:trHeight w:val="361" w:hRule="atLeast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61" w:hRule="atLeast"/>
        </w:trPr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2) Prehľad dlhodobého majetku, na ktorý je </w:t>
      </w:r>
      <w:r>
        <w:rPr>
          <w:sz w:val="22"/>
          <w:szCs w:val="22"/>
          <w:u w:val="single"/>
        </w:rPr>
        <w:t>zriadené záložné právo</w:t>
      </w:r>
      <w:r>
        <w:rPr>
          <w:sz w:val="22"/>
          <w:szCs w:val="22"/>
        </w:rPr>
        <w:t xml:space="preserve"> a dlhodobého majetku, pri ktorom má účtovná jednotka obmedzené právo s ním nakladať: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Údaje o spôsobe a výške poistenia</w:t>
      </w:r>
      <w:r>
        <w:rPr>
          <w:sz w:val="22"/>
          <w:szCs w:val="22"/>
        </w:rPr>
        <w:t xml:space="preserve"> dlhodobého nehmotného majetku a dlhodobého hmotného majetku: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b/>
          <w:sz w:val="22"/>
          <w:szCs w:val="22"/>
        </w:rPr>
        <w:t>Údaje o štruktúre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dlhodobého finančného majetku</w:t>
      </w:r>
      <w:r>
        <w:rPr>
          <w:sz w:val="22"/>
          <w:szCs w:val="22"/>
        </w:rPr>
        <w:t xml:space="preserve"> za bežné účtovné obdobie a jeho umiestnenie v členení podľa položiek súvahy </w:t>
      </w:r>
      <w:r>
        <w:rPr>
          <w:b/>
          <w:sz w:val="22"/>
          <w:szCs w:val="22"/>
        </w:rPr>
        <w:t>a o zmenách</w:t>
      </w:r>
      <w:r>
        <w:rPr>
          <w:sz w:val="22"/>
          <w:szCs w:val="22"/>
        </w:rPr>
        <w:t>, ktoré sa uskutočnili v priebehu bežného účtovného obdobia v jednotlivých položkách dlhodobého  finančného  majetku: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5) Informácia o výške tvorby, zníženia a zúčtovania </w:t>
      </w:r>
      <w:r>
        <w:rPr>
          <w:sz w:val="22"/>
          <w:szCs w:val="22"/>
          <w:u w:val="single"/>
        </w:rPr>
        <w:t xml:space="preserve">opravných položiek k dlhodobému finančnému majetku </w:t>
      </w:r>
      <w:r>
        <w:rPr>
          <w:sz w:val="22"/>
          <w:szCs w:val="22"/>
        </w:rPr>
        <w:t>a opis dôvodu ich tvorby, zníženia a zaúčtovania: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1210"/>
        <w:gridCol w:w="1095"/>
        <w:gridCol w:w="1181"/>
        <w:gridCol w:w="1003"/>
        <w:gridCol w:w="916"/>
        <w:gridCol w:w="918"/>
        <w:gridCol w:w="915"/>
        <w:gridCol w:w="916"/>
        <w:gridCol w:w="917"/>
      </w:tblGrid>
      <w:tr>
        <w:trPr>
          <w:trHeight w:val="1168" w:hRule="atLeast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bež.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5" w:hRule="atLeast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90" w:hRule="atLeast"/>
        </w:trPr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12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  <w:u w:val="single"/>
        </w:rPr>
        <w:t>Komentár</w:t>
      </w:r>
      <w:r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1"/>
        <w:gridCol w:w="1130"/>
        <w:gridCol w:w="1280"/>
        <w:gridCol w:w="1276"/>
        <w:gridCol w:w="1416"/>
        <w:gridCol w:w="1"/>
        <w:gridCol w:w="1134"/>
        <w:gridCol w:w="1559"/>
      </w:tblGrid>
      <w:tr>
        <w:trPr>
          <w:trHeight w:val="399" w:hRule="atLeast"/>
        </w:trPr>
        <w:tc>
          <w:tcPr>
            <w:tcW w:w="177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>
        <w:trPr>
          <w:trHeight w:val="761" w:hRule="atLeast"/>
        </w:trPr>
        <w:tc>
          <w:tcPr>
            <w:tcW w:w="177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3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>
        <w:trPr>
          <w:trHeight w:val="283" w:hRule="atLeast"/>
        </w:trPr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rFonts w:ascii="Arial" w:hAnsi="Arial"/>
          <w:sz w:val="16"/>
        </w:rPr>
      </w:pPr>
      <w:r>
        <w:rPr>
          <w:rFonts w:ascii="Arial" w:hAnsi="Arial"/>
          <w:sz w:val="16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6) Prehľad o významných položkách </w:t>
      </w:r>
      <w:r>
        <w:rPr>
          <w:sz w:val="22"/>
          <w:szCs w:val="22"/>
          <w:u w:val="single"/>
        </w:rPr>
        <w:t>krátkodobého finančného majetku</w:t>
      </w:r>
      <w:r>
        <w:rPr>
          <w:sz w:val="22"/>
          <w:szCs w:val="22"/>
        </w:rPr>
        <w:t xml:space="preserve"> a o ocenení krátkodobého finančného majetku  </w:t>
      </w:r>
      <w:r>
        <w:rPr>
          <w:b/>
          <w:sz w:val="22"/>
          <w:szCs w:val="22"/>
        </w:rPr>
        <w:t>reálnou hodnotou</w:t>
      </w:r>
      <w:r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9250" w:type="dxa"/>
        <w:jc w:val="left"/>
        <w:tblInd w:w="8" w:type="dxa"/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84"/>
        <w:gridCol w:w="2109"/>
        <w:gridCol w:w="1422"/>
        <w:gridCol w:w="1451"/>
        <w:gridCol w:w="2184"/>
      </w:tblGrid>
      <w:tr>
        <w:trPr/>
        <w:tc>
          <w:tcPr>
            <w:tcW w:w="2084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2109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422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Prírastky</w:t>
            </w:r>
          </w:p>
        </w:tc>
        <w:tc>
          <w:tcPr>
            <w:tcW w:w="1451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Úbytky</w:t>
            </w:r>
          </w:p>
        </w:tc>
        <w:tc>
          <w:tcPr>
            <w:tcW w:w="2184" w:type="dxa"/>
            <w:tcBorders/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Stav na konci bežného účtovného obdobia</w:t>
            </w:r>
          </w:p>
        </w:tc>
      </w:tr>
      <w:tr>
        <w:trPr/>
        <w:tc>
          <w:tcPr>
            <w:tcW w:w="2084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Majetkové cenné papiere na obchodovanie</w:t>
            </w:r>
          </w:p>
        </w:tc>
        <w:tc>
          <w:tcPr>
            <w:tcW w:w="2109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22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84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084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2109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22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84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084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2109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22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84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084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Ostatné realizovateľné cenné papiere</w:t>
            </w:r>
          </w:p>
        </w:tc>
        <w:tc>
          <w:tcPr>
            <w:tcW w:w="2109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22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84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>
          <w:trHeight w:val="352" w:hRule="atLeast"/>
        </w:trPr>
        <w:tc>
          <w:tcPr>
            <w:tcW w:w="2084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2109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22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184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084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2109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422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  <w:tc>
          <w:tcPr>
            <w:tcW w:w="2184" w:type="dxa"/>
            <w:tcBorders/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9249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87"/>
        <w:gridCol w:w="1737"/>
        <w:gridCol w:w="2887"/>
        <w:gridCol w:w="2137"/>
      </w:tblGrid>
      <w:tr>
        <w:trPr>
          <w:trHeight w:val="662" w:hRule="atLeast"/>
        </w:trPr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127" w:hRule="atLeast"/>
        </w:trPr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7) Prehľad  </w:t>
      </w:r>
      <w:r>
        <w:rPr>
          <w:sz w:val="22"/>
          <w:szCs w:val="22"/>
          <w:u w:val="single"/>
        </w:rPr>
        <w:t>opravných položiek k zásobám</w:t>
      </w:r>
      <w:r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Údaje o vývoji opravných položiek (OP) k zásobám </w:t>
      </w:r>
    </w:p>
    <w:tbl>
      <w:tblPr>
        <w:tblW w:w="9284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6"/>
        <w:gridCol w:w="1701"/>
        <w:gridCol w:w="1276"/>
        <w:gridCol w:w="1277"/>
        <w:gridCol w:w="1277"/>
        <w:gridCol w:w="1556"/>
      </w:tblGrid>
      <w:tr>
        <w:trPr/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>
          <w:trHeight w:val="127" w:hRule="atLeast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23" w:hRule="atLeast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41" w:hRule="atLeast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9" w:hRule="atLeast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85" w:hRule="atLeast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8) </w:t>
      </w:r>
      <w:r>
        <w:rPr>
          <w:sz w:val="22"/>
          <w:szCs w:val="22"/>
          <w:u w:val="single"/>
        </w:rPr>
        <w:t>Opis významných pohľadávok</w:t>
      </w:r>
      <w:r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 xml:space="preserve">9) Prehľad </w:t>
      </w:r>
      <w:r>
        <w:rPr>
          <w:sz w:val="22"/>
          <w:szCs w:val="22"/>
          <w:u w:val="single"/>
        </w:rPr>
        <w:t>opravných položiek k pohľadávkam</w:t>
      </w:r>
      <w:r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 - bez náplne</w:t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6"/>
        <w:gridCol w:w="1701"/>
        <w:gridCol w:w="1276"/>
        <w:gridCol w:w="1277"/>
        <w:gridCol w:w="1277"/>
        <w:gridCol w:w="1556"/>
      </w:tblGrid>
      <w:tr>
        <w:trPr/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16" w:hRule="atLeast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9" w:hRule="atLeast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84" w:hRule="atLeast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2" w:hRule="atLeast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sz w:val="22"/>
          <w:szCs w:val="22"/>
        </w:rPr>
        <w:t xml:space="preserve">10) </w:t>
      </w:r>
      <w:r>
        <w:rPr>
          <w:sz w:val="22"/>
          <w:szCs w:val="22"/>
          <w:u w:val="single"/>
        </w:rPr>
        <w:t>Prehľad  pohľadávok do lehoty splatnosti a po lehote splatnosti: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9250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08"/>
        <w:gridCol w:w="2762"/>
        <w:gridCol w:w="3380"/>
      </w:tblGrid>
      <w:tr>
        <w:trPr>
          <w:trHeight w:val="397" w:hRule="atLeast"/>
        </w:trPr>
        <w:tc>
          <w:tcPr>
            <w:tcW w:w="31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>
        <w:trPr/>
        <w:tc>
          <w:tcPr>
            <w:tcW w:w="31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>
        <w:trPr>
          <w:trHeight w:val="194" w:hRule="atLeast"/>
        </w:trPr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sz w:val="22"/>
                <w:szCs w:val="22"/>
              </w:rPr>
              <w:t>4084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sz w:val="22"/>
                <w:szCs w:val="22"/>
              </w:rPr>
              <w:t>4084</w:t>
            </w:r>
          </w:p>
        </w:tc>
      </w:tr>
      <w:tr>
        <w:trPr/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b/>
                <w:sz w:val="22"/>
                <w:szCs w:val="22"/>
              </w:rPr>
              <w:t>4084</w:t>
            </w:r>
          </w:p>
        </w:tc>
        <w:tc>
          <w:tcPr>
            <w:tcW w:w="3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/>
            </w:pPr>
            <w:r>
              <w:rPr>
                <w:b/>
                <w:sz w:val="22"/>
                <w:szCs w:val="22"/>
              </w:rPr>
              <w:t>4084</w:t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 xml:space="preserve">11) Prehľad významných položiek </w:t>
      </w:r>
      <w:r>
        <w:rPr>
          <w:sz w:val="22"/>
          <w:szCs w:val="22"/>
          <w:u w:val="single"/>
        </w:rPr>
        <w:t>časového rozlíšenia aktív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nákladov budúcich období (účet 381) a príjmov budúcich období (účet 385):</w:t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12) Opis a výška zmien </w:t>
      </w:r>
      <w:r>
        <w:rPr>
          <w:sz w:val="22"/>
          <w:szCs w:val="22"/>
          <w:u w:val="single"/>
        </w:rPr>
        <w:t>vlastných zdrojov krytia neobežného majetku a obežného majetku</w:t>
      </w:r>
      <w:r>
        <w:rPr>
          <w:sz w:val="22"/>
          <w:szCs w:val="22"/>
        </w:rPr>
        <w:t xml:space="preserve"> podľa položiek súvahy za bežné účtovné obdobie, a to 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ind w:left="641" w:hanging="357"/>
        <w:rPr>
          <w:sz w:val="22"/>
          <w:szCs w:val="22"/>
        </w:rPr>
      </w:pPr>
      <w:r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ind w:left="641" w:hanging="357"/>
        <w:rPr>
          <w:sz w:val="22"/>
          <w:szCs w:val="22"/>
        </w:rPr>
      </w:pPr>
      <w:r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Údaje o 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9250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99"/>
        <w:gridCol w:w="1788"/>
        <w:gridCol w:w="1344"/>
        <w:gridCol w:w="1182"/>
        <w:gridCol w:w="1302"/>
        <w:gridCol w:w="1734"/>
      </w:tblGrid>
      <w:tr>
        <w:trPr/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>
          <w:trHeight w:val="391" w:hRule="atLeast"/>
        </w:trPr>
        <w:tc>
          <w:tcPr>
            <w:tcW w:w="924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>
        <w:trPr>
          <w:trHeight w:val="391" w:hRule="atLeast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3174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3174</w:t>
            </w:r>
          </w:p>
        </w:tc>
      </w:tr>
      <w:tr>
        <w:trPr/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924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>
        <w:trPr>
          <w:trHeight w:val="391" w:hRule="atLeast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2"/>
                <w:szCs w:val="22"/>
              </w:rPr>
              <w:t>6238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2"/>
                <w:szCs w:val="22"/>
              </w:rPr>
              <w:t>4148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2"/>
                <w:szCs w:val="22"/>
              </w:rPr>
              <w:t>10386</w:t>
            </w:r>
          </w:p>
        </w:tc>
      </w:tr>
      <w:tr>
        <w:trPr/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2"/>
                <w:szCs w:val="22"/>
              </w:rPr>
              <w:t>4148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2"/>
                <w:szCs w:val="22"/>
              </w:rPr>
              <w:t>9081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2"/>
                <w:szCs w:val="22"/>
              </w:rPr>
              <w:t>4148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2"/>
                <w:szCs w:val="22"/>
              </w:rPr>
              <w:t>9081</w:t>
            </w:r>
          </w:p>
        </w:tc>
      </w:tr>
      <w:tr>
        <w:trPr>
          <w:trHeight w:val="391" w:hRule="atLeast"/>
        </w:trPr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22"/>
                <w:szCs w:val="22"/>
              </w:rPr>
              <w:t>13560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22"/>
                <w:szCs w:val="22"/>
              </w:rPr>
              <w:t>13229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22"/>
                <w:szCs w:val="22"/>
              </w:rPr>
              <w:t>4148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 w:val="22"/>
                <w:szCs w:val="22"/>
              </w:rPr>
              <w:t>22641</w:t>
            </w:r>
          </w:p>
        </w:tc>
      </w:tr>
    </w:tbl>
    <w:p>
      <w:pPr>
        <w:pStyle w:val="Normal"/>
        <w:spacing w:lineRule="auto" w:line="240" w:before="0" w:after="120"/>
        <w:ind w:left="1077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13) Informácia </w:t>
      </w:r>
      <w:r>
        <w:rPr>
          <w:sz w:val="22"/>
          <w:szCs w:val="22"/>
          <w:u w:val="single"/>
        </w:rPr>
        <w:t>o rozdelení účtovného zisku</w:t>
      </w:r>
      <w:r>
        <w:rPr>
          <w:sz w:val="22"/>
          <w:szCs w:val="22"/>
        </w:rPr>
        <w:t xml:space="preserve"> alebo vysporiadaní účtovnej straty vykázanej v minulých účtovných obdobiach: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00" w:type="pct"/>
        <w:jc w:val="left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8"/>
        <w:gridCol w:w="2914"/>
      </w:tblGrid>
      <w:tr>
        <w:trPr>
          <w:trHeight w:val="765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2"/>
                <w:szCs w:val="22"/>
              </w:rPr>
              <w:t>4148</w:t>
            </w:r>
          </w:p>
        </w:tc>
      </w:tr>
      <w:tr>
        <w:trPr>
          <w:trHeight w:val="330" w:hRule="atLeast"/>
        </w:trPr>
        <w:tc>
          <w:tcPr>
            <w:tcW w:w="6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2"/>
                <w:szCs w:val="22"/>
              </w:rPr>
              <w:t>4148</w:t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základného imania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rezervného fondu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ostatných fondov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14a) Opis a výška cudzích zdrojov, a to - údaje o jednotlivých </w:t>
      </w:r>
      <w:r>
        <w:rPr>
          <w:sz w:val="22"/>
          <w:szCs w:val="22"/>
          <w:u w:val="single"/>
        </w:rPr>
        <w:t>druhoch rezerv</w:t>
      </w:r>
      <w:r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Údaje o  tvorbe a použití rezerv</w:t>
      </w:r>
    </w:p>
    <w:tbl>
      <w:tblPr>
        <w:tblW w:w="9108" w:type="dxa"/>
        <w:jc w:val="left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68"/>
        <w:gridCol w:w="1687"/>
        <w:gridCol w:w="1236"/>
        <w:gridCol w:w="1243"/>
        <w:gridCol w:w="1383"/>
        <w:gridCol w:w="1690"/>
      </w:tblGrid>
      <w:tr>
        <w:trPr/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/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41" w:hRule="atLeast"/>
        </w:trPr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rPr/>
      </w:pPr>
      <w:r>
        <w:rPr>
          <w:sz w:val="22"/>
          <w:szCs w:val="22"/>
        </w:rPr>
        <w:t xml:space="preserve">14b) Údaje o významných položkách na účtoch </w:t>
      </w:r>
      <w:r>
        <w:rPr>
          <w:sz w:val="22"/>
          <w:szCs w:val="22"/>
          <w:u w:val="single"/>
        </w:rPr>
        <w:t>325-Ostatné záväzky a 379-Iné záväzky</w:t>
      </w:r>
      <w:r>
        <w:rPr>
          <w:sz w:val="22"/>
          <w:szCs w:val="22"/>
        </w:rPr>
        <w:t>; uvádza sa začiatočný stav, prírastky, úbytky a konečný zostatok podľa jednotlivých druhov  záväzkov:</w:t>
      </w:r>
    </w:p>
    <w:p>
      <w:pPr>
        <w:pStyle w:val="Normal"/>
        <w:spacing w:lineRule="auto" w:line="240" w:before="0" w:after="0"/>
        <w:rPr/>
      </w:pPr>
      <w:r>
        <w:rPr>
          <w:sz w:val="22"/>
          <w:szCs w:val="22"/>
        </w:rPr>
        <w:t xml:space="preserve">325 – Ostatné záväzky – PS </w:t>
      </w:r>
      <w:r>
        <w:rPr>
          <w:sz w:val="22"/>
          <w:szCs w:val="22"/>
        </w:rPr>
        <w:t>8</w:t>
      </w:r>
      <w:r>
        <w:rPr>
          <w:sz w:val="22"/>
          <w:szCs w:val="22"/>
        </w:rPr>
        <w:t>.</w:t>
      </w:r>
      <w:r>
        <w:rPr>
          <w:sz w:val="22"/>
          <w:szCs w:val="22"/>
        </w:rPr>
        <w:t>462</w:t>
      </w:r>
      <w:r>
        <w:rPr>
          <w:sz w:val="22"/>
          <w:szCs w:val="22"/>
        </w:rPr>
        <w:t xml:space="preserve"> E, prírastok </w:t>
      </w:r>
      <w:r>
        <w:rPr>
          <w:sz w:val="22"/>
          <w:szCs w:val="22"/>
        </w:rPr>
        <w:t>20</w:t>
      </w:r>
      <w:r>
        <w:rPr>
          <w:sz w:val="22"/>
          <w:szCs w:val="22"/>
        </w:rPr>
        <w:t>.</w:t>
      </w:r>
      <w:r>
        <w:rPr>
          <w:sz w:val="22"/>
          <w:szCs w:val="22"/>
        </w:rPr>
        <w:t>823</w:t>
      </w:r>
      <w:r>
        <w:rPr>
          <w:sz w:val="22"/>
          <w:szCs w:val="22"/>
        </w:rPr>
        <w:t xml:space="preserve"> E, úbytok </w:t>
      </w:r>
      <w:r>
        <w:rPr>
          <w:sz w:val="22"/>
          <w:szCs w:val="22"/>
        </w:rPr>
        <w:t>26</w:t>
      </w:r>
      <w:r>
        <w:rPr>
          <w:sz w:val="22"/>
          <w:szCs w:val="22"/>
        </w:rPr>
        <w:t>.</w:t>
      </w:r>
      <w:r>
        <w:rPr>
          <w:sz w:val="22"/>
          <w:szCs w:val="22"/>
        </w:rPr>
        <w:t>316</w:t>
      </w:r>
      <w:r>
        <w:rPr>
          <w:sz w:val="22"/>
          <w:szCs w:val="22"/>
        </w:rPr>
        <w:t xml:space="preserve"> E, KS </w:t>
      </w:r>
      <w:r>
        <w:rPr>
          <w:sz w:val="22"/>
          <w:szCs w:val="22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</w:rPr>
        <w:t>969</w:t>
      </w:r>
      <w:r>
        <w:rPr>
          <w:sz w:val="22"/>
          <w:szCs w:val="22"/>
        </w:rPr>
        <w:t xml:space="preserve"> E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 xml:space="preserve">14c,d) Prehľad  o výške </w:t>
      </w:r>
      <w:r>
        <w:rPr>
          <w:sz w:val="22"/>
          <w:szCs w:val="22"/>
          <w:u w:val="single"/>
        </w:rPr>
        <w:t>záväzkov do lehoty splatnosti a po lehote splatnosti</w:t>
      </w:r>
      <w:r>
        <w:rPr>
          <w:sz w:val="22"/>
          <w:szCs w:val="22"/>
        </w:rPr>
        <w:t>. Prehľad o výške záväzkov podľa zostatkovej doby splatnosti v členení podľa položiek súvahy – (</w:t>
        <w:tab/>
        <w:t>1) do jedného roka vrátane, (</w:t>
        <w:tab/>
        <w:t>2) od jedného roka do piatich rokov vrátane, (3) viac ako päť rokov:</w:t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Údaje o záväzkoch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108" w:type="dxa"/>
        <w:jc w:val="left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17"/>
        <w:gridCol w:w="2216"/>
        <w:gridCol w:w="2175"/>
      </w:tblGrid>
      <w:tr>
        <w:trPr/>
        <w:tc>
          <w:tcPr>
            <w:tcW w:w="47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>
        <w:trPr/>
        <w:tc>
          <w:tcPr>
            <w:tcW w:w="471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>
        <w:trPr>
          <w:trHeight w:val="184" w:hRule="atLeast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</w:r>
          </w:p>
        </w:tc>
      </w:tr>
      <w:tr>
        <w:trPr>
          <w:trHeight w:val="391" w:hRule="atLeast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22"/>
                <w:szCs w:val="22"/>
                <w:lang w:eastAsia="sk-SK"/>
              </w:rPr>
              <w:t>3069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22"/>
                <w:szCs w:val="22"/>
                <w:lang w:eastAsia="sk-SK"/>
              </w:rPr>
              <w:t>8462</w:t>
            </w:r>
          </w:p>
        </w:tc>
      </w:tr>
      <w:tr>
        <w:trPr>
          <w:trHeight w:val="112" w:hRule="atLeast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sz w:val="22"/>
                <w:szCs w:val="22"/>
              </w:rPr>
              <w:t>3069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sz w:val="22"/>
                <w:szCs w:val="22"/>
              </w:rPr>
              <w:t>8462</w:t>
            </w:r>
          </w:p>
        </w:tc>
      </w:tr>
      <w:tr>
        <w:trPr>
          <w:trHeight w:val="128" w:hRule="atLeast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22"/>
                <w:szCs w:val="22"/>
              </w:rPr>
              <w:t>39</w:t>
            </w:r>
          </w:p>
        </w:tc>
      </w:tr>
      <w:tr>
        <w:trPr>
          <w:trHeight w:val="478" w:hRule="atLeast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6" w:hRule="atLeast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sz w:val="22"/>
                <w:szCs w:val="22"/>
              </w:rPr>
              <w:t>39</w:t>
            </w:r>
          </w:p>
        </w:tc>
      </w:tr>
      <w:tr>
        <w:trPr>
          <w:trHeight w:val="409" w:hRule="atLeast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sz w:val="22"/>
                <w:szCs w:val="22"/>
              </w:rPr>
              <w:t>3108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sz w:val="22"/>
                <w:szCs w:val="22"/>
              </w:rPr>
              <w:t>8501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14e) Prehľad </w:t>
      </w:r>
      <w:r>
        <w:rPr>
          <w:sz w:val="22"/>
          <w:szCs w:val="22"/>
          <w:u w:val="single"/>
        </w:rPr>
        <w:t>o záväzkoch zo sociálneho fondu</w:t>
      </w:r>
      <w:r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Údaje o vývoji sociálneho fondu</w:t>
      </w:r>
    </w:p>
    <w:tbl>
      <w:tblPr>
        <w:tblW w:w="9108" w:type="dxa"/>
        <w:jc w:val="left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96"/>
        <w:gridCol w:w="2798"/>
        <w:gridCol w:w="2914"/>
      </w:tblGrid>
      <w:tr>
        <w:trPr/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>
        <w:trPr>
          <w:trHeight w:val="319" w:hRule="atLeast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sz w:val="22"/>
                <w:szCs w:val="22"/>
              </w:rPr>
              <w:t>39</w:t>
            </w:r>
          </w:p>
        </w:tc>
      </w:tr>
      <w:tr>
        <w:trPr>
          <w:trHeight w:val="271" w:hRule="atLeast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79" w:hRule="atLeast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52" w:hRule="atLeast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64" w:hRule="atLeast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sz w:val="22"/>
                <w:szCs w:val="22"/>
              </w:rPr>
              <w:t>39</w:t>
            </w:r>
          </w:p>
        </w:tc>
      </w:tr>
    </w:tbl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 xml:space="preserve">14f) </w:t>
      </w:r>
      <w:r>
        <w:rPr>
          <w:sz w:val="22"/>
          <w:szCs w:val="22"/>
          <w:u w:val="single"/>
        </w:rPr>
        <w:t>Prehľad o bankových úveroch, pôžičkách a návratných finančných výpomociach</w:t>
      </w:r>
      <w:r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9108" w:type="dxa"/>
        <w:jc w:val="left"/>
        <w:tblInd w:w="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45"/>
        <w:gridCol w:w="766"/>
        <w:gridCol w:w="948"/>
        <w:gridCol w:w="1158"/>
        <w:gridCol w:w="1520"/>
        <w:gridCol w:w="1428"/>
        <w:gridCol w:w="2042"/>
      </w:tblGrid>
      <w:tr>
        <w:trPr/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240"/>
        <w:rPr>
          <w:sz w:val="22"/>
          <w:szCs w:val="22"/>
        </w:rPr>
      </w:pPr>
      <w:r>
        <w:rPr>
          <w:sz w:val="22"/>
          <w:szCs w:val="22"/>
        </w:rPr>
        <w:t xml:space="preserve">14g) Prehľad o 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výdavkov budúcich období</w:t>
      </w:r>
      <w:r>
        <w:rPr>
          <w:sz w:val="22"/>
          <w:szCs w:val="22"/>
        </w:rPr>
        <w:t xml:space="preserve"> (účet 383):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15) Prehľad o 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výnosov budúcich období (účet 384)</w:t>
      </w:r>
      <w:r>
        <w:rPr>
          <w:sz w:val="22"/>
          <w:szCs w:val="22"/>
        </w:rPr>
        <w:t xml:space="preserve"> v členení najmä na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>
      <w:pPr>
        <w:pStyle w:val="Normal"/>
        <w:spacing w:lineRule="auto" w:line="240" w:before="120" w:after="240"/>
        <w:rPr/>
      </w:pPr>
      <w:r>
        <w:rPr>
          <w:sz w:val="22"/>
          <w:szCs w:val="22"/>
        </w:rPr>
        <w:t>e) zostatkovú hodnotu dlhodobého majetku obstaraného z podielu zaplatenej dane.</w:t>
      </w:r>
    </w:p>
    <w:p>
      <w:pPr>
        <w:pStyle w:val="Normal"/>
        <w:spacing w:lineRule="auto" w:line="240" w:before="120" w:after="240"/>
        <w:rPr/>
      </w:pPr>
      <w:r>
        <w:rPr>
          <w:sz w:val="22"/>
          <w:szCs w:val="22"/>
        </w:rPr>
        <w:t>f) zaplatené príspevky členov už na rok 2023 – 2.374 Eur</w:t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Údaje o významných položkách výnosov budúcich období (účet 384)</w:t>
      </w:r>
    </w:p>
    <w:tbl>
      <w:tblPr>
        <w:tblW w:w="9250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59"/>
        <w:gridCol w:w="2493"/>
        <w:gridCol w:w="1413"/>
        <w:gridCol w:w="1357"/>
        <w:gridCol w:w="1928"/>
      </w:tblGrid>
      <w:tr>
        <w:trPr/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2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ind w:left="284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16) </w:t>
      </w:r>
      <w:r>
        <w:rPr>
          <w:sz w:val="22"/>
          <w:szCs w:val="22"/>
          <w:u w:val="single"/>
        </w:rPr>
        <w:t>Údaje o majetku prenajatom formou finančného prenájmu (z pohľadu nájomcu):</w:t>
      </w:r>
    </w:p>
    <w:p>
      <w:pPr>
        <w:pStyle w:val="Normal"/>
        <w:spacing w:lineRule="auto" w:line="240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>
      <w:pPr>
        <w:pStyle w:val="Normal"/>
        <w:spacing w:lineRule="auto" w:line="240" w:before="0" w:after="0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>
      <w:pPr>
        <w:pStyle w:val="Normal"/>
        <w:spacing w:lineRule="auto" w:line="240" w:before="0" w:after="0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>
      <w:pPr>
        <w:pStyle w:val="Normal"/>
        <w:spacing w:lineRule="auto" w:line="240" w:before="0" w:after="0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>3. viac ako päť rokov.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b/>
          <w:sz w:val="22"/>
          <w:szCs w:val="22"/>
        </w:rPr>
        <w:t>Údaje o majetku prenajatom formou finančného prenájmu (nájomca)</w:t>
      </w:r>
    </w:p>
    <w:tbl>
      <w:tblPr>
        <w:tblW w:w="9250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04"/>
        <w:gridCol w:w="2156"/>
        <w:gridCol w:w="1353"/>
        <w:gridCol w:w="1714"/>
        <w:gridCol w:w="2023"/>
      </w:tblGrid>
      <w:tr>
        <w:trPr>
          <w:trHeight w:val="735" w:hRule="atLeast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predchádz. roka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>
          <w:trHeight w:val="374" w:hRule="atLeast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12" w:hRule="atLeast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240"/>
        <w:jc w:val="center"/>
        <w:outlineLvl w:val="0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IV - INFORMÁCIE, KTORÉ DOPLŇUJÚ A VYSVETĽUJÚ ÚDAJE VO VÝKAZE ZISKOV A STRÁT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sz w:val="22"/>
          <w:szCs w:val="22"/>
          <w:u w:val="single"/>
        </w:rPr>
        <w:t>Prehľad tržieb za vlastné výkony a tovar</w:t>
      </w:r>
      <w:r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- tržba z poskytnutej reklamy určenej na charitatívne účely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 xml:space="preserve">2) Opis a vyčíslenie hodnoty významných </w:t>
      </w:r>
      <w:r>
        <w:rPr>
          <w:sz w:val="22"/>
          <w:szCs w:val="22"/>
          <w:u w:val="single"/>
        </w:rPr>
        <w:t>položiek prijatých darov</w:t>
      </w:r>
      <w:r>
        <w:rPr>
          <w:sz w:val="22"/>
          <w:szCs w:val="22"/>
        </w:rPr>
        <w:t>, osobitných výnosov, zákonných poplatkov a iných ostatných výnosov:</w:t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projekt podpory v športe NŠC – 5.918 Eur</w:t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ZSL, z kapitoly Šport mládeže ZSL – 5.940 Eur</w:t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 xml:space="preserve">(3) </w:t>
      </w:r>
      <w:r>
        <w:rPr>
          <w:sz w:val="22"/>
          <w:szCs w:val="22"/>
          <w:u w:val="single"/>
        </w:rPr>
        <w:t>Prehľad dotácií a grantov</w:t>
      </w:r>
      <w:r>
        <w:rPr>
          <w:sz w:val="22"/>
          <w:szCs w:val="22"/>
        </w:rPr>
        <w:t>, ktoré účtovná jednotka prijala v priebehu bežného účtovného obdobia: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prijatá dotácia Mesto Poprad z rozpočtu mesta – 400 Eur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4) Opis a suma významných </w:t>
      </w:r>
      <w:r>
        <w:rPr>
          <w:sz w:val="22"/>
          <w:szCs w:val="22"/>
          <w:u w:val="single"/>
        </w:rPr>
        <w:t>položiek finančných výnosov</w:t>
      </w:r>
      <w:r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 xml:space="preserve">5) Opis a vyčíslenie hodnoty </w:t>
      </w:r>
      <w:r>
        <w:rPr>
          <w:sz w:val="22"/>
          <w:szCs w:val="22"/>
          <w:u w:val="single"/>
        </w:rPr>
        <w:t>významných položiek nákladov</w:t>
      </w:r>
      <w:r>
        <w:rPr>
          <w:sz w:val="22"/>
          <w:szCs w:val="22"/>
        </w:rPr>
        <w:t>, nákladov na ostatné služby, osobitných nákladov a iných ostatných nákladov:</w:t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>- Ostatné služby trén</w:t>
      </w:r>
      <w:r>
        <w:rPr>
          <w:sz w:val="22"/>
          <w:szCs w:val="22"/>
        </w:rPr>
        <w:t>ingové aktivity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8</w:t>
      </w:r>
      <w:r>
        <w:rPr>
          <w:sz w:val="22"/>
          <w:szCs w:val="22"/>
        </w:rPr>
        <w:t>.</w:t>
      </w:r>
      <w:r>
        <w:rPr>
          <w:sz w:val="22"/>
          <w:szCs w:val="22"/>
        </w:rPr>
        <w:t>374</w:t>
      </w:r>
      <w:r>
        <w:rPr>
          <w:sz w:val="22"/>
          <w:szCs w:val="22"/>
        </w:rPr>
        <w:t xml:space="preserve"> Eur</w:t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>- Osob</w:t>
      </w:r>
      <w:r>
        <w:rPr>
          <w:sz w:val="22"/>
          <w:szCs w:val="22"/>
        </w:rPr>
        <w:t>it</w:t>
      </w:r>
      <w:r>
        <w:rPr>
          <w:sz w:val="22"/>
          <w:szCs w:val="22"/>
        </w:rPr>
        <w:t>né náklady – sústredenia, kempy,</w:t>
      </w:r>
      <w:r>
        <w:rPr>
          <w:sz w:val="22"/>
          <w:szCs w:val="22"/>
        </w:rPr>
        <w:t xml:space="preserve"> štartovné na pretekoch – 41</w:t>
      </w:r>
      <w:r>
        <w:rPr>
          <w:sz w:val="22"/>
          <w:szCs w:val="22"/>
        </w:rPr>
        <w:t>.</w:t>
      </w:r>
      <w:r>
        <w:rPr>
          <w:sz w:val="22"/>
          <w:szCs w:val="22"/>
        </w:rPr>
        <w:t>085 Eur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6) Prehľad o účele a výške použitia </w:t>
      </w:r>
      <w:r>
        <w:rPr>
          <w:sz w:val="22"/>
          <w:szCs w:val="22"/>
          <w:u w:val="single"/>
        </w:rPr>
        <w:t>podielu zaplatenej dane</w:t>
      </w:r>
      <w:r>
        <w:rPr>
          <w:sz w:val="22"/>
          <w:szCs w:val="22"/>
        </w:rPr>
        <w:t xml:space="preserve"> za bežné účtovné obdobie:</w:t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52"/>
        <w:gridCol w:w="2467"/>
        <w:gridCol w:w="2331"/>
      </w:tblGrid>
      <w:tr>
        <w:trPr/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bezprostredne predchádzajúceho účtovného obdobia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>
        <w:trPr>
          <w:trHeight w:val="397" w:hRule="atLeast"/>
        </w:trPr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22"/>
                <w:szCs w:val="22"/>
              </w:rPr>
              <w:t xml:space="preserve">podpora a rozvoj  športu </w:t>
            </w:r>
            <w:r>
              <w:rPr>
                <w:sz w:val="22"/>
                <w:szCs w:val="22"/>
              </w:rPr>
              <w:t>detí a mládeže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22"/>
                <w:szCs w:val="22"/>
              </w:rPr>
              <w:t>1975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22"/>
                <w:szCs w:val="22"/>
              </w:rPr>
              <w:t>4391</w:t>
            </w:r>
          </w:p>
        </w:tc>
      </w:tr>
      <w:tr>
        <w:trPr>
          <w:trHeight w:val="397" w:hRule="atLeast"/>
        </w:trPr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7) Opis a suma významných položiek </w:t>
      </w:r>
      <w:r>
        <w:rPr>
          <w:sz w:val="22"/>
          <w:szCs w:val="22"/>
          <w:u w:val="single"/>
        </w:rPr>
        <w:t>finančných nákladov</w:t>
      </w:r>
      <w:r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 xml:space="preserve">8) V účtovnej jednotke, ktorá má povinnosť </w:t>
      </w:r>
      <w:r>
        <w:rPr>
          <w:sz w:val="22"/>
          <w:szCs w:val="22"/>
          <w:u w:val="single"/>
        </w:rPr>
        <w:t>overenia účtovnej závierky audítorom</w:t>
      </w:r>
      <w:r>
        <w:rPr>
          <w:sz w:val="22"/>
          <w:szCs w:val="22"/>
        </w:rPr>
        <w:t>, sa uvedie vymedzenie a suma nákladov za účtovné obdobie v členení na náklady:</w:t>
      </w:r>
    </w:p>
    <w:p>
      <w:pPr>
        <w:pStyle w:val="Normal"/>
        <w:spacing w:lineRule="auto" w:line="240" w:before="0" w:after="120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9250" w:type="dxa"/>
        <w:jc w:val="left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83"/>
        <w:gridCol w:w="2966"/>
      </w:tblGrid>
      <w:tr>
        <w:trPr>
          <w:trHeight w:val="164" w:hRule="atLeast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>
        <w:trPr/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20" w:hRule="atLeast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12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0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V – OPIS ÚDAJOV NA PODSÚVAHOVÝCH ÚČTOCH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položky: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VI – ĎALŠIE INFORMÁCIE</w:t>
      </w:r>
    </w:p>
    <w:p>
      <w:pPr>
        <w:pStyle w:val="Textopatrenia"/>
        <w:numPr>
          <w:ilvl w:val="0"/>
          <w:numId w:val="0"/>
        </w:numPr>
        <w:rPr/>
      </w:pPr>
      <w:r>
        <w:rPr/>
        <w:t xml:space="preserve">1) </w:t>
      </w:r>
      <w:r>
        <w:rPr>
          <w:u w:val="single"/>
        </w:rPr>
        <w:t>Opis a hodnota iných aktív</w:t>
      </w:r>
      <w:r>
        <w:rPr/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>
      <w:pPr>
        <w:pStyle w:val="Textopatrenia"/>
        <w:numPr>
          <w:ilvl w:val="0"/>
          <w:numId w:val="0"/>
        </w:numPr>
        <w:rPr/>
      </w:pPr>
      <w:r>
        <w:rPr/>
      </w:r>
    </w:p>
    <w:p>
      <w:pPr>
        <w:pStyle w:val="Textopatrenia"/>
        <w:numPr>
          <w:ilvl w:val="0"/>
          <w:numId w:val="0"/>
        </w:numPr>
        <w:rPr/>
      </w:pPr>
      <w:r>
        <w:rPr/>
        <w:t xml:space="preserve">2) </w:t>
      </w:r>
      <w:r>
        <w:rPr>
          <w:u w:val="single"/>
        </w:rPr>
        <w:t>Opis a hodnota iných pasív</w:t>
      </w:r>
      <w:r>
        <w:rPr/>
        <w:t xml:space="preserve">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0"/>
        </w:numPr>
        <w:rPr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0"/>
        </w:numPr>
        <w:rPr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numPr>
          <w:ilvl w:val="0"/>
          <w:numId w:val="0"/>
        </w:numPr>
        <w:rPr/>
      </w:pPr>
      <w:r>
        <w:rPr/>
      </w:r>
    </w:p>
    <w:p>
      <w:pPr>
        <w:pStyle w:val="Textopatrenia"/>
        <w:numPr>
          <w:ilvl w:val="0"/>
          <w:numId w:val="0"/>
        </w:numPr>
        <w:rPr/>
      </w:pPr>
      <w:r>
        <w:rPr/>
        <w:t xml:space="preserve">3) Opis významných položiek </w:t>
      </w:r>
      <w:r>
        <w:rPr>
          <w:u w:val="single"/>
        </w:rPr>
        <w:t>ostatných finančných povinností</w:t>
      </w:r>
      <w:r>
        <w:rPr/>
        <w:t>, ktoré sa nesledujú v účtovníctve a neuvádzajú sa v súvahe; pri každej položke sa uvádza jej opis, výška a údaj, či sa týka spriaznených osôb, a to:</w:t>
      </w:r>
    </w:p>
    <w:p>
      <w:pPr>
        <w:pStyle w:val="Textopatrenia"/>
        <w:numPr>
          <w:ilvl w:val="0"/>
          <w:numId w:val="4"/>
        </w:numPr>
        <w:spacing w:before="0" w:after="0"/>
        <w:ind w:left="227" w:hanging="227"/>
        <w:rPr/>
      </w:pPr>
      <w:r>
        <w:rPr/>
        <w:t>povinnosť z devízových termínovaných obchodov a iných finančných derivátov,</w:t>
      </w:r>
    </w:p>
    <w:p>
      <w:pPr>
        <w:pStyle w:val="Textopatrenia"/>
        <w:numPr>
          <w:ilvl w:val="0"/>
          <w:numId w:val="4"/>
        </w:numPr>
        <w:spacing w:before="0" w:after="0"/>
        <w:ind w:left="227" w:hanging="227"/>
        <w:rPr/>
      </w:pPr>
      <w:r>
        <w:rPr/>
        <w:t>povinnosť z opčných obchodov,</w:t>
      </w:r>
    </w:p>
    <w:p>
      <w:pPr>
        <w:pStyle w:val="Textopatrenia"/>
        <w:numPr>
          <w:ilvl w:val="0"/>
          <w:numId w:val="4"/>
        </w:numPr>
        <w:spacing w:before="0" w:after="0"/>
        <w:ind w:left="227" w:hanging="227"/>
        <w:rPr/>
      </w:pPr>
      <w:r>
        <w:rPr/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4"/>
        </w:numPr>
        <w:spacing w:before="0" w:after="0"/>
        <w:ind w:left="227" w:hanging="227"/>
        <w:rPr/>
      </w:pPr>
      <w:r>
        <w:rPr/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4"/>
        </w:numPr>
        <w:spacing w:before="0" w:after="0"/>
        <w:ind w:left="227" w:hanging="227"/>
        <w:rPr/>
      </w:pPr>
      <w:r>
        <w:rPr/>
        <w:t xml:space="preserve">iné povinnosti. 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  <w:t xml:space="preserve">4) Prehľad </w:t>
      </w:r>
      <w:r>
        <w:rPr>
          <w:sz w:val="22"/>
          <w:szCs w:val="22"/>
          <w:u w:val="single"/>
        </w:rPr>
        <w:t>nehnuteľných kultúrnych pamiatok</w:t>
      </w:r>
      <w:r>
        <w:rPr>
          <w:sz w:val="22"/>
          <w:szCs w:val="22"/>
        </w:rPr>
        <w:t>, ktoré sú v správe alebo vo vlastníctve účtovnej jednotky:</w:t>
      </w:r>
    </w:p>
    <w:p>
      <w:pPr>
        <w:pStyle w:val="Normal"/>
        <w:spacing w:lineRule="auto" w:line="240" w:before="0" w:after="1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20"/>
        <w:rPr/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Informácie o významných skutočnostiach</w:t>
      </w:r>
      <w:r>
        <w:rPr>
          <w:sz w:val="22"/>
          <w:szCs w:val="22"/>
        </w:rPr>
        <w:t xml:space="preserve">, ktoré nastali medzi dňom, ku ktorému sa zostavuje účtovná závierka a dňom jej zostavenia (tzv. </w:t>
      </w:r>
      <w:r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417" w:right="1417" w:header="709" w:top="1417" w:footer="709" w:bottom="1417" w:gutter="0"/>
      <w:pgNumType w:fmt="decimal"/>
      <w:formProt w:val="false"/>
      <w:titlePg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14</w:t>
    </w:r>
    <w:r>
      <w:fldChar w:fldCharType="end"/>
    </w:r>
  </w:p>
  <w:p>
    <w:pPr>
      <w:pStyle w:val="Pta"/>
      <w:tabs>
        <w:tab w:val="center" w:pos="4536" w:leader="none"/>
        <w:tab w:val="center" w:pos="5102" w:leader="none"/>
        <w:tab w:val="right" w:pos="9072" w:leader="none"/>
        <w:tab w:val="right" w:pos="10204" w:leader="none"/>
      </w:tabs>
      <w:spacing w:before="120" w:after="120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spacing w:before="120" w:after="120"/>
      <w:jc w:val="right"/>
      <w:rPr/>
    </w:pPr>
    <w:r>
      <w:rPr/>
    </w:r>
  </w:p>
  <w:p>
    <w:pPr>
      <w:pStyle w:val="Hlavik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  <w:sz w:val="22"/>
        <w:rFonts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  <w:rFonts w:cs="Wingdings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rFonts w:cs="Wingding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sz w:val="22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sz w:val="22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sz w:val="22"/>
        <w:rFonts w:cs="Wingdings"/>
      </w:rPr>
    </w:lvl>
  </w:abstractNum>
  <w:abstractNum w:abstractNumId="3">
    <w:lvl w:ilvl="0">
      <w:start w:val="1"/>
      <w:numFmt w:val="lowerLetter"/>
      <w:lvlText w:val="%1)"/>
      <w:lvlJc w:val="left"/>
      <w:pPr>
        <w:ind w:left="1797" w:hanging="360"/>
      </w:pPr>
    </w:lvl>
    <w:lvl w:ilvl="1">
      <w:start w:val="1"/>
      <w:numFmt w:val="lowerLetter"/>
      <w:lvlText w:val="%2."/>
      <w:lvlJc w:val="left"/>
      <w:pPr>
        <w:ind w:left="2517" w:hanging="360"/>
      </w:pPr>
    </w:lvl>
    <w:lvl w:ilvl="2">
      <w:start w:val="1"/>
      <w:numFmt w:val="lowerRoman"/>
      <w:lvlText w:val="%3."/>
      <w:lvlJc w:val="right"/>
      <w:pPr>
        <w:ind w:left="3237" w:hanging="180"/>
      </w:pPr>
    </w:lvl>
    <w:lvl w:ilvl="3">
      <w:start w:val="1"/>
      <w:numFmt w:val="decimal"/>
      <w:lvlText w:val="%4."/>
      <w:lvlJc w:val="left"/>
      <w:pPr>
        <w:ind w:left="3957" w:hanging="360"/>
      </w:pPr>
    </w:lvl>
    <w:lvl w:ilvl="4">
      <w:start w:val="1"/>
      <w:numFmt w:val="lowerLetter"/>
      <w:lvlText w:val="%5."/>
      <w:lvlJc w:val="left"/>
      <w:pPr>
        <w:ind w:left="4677" w:hanging="360"/>
      </w:pPr>
    </w:lvl>
    <w:lvl w:ilvl="5">
      <w:start w:val="1"/>
      <w:numFmt w:val="lowerRoman"/>
      <w:lvlText w:val="%6."/>
      <w:lvlJc w:val="right"/>
      <w:pPr>
        <w:ind w:left="5397" w:hanging="180"/>
      </w:pPr>
    </w:lvl>
    <w:lvl w:ilvl="6">
      <w:start w:val="1"/>
      <w:numFmt w:val="decimal"/>
      <w:lvlText w:val="%7."/>
      <w:lvlJc w:val="left"/>
      <w:pPr>
        <w:ind w:left="6117" w:hanging="360"/>
      </w:pPr>
    </w:lvl>
    <w:lvl w:ilvl="7">
      <w:start w:val="1"/>
      <w:numFmt w:val="lowerLetter"/>
      <w:lvlText w:val="%8."/>
      <w:lvlJc w:val="left"/>
      <w:pPr>
        <w:ind w:left="6837" w:hanging="360"/>
      </w:pPr>
    </w:lvl>
    <w:lvl w:ilvl="8">
      <w:start w:val="1"/>
      <w:numFmt w:val="lowerRoman"/>
      <w:lvlText w:val="%9."/>
      <w:lvlJc w:val="right"/>
      <w:pPr>
        <w:ind w:left="7557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225"/>
  <w:embedSystemFonts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"/>
      <w:color w:val="00000A"/>
      <w:sz w:val="20"/>
      <w:szCs w:val="24"/>
      <w:lang w:val="sk-SK" w:eastAsia="cs-CZ" w:bidi="ar-SA"/>
    </w:rPr>
  </w:style>
  <w:style w:type="paragraph" w:styleId="Nadpis1">
    <w:name w:val="Nadpis 1"/>
    <w:basedOn w:val="Normal"/>
    <w:link w:val="Nadpis1Char"/>
    <w:uiPriority w:val="99"/>
    <w:qFormat/>
    <w:rsid w:val="00d440d5"/>
    <w:pPr>
      <w:keepNext/>
      <w:spacing w:lineRule="auto" w:line="240"/>
      <w:jc w:val="center"/>
      <w:outlineLvl w:val="0"/>
    </w:pPr>
    <w:rPr>
      <w:b/>
      <w:bCs/>
      <w:lang w:eastAsia="sk-SK"/>
    </w:rPr>
  </w:style>
  <w:style w:type="paragraph" w:styleId="Nadpis2">
    <w:name w:val="Nadpis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locked/>
    <w:rPr>
      <w:rFonts w:ascii="Cambria" w:hAnsi="Cambria" w:eastAsia="" w:cs="Times New Roman" w:asciiTheme="majorHAnsi" w:eastAsiaTheme="majorEastAsia" w:hAnsiTheme="majorHAnsi"/>
      <w:b/>
      <w:bCs/>
      <w:sz w:val="32"/>
      <w:szCs w:val="32"/>
      <w:lang w:val="x-none" w:eastAsia="cs-CZ"/>
    </w:rPr>
  </w:style>
  <w:style w:type="character" w:styleId="Nadpis2Char" w:customStyle="1">
    <w:name w:val="Nadpis 2 Char"/>
    <w:basedOn w:val="DefaultParagraphFont"/>
    <w:link w:val="Nadpis2"/>
    <w:uiPriority w:val="9"/>
    <w:semiHidden/>
    <w:qFormat/>
    <w:locked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  <w:lang w:val="x-none" w:eastAsia="cs-CZ"/>
    </w:rPr>
  </w:style>
  <w:style w:type="character" w:styleId="TltlnzovChar115ptAntiqueOliveNiejeTun" w:customStyle="1">
    <w:name w:val="Štýl Štýl § názov Char + 115 pt + Antique Olive Nie je Tučné"/>
    <w:basedOn w:val="DefaultParagraphFont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locked/>
    <w:rPr>
      <w:rFonts w:ascii="Arial" w:hAnsi="Arial" w:cs="Arial"/>
      <w:sz w:val="24"/>
      <w:szCs w:val="24"/>
      <w:lang w:val="x-none" w:eastAsia="cs-CZ"/>
    </w:rPr>
  </w:style>
  <w:style w:type="character" w:styleId="Pagenumber">
    <w:name w:val="page number"/>
    <w:basedOn w:val="DefaultParagraphFont"/>
    <w:uiPriority w:val="99"/>
    <w:qFormat/>
    <w:rsid w:val="0072048d"/>
    <w:rPr>
      <w:rFonts w:cs="Times New Roman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e774eb"/>
    <w:rPr>
      <w:rFonts w:ascii="Tahoma" w:hAnsi="Tahoma" w:cs="Tahoma"/>
      <w:sz w:val="16"/>
      <w:szCs w:val="16"/>
      <w:lang w:val="x-non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rFonts w:cs="Times New Roman"/>
      <w:b w:val="false"/>
      <w:bCs w:val="false"/>
      <w:i w:val="false"/>
      <w:iCs w:val="false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  <w:b/>
      <w:bCs/>
      <w:i w:val="false"/>
      <w:iCs w:val="false"/>
    </w:rPr>
  </w:style>
  <w:style w:type="character" w:styleId="ListLabel5">
    <w:name w:val="ListLabel 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6">
    <w:name w:val="ListLabel 6"/>
    <w:qFormat/>
    <w:rPr>
      <w:rFonts w:eastAsia="Times New Roman" w:cs="Arial"/>
      <w:sz w:val="22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Arial"/>
      <w:b/>
      <w:bCs/>
      <w:i w:val="false"/>
      <w:iCs w:val="false"/>
      <w:sz w:val="24"/>
      <w:szCs w:val="24"/>
    </w:rPr>
  </w:style>
  <w:style w:type="character" w:styleId="ListLabel9">
    <w:name w:val="ListLabel 9"/>
    <w:qFormat/>
    <w:rPr>
      <w:rFonts w:cs="Arial"/>
      <w:sz w:val="22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Wingdings"/>
      <w:sz w:val="22"/>
    </w:rPr>
  </w:style>
  <w:style w:type="character" w:styleId="ListLabel12">
    <w:name w:val="ListLabel 12"/>
    <w:qFormat/>
    <w:rPr>
      <w:rFonts w:cs="Symbol"/>
    </w:rPr>
  </w:style>
  <w:style w:type="character" w:styleId="ListLabel13">
    <w:name w:val="ListLabel 13"/>
    <w:qFormat/>
    <w:rPr>
      <w:rFonts w:cs="Arial"/>
      <w:sz w:val="22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  <w:sz w:val="22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Arial"/>
      <w:sz w:val="22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  <w:sz w:val="22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Arial"/>
      <w:sz w:val="22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Wingdings"/>
      <w:sz w:val="22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Arial"/>
      <w:sz w:val="22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  <w:sz w:val="22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Arial"/>
      <w:sz w:val="22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  <w:sz w:val="22"/>
    </w:rPr>
  </w:style>
  <w:style w:type="character" w:styleId="ListLabel32">
    <w:name w:val="ListLabel 32"/>
    <w:qFormat/>
    <w:rPr>
      <w:rFonts w:cs="Symbol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Päta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/>
  </w:style>
  <w:style w:type="paragraph" w:styleId="Normlny1" w:customStyle="1">
    <w:name w:val="Normálny1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"/>
      <w:color w:val="00000A"/>
      <w:sz w:val="22"/>
      <w:szCs w:val="22"/>
      <w:lang w:val="sk-SK" w:eastAsia="cs-CZ" w:bidi="ar-SA"/>
    </w:rPr>
  </w:style>
  <w:style w:type="paragraph" w:styleId="TopHeader" w:customStyle="1">
    <w:name w:val="Top Header"/>
    <w:basedOn w:val="Normal"/>
    <w:qFormat/>
    <w:rsid w:val="00322d87"/>
    <w:pPr>
      <w:spacing w:lineRule="auto" w:line="240" w:before="0" w:after="0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774e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">
    <w:name w:val="Hlavička"/>
    <w:basedOn w:val="Normal"/>
    <w:link w:val="HlavikaChar"/>
    <w:uiPriority w:val="99"/>
    <w:unhideWhenUsed/>
    <w:rsid w:val="00335024"/>
    <w:pPr>
      <w:tabs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6b2a7a"/>
    <w:pPr>
      <w:spacing w:before="120" w:after="120"/>
      <w:ind w:left="720" w:hanging="0"/>
      <w:contextualSpacing/>
    </w:pPr>
    <w:rPr/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49842-FE35-44C5-BA60-CCB3CD0D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LibreOffice/5.0.4.2$Windows_x86 LibreOffice_project/2b9802c1994aa0b7dc6079e128979269cf95bc78</Application>
  <Paragraphs>558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2016-12-09T09:53:00Z</dcterms:created>
  <dc:creator>jvrskova</dc:creator>
  <dc:language>sk-SK</dc:language>
  <cp:lastPrinted>2023-06-29T23:35:02Z</cp:lastPrinted>
  <dcterms:modified xsi:type="dcterms:W3CDTF">2023-06-30T00:04:13Z</dcterms:modified>
  <cp:revision>20</cp:revision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