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6FDF1E" w14:textId="77777777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7EC111F3" w14:textId="1F0264CD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IČO: 36500607 </w:t>
      </w:r>
    </w:p>
    <w:p w14:paraId="0F933FC7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ÚJ: STAMAP, s. r. o. </w:t>
      </w:r>
    </w:p>
    <w:p w14:paraId="29CF6E19" w14:textId="4FDA9502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DIČ: 2021914070 </w:t>
      </w:r>
    </w:p>
    <w:p w14:paraId="7D4683F8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15BF73A6" w14:textId="3AA594B4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Informácie o účtovnej jednotke </w:t>
      </w:r>
    </w:p>
    <w:p w14:paraId="6CC4747A" w14:textId="77777777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STAMAP, s. r. o., Budovateľská 59, 08001 Prešov </w:t>
      </w:r>
    </w:p>
    <w:p w14:paraId="47B56FF8" w14:textId="77777777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Zapísaná v obchodnom registri </w:t>
      </w:r>
      <w:proofErr w:type="spellStart"/>
      <w:r w:rsidRPr="0005328C">
        <w:rPr>
          <w:rFonts w:ascii="Times New Roman" w:hAnsi="Times New Roman" w:cs="Times New Roman"/>
          <w:color w:val="000000"/>
          <w:sz w:val="23"/>
          <w:szCs w:val="23"/>
        </w:rPr>
        <w:t>registri</w:t>
      </w:r>
      <w:proofErr w:type="spellEnd"/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 pod Okresným súdom Prešov, Oddiel </w:t>
      </w:r>
      <w:proofErr w:type="spellStart"/>
      <w:r w:rsidRPr="0005328C">
        <w:rPr>
          <w:rFonts w:ascii="Times New Roman" w:hAnsi="Times New Roman" w:cs="Times New Roman"/>
          <w:color w:val="000000"/>
          <w:sz w:val="23"/>
          <w:szCs w:val="23"/>
        </w:rPr>
        <w:t>Sro</w:t>
      </w:r>
      <w:proofErr w:type="spellEnd"/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, číslo vložky 15701/P </w:t>
      </w:r>
    </w:p>
    <w:p w14:paraId="25795459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16955C7B" w14:textId="39E1C618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Priemerný prepočítaný počet zamestnancov </w:t>
      </w:r>
    </w:p>
    <w:p w14:paraId="7B0996EC" w14:textId="77777777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Priemerný prepočítaný počet zamestnancov: 0 </w:t>
      </w:r>
    </w:p>
    <w:p w14:paraId="39EFDD70" w14:textId="77777777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Stav zamestnancov ku dňu, ku ktorému sa zostavuje účtovná závierka: 0 </w:t>
      </w:r>
    </w:p>
    <w:p w14:paraId="173C8B60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420ED559" w14:textId="1541C558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Informácie o účtovných zásadách a účtovných metódach </w:t>
      </w:r>
    </w:p>
    <w:p w14:paraId="4E1B91FF" w14:textId="76D080E3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>Právny dôvod na zostavenie účtovnej závierky: Účtovná závierka obchodnej spoločnosti zostavená k 31.decembru 202</w:t>
      </w:r>
      <w:r w:rsidR="00B3673F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 je zostavená ako riadna účtovná závierka podľa § 17 ods. 6 zákona č. 431/2002 </w:t>
      </w:r>
      <w:proofErr w:type="spellStart"/>
      <w:r w:rsidRPr="0005328C">
        <w:rPr>
          <w:rFonts w:ascii="Times New Roman" w:hAnsi="Times New Roman" w:cs="Times New Roman"/>
          <w:color w:val="000000"/>
          <w:sz w:val="23"/>
          <w:szCs w:val="23"/>
        </w:rPr>
        <w:t>Z.z</w:t>
      </w:r>
      <w:proofErr w:type="spellEnd"/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. o účtovníctve v znení neskorších predpisov </w:t>
      </w:r>
    </w:p>
    <w:p w14:paraId="678F73EA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12BCB53D" w14:textId="4F0AACAE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Zmeny účtovných zásad a zmeny účtovných metód neboli uskutočnené </w:t>
      </w:r>
    </w:p>
    <w:p w14:paraId="1D919B3B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6C819137" w14:textId="055EB6A5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Spôsob oceňovania jednotlivých zložiek majetku a záväzkov v členení na: Účtovné metódy a všeobecné účtovné zásady boli účtovnou jednotkou konzistentne aplikované, v súlade s platnými právnymi predpismi upravujúcimi oblasť účtovníctva. </w:t>
      </w:r>
    </w:p>
    <w:p w14:paraId="00E749D2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41ACE3B1" w14:textId="75FCDE41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Podnik nenakupoval v danom roku dlhodobý nehmotný majetok ani netvoril vlastnou činnosťou ani neaktivoval ani v predchádzajúcom období. </w:t>
      </w:r>
    </w:p>
    <w:p w14:paraId="74B0B0E9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20A7C8C1" w14:textId="4407A779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Podnik v bežnom roku nevlastnil cenné papiere </w:t>
      </w:r>
    </w:p>
    <w:p w14:paraId="76B9C2A5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5FCD6A94" w14:textId="397FCBC9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Podnik nenakupoval zásoby a netvoril zásoby vlastnou činnosťou </w:t>
      </w:r>
    </w:p>
    <w:p w14:paraId="2B22E504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667EA121" w14:textId="4F6D31F8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Pohľadávky pri ich vzniku sa oceňoval menovitou hodnotou. </w:t>
      </w:r>
    </w:p>
    <w:p w14:paraId="6772E639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22F86860" w14:textId="74B88FD5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Peňažné prostriedky a ceniny sa oceňovali ich menovitou hodnotou. </w:t>
      </w:r>
    </w:p>
    <w:p w14:paraId="47956195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2EC8E83E" w14:textId="3DF6FEAF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Záväzky pri ich vzniku sa oceňovali menovitou hodnotou. </w:t>
      </w:r>
    </w:p>
    <w:p w14:paraId="092C1930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6C82634B" w14:textId="48CD5B15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Spoločnosť netvorila rezervy </w:t>
      </w:r>
    </w:p>
    <w:p w14:paraId="4CF7A775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14:paraId="61282D1B" w14:textId="7BCEF0C5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Časové rozlíšenie - náklady budúcich období sa vykazujú vo výške ktorá je potrebná na dodržanie zásady vecnej a časovej súvislosti s účtovným obdobím. </w:t>
      </w:r>
    </w:p>
    <w:p w14:paraId="5D573E32" w14:textId="77777777" w:rsidR="0005328C" w:rsidRPr="0005328C" w:rsidRDefault="0005328C" w:rsidP="0005328C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Informácie, ktoré vysvetľujú a dopĺňajú súvahu a výkaz ziskov a strát </w:t>
      </w:r>
    </w:p>
    <w:p w14:paraId="55F6B46F" w14:textId="77777777" w:rsid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3"/>
          <w:szCs w:val="23"/>
        </w:rPr>
      </w:pPr>
    </w:p>
    <w:p w14:paraId="76F9F8C0" w14:textId="53E010F0" w:rsidR="0005328C" w:rsidRPr="0005328C" w:rsidRDefault="0005328C" w:rsidP="000532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05328C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Vysvetlivky k výkazom </w:t>
      </w:r>
    </w:p>
    <w:p w14:paraId="1252C257" w14:textId="2C0D7CA1" w:rsidR="00E5778D" w:rsidRPr="0005328C" w:rsidRDefault="0005328C" w:rsidP="0005328C">
      <w:r w:rsidRPr="0005328C">
        <w:rPr>
          <w:rFonts w:ascii="Times New Roman" w:hAnsi="Times New Roman" w:cs="Times New Roman"/>
          <w:color w:val="000000"/>
          <w:sz w:val="23"/>
          <w:szCs w:val="23"/>
        </w:rPr>
        <w:t>Spoločnosť v roku 20</w:t>
      </w:r>
      <w:r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="00B3673F">
        <w:rPr>
          <w:rFonts w:ascii="Times New Roman" w:hAnsi="Times New Roman" w:cs="Times New Roman"/>
          <w:color w:val="000000"/>
          <w:sz w:val="23"/>
          <w:szCs w:val="23"/>
        </w:rPr>
        <w:t>2</w:t>
      </w:r>
      <w:r w:rsidRPr="0005328C">
        <w:rPr>
          <w:rFonts w:ascii="Times New Roman" w:hAnsi="Times New Roman" w:cs="Times New Roman"/>
          <w:color w:val="000000"/>
          <w:sz w:val="23"/>
          <w:szCs w:val="23"/>
        </w:rPr>
        <w:t xml:space="preserve"> nerealizovala žiadnu činnosť</w:t>
      </w:r>
    </w:p>
    <w:sectPr w:rsidR="00E5778D" w:rsidRPr="0005328C" w:rsidSect="00DC15EC">
      <w:pgSz w:w="11906" w:h="17338"/>
      <w:pgMar w:top="1136" w:right="886" w:bottom="1417" w:left="118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5F1638"/>
    <w:multiLevelType w:val="hybridMultilevel"/>
    <w:tmpl w:val="20DE3C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6143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39A"/>
    <w:rsid w:val="0005328C"/>
    <w:rsid w:val="00852F10"/>
    <w:rsid w:val="00A7139A"/>
    <w:rsid w:val="00B3673F"/>
    <w:rsid w:val="00E57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0DEB2C"/>
  <w15:chartTrackingRefBased/>
  <w15:docId w15:val="{2237C3D9-3DF0-4646-8FD6-331AE8DD6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7139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0532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1501</Characters>
  <Application>Microsoft Office Word</Application>
  <DocSecurity>0</DocSecurity>
  <Lines>12</Lines>
  <Paragraphs>3</Paragraphs>
  <ScaleCrop>false</ScaleCrop>
  <Company/>
  <LinksUpToDate>false</LinksUpToDate>
  <CharactersWithSpaces>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Kurhajcová</dc:creator>
  <cp:keywords/>
  <dc:description/>
  <cp:lastModifiedBy>Čechovo SK, s.r.o.</cp:lastModifiedBy>
  <cp:revision>2</cp:revision>
  <dcterms:created xsi:type="dcterms:W3CDTF">2023-06-30T20:18:00Z</dcterms:created>
  <dcterms:modified xsi:type="dcterms:W3CDTF">2023-06-30T20:18:00Z</dcterms:modified>
</cp:coreProperties>
</file>