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before="2" w:line="140" w:lineRule="auto"/>
        <w:rPr>
          <w:sz w:val="14"/>
          <w:szCs w:val="1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pacing w:after="120" w:lineRule="auto"/>
        <w:jc w:val="center"/>
        <w:rPr>
          <w:rFonts w:ascii="Arial Narrow" w:cs="Arial Narrow" w:eastAsia="Arial Narrow" w:hAnsi="Arial Narrow"/>
          <w:b w:val="1"/>
        </w:rPr>
      </w:pPr>
      <w:r w:rsidDel="00000000" w:rsidR="00000000" w:rsidRPr="00000000">
        <w:rPr>
          <w:rFonts w:ascii="Arial Narrow" w:cs="Arial Narrow" w:eastAsia="Arial Narrow" w:hAnsi="Arial Narrow"/>
          <w:b w:val="1"/>
          <w:rtl w:val="0"/>
        </w:rPr>
        <w:t xml:space="preserve">Poznámky k mikro účtovnej závierke za rok 2022</w:t>
      </w:r>
    </w:p>
    <w:p w:rsidR="00000000" w:rsidDel="00000000" w:rsidP="00000000" w:rsidRDefault="00000000" w:rsidRPr="00000000" w14:paraId="0000000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>
          <w:rFonts w:ascii="Arial Narrow" w:cs="Arial Narrow" w:eastAsia="Arial Narrow" w:hAnsi="Arial Narrow"/>
        </w:rPr>
      </w:pP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Del="00000000" w:rsidR="00000000" w:rsidRPr="00000000">
        <w:rPr>
          <w:rFonts w:ascii="Arial Narrow" w:cs="Arial Narrow" w:eastAsia="Arial Narrow" w:hAnsi="Arial Narrow"/>
          <w:b w:val="1"/>
          <w:rtl w:val="0"/>
        </w:rPr>
        <w:t xml:space="preserve">mikro účtovné jednotky</w:t>
      </w: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 v znení neskorších predpisov</w:t>
      </w:r>
    </w:p>
    <w:p w:rsidR="00000000" w:rsidDel="00000000" w:rsidP="00000000" w:rsidRDefault="00000000" w:rsidRPr="00000000" w14:paraId="0000000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>
          <w:rFonts w:ascii="Arial Narrow" w:cs="Arial Narrow" w:eastAsia="Arial Narrow" w:hAnsi="Arial Narrow"/>
        </w:rPr>
      </w:pPr>
      <w:r w:rsidDel="00000000" w:rsidR="00000000" w:rsidRPr="00000000">
        <w:rPr>
          <w:rFonts w:ascii="Arial Narrow" w:cs="Arial Narrow" w:eastAsia="Arial Narrow" w:hAnsi="Arial Narrow"/>
          <w:rtl w:val="0"/>
        </w:rPr>
        <w:t xml:space="preserve">(ostatná novela č.MF/18008/2014-74 – FS č.10/2014)</w:t>
      </w:r>
    </w:p>
    <w:p w:rsidR="00000000" w:rsidDel="00000000" w:rsidP="00000000" w:rsidRDefault="00000000" w:rsidRPr="00000000" w14:paraId="00000005">
      <w:pPr>
        <w:spacing w:before="7" w:lin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Style w:val="Heading1"/>
        <w:spacing w:before="69" w:lineRule="auto"/>
        <w:ind w:right="836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right="841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Všeobecné údaje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before="7" w:line="24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Identifikácia účtovnej jednotky (názov, IČO, sídlo):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5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042"/>
        <w:gridCol w:w="6495"/>
        <w:tblGridChange w:id="0">
          <w:tblGrid>
            <w:gridCol w:w="3042"/>
            <w:gridCol w:w="649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B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Názov:</w:t>
            </w:r>
          </w:p>
        </w:tc>
        <w:tc>
          <w:tcPr/>
          <w:p w:rsidR="00000000" w:rsidDel="00000000" w:rsidP="00000000" w:rsidRDefault="00000000" w:rsidRPr="00000000" w14:paraId="0000000C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DOOP s.r.o.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D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IČO:</w:t>
            </w:r>
          </w:p>
        </w:tc>
        <w:tc>
          <w:tcPr/>
          <w:p w:rsidR="00000000" w:rsidDel="00000000" w:rsidP="00000000" w:rsidRDefault="00000000" w:rsidRPr="00000000" w14:paraId="0000000E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51075962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F">
            <w:pPr>
              <w:spacing w:line="260" w:lineRule="auto"/>
              <w:jc w:val="both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Sídlo:</w:t>
            </w:r>
          </w:p>
        </w:tc>
        <w:tc>
          <w:tcPr/>
          <w:p w:rsidR="00000000" w:rsidDel="00000000" w:rsidP="00000000" w:rsidRDefault="00000000" w:rsidRPr="00000000" w14:paraId="00000010">
            <w:pPr>
              <w:spacing w:line="260" w:lineRule="auto"/>
              <w:jc w:val="both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Karpatské námestie 7770/10A 831 06 Bratislava - mestská časť Rača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1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Údaje o konsolidovanom celku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- obchodné meno a sídlo konsolidujúcej účtovnej jednotky:   nemáme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u w:val="single"/>
          <w:rtl w:val="0"/>
        </w:rPr>
        <w:t xml:space="preserve">Priemerný prepočítaný počet zamestnancov</w:t>
      </w:r>
      <w:r w:rsidDel="00000000" w:rsidR="00000000" w:rsidRPr="00000000">
        <w:rPr>
          <w:rFonts w:ascii="Arial" w:cs="Arial" w:eastAsia="Arial" w:hAnsi="Arial"/>
          <w:rtl w:val="0"/>
        </w:rPr>
        <w:t xml:space="preserve">:</w:t>
      </w:r>
    </w:p>
    <w:p w:rsidR="00000000" w:rsidDel="00000000" w:rsidP="00000000" w:rsidRDefault="00000000" w:rsidRPr="00000000" w14:paraId="00000017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5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143"/>
        <w:gridCol w:w="2095"/>
        <w:gridCol w:w="3299"/>
        <w:tblGridChange w:id="0">
          <w:tblGrid>
            <w:gridCol w:w="4143"/>
            <w:gridCol w:w="2095"/>
            <w:gridCol w:w="329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8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Názov</w:t>
            </w:r>
          </w:p>
        </w:tc>
        <w:tc>
          <w:tcPr/>
          <w:p w:rsidR="00000000" w:rsidDel="00000000" w:rsidP="00000000" w:rsidRDefault="00000000" w:rsidRPr="00000000" w14:paraId="00000019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Bežné účtovné</w:t>
            </w:r>
          </w:p>
          <w:p w:rsidR="00000000" w:rsidDel="00000000" w:rsidP="00000000" w:rsidRDefault="00000000" w:rsidRPr="00000000" w14:paraId="0000001A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obdobie</w:t>
            </w:r>
          </w:p>
        </w:tc>
        <w:tc>
          <w:tcPr/>
          <w:p w:rsidR="00000000" w:rsidDel="00000000" w:rsidP="00000000" w:rsidRDefault="00000000" w:rsidRPr="00000000" w14:paraId="0000001B">
            <w:pPr>
              <w:spacing w:line="260" w:lineRule="auto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C">
            <w:pPr>
              <w:spacing w:line="260" w:lineRule="auto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Priemerný prepočítaný počet zamestnancov</w:t>
            </w:r>
          </w:p>
        </w:tc>
        <w:tc>
          <w:tcPr/>
          <w:p w:rsidR="00000000" w:rsidDel="00000000" w:rsidP="00000000" w:rsidRDefault="00000000" w:rsidRPr="00000000" w14:paraId="0000001D">
            <w:pPr>
              <w:spacing w:line="2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</w:t>
            </w:r>
          </w:p>
        </w:tc>
        <w:tc>
          <w:tcPr/>
          <w:p w:rsidR="00000000" w:rsidDel="00000000" w:rsidP="00000000" w:rsidRDefault="00000000" w:rsidRPr="00000000" w14:paraId="0000001E">
            <w:pPr>
              <w:spacing w:line="260" w:lineRule="auto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</w:t>
            </w:r>
          </w:p>
        </w:tc>
      </w:tr>
    </w:tbl>
    <w:p w:rsidR="00000000" w:rsidDel="00000000" w:rsidP="00000000" w:rsidRDefault="00000000" w:rsidRPr="00000000" w14:paraId="0000001F">
      <w:pPr>
        <w:spacing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before="1" w:line="28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Style w:val="Heading1"/>
        <w:ind w:right="839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ind w:right="836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 o prijatých postupoch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72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Informácia, či je účtovná závierka zostavená za splnenia predpokladu, že účtovná jednotka bude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nepretržite pokračovať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vo svojej činnosti: pokračujem vo svojej činnosti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Spôsob oceňovania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jednotlivých položiek majetku a záväzkov, a to: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537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767"/>
        <w:gridCol w:w="4770"/>
        <w:tblGridChange w:id="0">
          <w:tblGrid>
            <w:gridCol w:w="4767"/>
            <w:gridCol w:w="477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</w:p>
        </w:tc>
        <w:tc>
          <w:tcPr/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Spôsob oceňovania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majetok:</w:t>
            </w:r>
          </w:p>
        </w:tc>
        <w:tc>
          <w:tcPr/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majetok:</w:t>
            </w:r>
          </w:p>
        </w:tc>
        <w:tc>
          <w:tcPr/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majetok:</w:t>
            </w:r>
          </w:p>
        </w:tc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obstarané kúpou:</w:t>
            </w:r>
          </w:p>
        </w:tc>
        <w:tc>
          <w:tcPr/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 vytvorené vlastnou činnosťou:</w:t>
            </w:r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náklady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pohľadávky:</w:t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Kúpené pohľadávky:</w:t>
            </w:r>
          </w:p>
        </w:tc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majetok:</w:t>
            </w:r>
          </w:p>
        </w:tc>
        <w:tc>
          <w:tcPr/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Obstarávacia cena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Záväzky vrátane rezerv:</w:t>
            </w:r>
          </w:p>
        </w:tc>
        <w:tc>
          <w:tcPr/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Dlhopisy:</w:t>
            </w:r>
          </w:p>
        </w:tc>
        <w:tc>
          <w:tcPr/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a úvery:</w:t>
            </w:r>
          </w:p>
        </w:tc>
        <w:tc>
          <w:tcPr/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Derivátové operácie:</w:t>
            </w:r>
          </w:p>
        </w:tc>
        <w:tc>
          <w:tcPr/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808"/>
              </w:tabs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</w:tr>
    </w:tbl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Spôsob zostavenia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odpisového plánu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jednotlivé druhy dlhodobého hmotného majetku a dlhodobého nehmotného majetku, pričom sa uvádza doba odpisovania, použité sadzby odpisov a odpisové metódy pri určení odpisov: rovnomerné odpisovanie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Zmeny účtovných  zásad  a zmeny účtovných  metód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s uvedením  dôvodu  týchto  zmien a vyčíslením ich  vplyvu  na  finančnú  hodnotu  majetku,  záväzkov,  základného  imania a výsledku hospodárenia účtovnej jednotky: nemáme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dotáciách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ich oceňovanie v účtovníctve:  nemáme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0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 účtovaní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významných opráv chýb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nemáme</w:t>
      </w:r>
    </w:p>
    <w:p w:rsidR="00000000" w:rsidDel="00000000" w:rsidP="00000000" w:rsidRDefault="00000000" w:rsidRPr="00000000" w14:paraId="0000004D">
      <w:pPr>
        <w:spacing w:before="1" w:line="28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pStyle w:val="Heading1"/>
        <w:ind w:right="157"/>
        <w:jc w:val="center"/>
        <w:rPr>
          <w:rFonts w:ascii="Arial" w:cs="Arial" w:eastAsia="Arial" w:hAnsi="Arial"/>
          <w:b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Článok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ind w:right="157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Informácie, ktoré vysvetľujú a dopĺňajú súvahu a výkaz ziskov a strát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spacing w:before="11" w:line="2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Informácia o sume a dôvodoch vzniku jednotlivých položiek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nákladov alebo výnosov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majú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výnimočný rozsah alebo výskyt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napríklad výnosy z predaja podniku alebo časti podniku, náklady z dôvodu predaja podniku alebo časti podniku, škody z dôvodu živelných pohrôm: nemáme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záväzkoch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záväzkov so zostatkovou dobou splatnosti dlhšou ako päť rokov: nemáme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 celkovej sume zabezpečených záväzkov, opis a spôsoby zabezpečenia záväzkov: nemáme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vlastných akciách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 nemáme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orgánoch účtovnej jednotky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a to: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výške jednotlivých druhov záruk alebo iných zabezpečení poskytnutých pre členov štatutárneho orgánu,  dozorného  orgánu  a  iného  orgánu  účtovnej  jednotky,  a to v členení za jednotlivé orgány: nemáme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nemáme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hlavných podmienkach, na základe ktorých im boli záruky alebo iné zabezpečenie a pôžičky poskytnuté; pri pôžičkách sa uvádzajú úrokové sadzby: nemáme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celkovej sume použitých finančných prostriedkov alebo iného plnenia na súkromné účely členmi štatutárneho orgánu, dozorného orgánu a iného orgánu účtovnej jednotky, ktoré je potrebné vyúčtovať: nemáme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Informácie o povinnostiach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jednotky, a to: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a) celkovej sume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finančných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nemáme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b) celkovej sume významných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podmienených záväzkov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nemáme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finančných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a významných podmienených záväzkov, a to celkovej sume významných finančných povinností a významných podmienených záväzkoch voči dcérskej účtovnej jednotke a účtovnej jednotke s podstatným vplyvom: nemáme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d)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opise významných povinností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účtovnej jednotky vyplývajúcich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z dôchodkových programov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pre zamestnancov: nemáme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68"/>
        </w:tabs>
        <w:spacing w:after="0" w:before="0" w:line="240" w:lineRule="auto"/>
        <w:ind w:left="101" w:right="116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Informácie o udelení výlučného práva alebo osobitného práva, ktorým sa udelilo právo poskytovať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služby vo verejnom záujme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nemáme</w:t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60" w:w="11907" w:orient="portrait"/>
      <w:pgMar w:bottom="800" w:top="1340" w:left="1060" w:right="1300" w:header="0" w:footer="6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  <w:font w:name="Arial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9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A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B">
    <w:pPr>
      <w:spacing w:line="200" w:lineRule="auto"/>
      <w:rPr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5461000</wp:posOffset>
              </wp:positionH>
              <wp:positionV relativeFrom="paragraph">
                <wp:posOffset>10147300</wp:posOffset>
              </wp:positionV>
              <wp:extent cx="550545" cy="187325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075490" y="369110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64.99999046325684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Times New Roman" w:cs="Times New Roman" w:eastAsia="Times New Roman" w:hAnsi="Times New Roman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Strana  PAGE 1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5461000</wp:posOffset>
              </wp:positionH>
              <wp:positionV relativeFrom="paragraph">
                <wp:posOffset>10147300</wp:posOffset>
              </wp:positionV>
              <wp:extent cx="550545" cy="187325"/>
              <wp:effectExtent b="0" l="0" r="0" t="0"/>
              <wp:wrapNone/>
              <wp:docPr id="1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50545" cy="1873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1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2990"/>
        <w:tab w:val="left" w:leader="none" w:pos="6348"/>
      </w:tabs>
      <w:spacing w:after="0" w:before="0" w:line="240" w:lineRule="auto"/>
      <w:ind w:left="-397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Poznámky Úč MÚJ 3 – 01                           IČO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51075962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  DIČ: 2120587238 </w:t>
    </w:r>
  </w:p>
  <w:p w:rsidR="00000000" w:rsidDel="00000000" w:rsidP="00000000" w:rsidRDefault="00000000" w:rsidRPr="00000000" w14:paraId="0000007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7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7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8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sk-SK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/>
    <w:rPr>
      <w:rFonts w:ascii="Times New Roman" w:cs="Times New Roman" w:eastAsia="Times New Roman" w:hAnsi="Times New Roman"/>
      <w:b w:val="1"/>
      <w:sz w:val="24"/>
      <w:szCs w:val="24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9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_rels/foot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