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30C7F2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/>
        <w:ind w:left="426" w:hanging="426"/>
        <w:jc w:val="center"/>
        <w:rPr>
          <w:rFonts w:ascii="Cambria" w:eastAsia="Cambria" w:hAnsi="Cambria" w:cs="Cambria"/>
          <w:b/>
          <w:color w:val="000000"/>
          <w:sz w:val="24"/>
          <w:szCs w:val="24"/>
        </w:rPr>
      </w:pPr>
    </w:p>
    <w:p w14:paraId="30739A48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/>
        <w:ind w:left="426" w:hanging="426"/>
        <w:jc w:val="both"/>
        <w:rPr>
          <w:rFonts w:ascii="Cambria" w:eastAsia="Cambria" w:hAnsi="Cambria" w:cs="Cambria"/>
          <w:b/>
          <w:color w:val="000000"/>
          <w:sz w:val="24"/>
          <w:szCs w:val="24"/>
        </w:rPr>
      </w:pPr>
    </w:p>
    <w:p w14:paraId="5DF2904D" w14:textId="77777777" w:rsidR="009C6109" w:rsidRDefault="00D94626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rFonts w:ascii="Cambria" w:eastAsia="Cambria" w:hAnsi="Cambria" w:cs="Cambria"/>
          <w:b/>
          <w:color w:val="000000"/>
          <w:sz w:val="24"/>
          <w:szCs w:val="24"/>
        </w:rPr>
      </w:pPr>
      <w:r>
        <w:rPr>
          <w:rFonts w:ascii="Cambria" w:eastAsia="Cambria" w:hAnsi="Cambria" w:cs="Cambria"/>
          <w:b/>
          <w:color w:val="000000"/>
          <w:sz w:val="24"/>
          <w:szCs w:val="24"/>
        </w:rPr>
        <w:t>Článok I - Všeobecné údaje</w:t>
      </w:r>
    </w:p>
    <w:p w14:paraId="3D96B323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i/>
        </w:rPr>
      </w:pPr>
      <w:r>
        <w:rPr>
          <w:rFonts w:ascii="Cambria" w:eastAsia="Cambria" w:hAnsi="Cambria" w:cs="Cambria"/>
          <w:b/>
        </w:rPr>
        <w:t>I.1</w:t>
      </w:r>
      <w:r>
        <w:rPr>
          <w:rFonts w:ascii="Cambria" w:eastAsia="Cambria" w:hAnsi="Cambria" w:cs="Cambria"/>
          <w:b/>
        </w:rPr>
        <w:tab/>
        <w:t>Názov právnickej osoby</w:t>
      </w:r>
    </w:p>
    <w:p w14:paraId="59632566" w14:textId="0373C8F1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        </w:t>
      </w:r>
      <w:r w:rsidR="00032A54">
        <w:rPr>
          <w:rFonts w:ascii="Cambria" w:eastAsia="Cambria" w:hAnsi="Cambria" w:cs="Cambria"/>
          <w:b/>
        </w:rPr>
        <w:t>Creative People s.r.o.</w:t>
      </w:r>
    </w:p>
    <w:p w14:paraId="4B9E922C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i/>
        </w:rPr>
      </w:pPr>
      <w:r>
        <w:rPr>
          <w:rFonts w:ascii="Cambria" w:eastAsia="Cambria" w:hAnsi="Cambria" w:cs="Cambria"/>
          <w:i/>
        </w:rPr>
        <w:tab/>
      </w:r>
    </w:p>
    <w:p w14:paraId="1D5A6CD7" w14:textId="55313F5D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 </w:t>
      </w:r>
      <w:r w:rsidR="00032A54">
        <w:rPr>
          <w:rFonts w:ascii="Cambria" w:eastAsia="Cambria" w:hAnsi="Cambria" w:cs="Cambria"/>
        </w:rPr>
        <w:t>Skýcovská 1683/5, 955 01 Topoľčany</w:t>
      </w:r>
    </w:p>
    <w:p w14:paraId="310E3931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09B4D26A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I.2</w:t>
      </w:r>
      <w:r>
        <w:rPr>
          <w:rFonts w:ascii="Cambria" w:eastAsia="Cambria" w:hAnsi="Cambria" w:cs="Cambria"/>
          <w:b/>
        </w:rPr>
        <w:tab/>
        <w:t>Údaje o konsolidovanom celku, ak je účtovná jednotka jeho súčasťou:</w:t>
      </w:r>
    </w:p>
    <w:p w14:paraId="78F8D62A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7D3D0928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29954622" w14:textId="77777777" w:rsidR="009C6109" w:rsidRDefault="009C6109">
      <w:pPr>
        <w:spacing w:after="0"/>
        <w:jc w:val="both"/>
        <w:rPr>
          <w:rFonts w:ascii="Cambria" w:eastAsia="Cambria" w:hAnsi="Cambria" w:cs="Cambria"/>
          <w:i/>
          <w:sz w:val="20"/>
          <w:szCs w:val="20"/>
        </w:rPr>
      </w:pPr>
    </w:p>
    <w:p w14:paraId="5EB050E7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I.3</w:t>
      </w:r>
      <w:r>
        <w:rPr>
          <w:rFonts w:ascii="Cambria" w:eastAsia="Cambria" w:hAnsi="Cambria" w:cs="Cambria"/>
          <w:b/>
        </w:rPr>
        <w:tab/>
        <w:t>Informácie o počte zamestnancov:</w:t>
      </w:r>
    </w:p>
    <w:p w14:paraId="2D1CA3DB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color w:val="000000"/>
          <w:sz w:val="24"/>
          <w:szCs w:val="24"/>
        </w:rPr>
      </w:pPr>
    </w:p>
    <w:tbl>
      <w:tblPr>
        <w:tblStyle w:val="a"/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53"/>
        <w:gridCol w:w="2381"/>
        <w:gridCol w:w="2381"/>
      </w:tblGrid>
      <w:tr w:rsidR="009C6109" w14:paraId="456ECCB0" w14:textId="77777777">
        <w:tc>
          <w:tcPr>
            <w:tcW w:w="4253" w:type="dxa"/>
            <w:vAlign w:val="center"/>
          </w:tcPr>
          <w:p w14:paraId="3EC6DEA7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E587B31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Bežné</w:t>
            </w:r>
          </w:p>
          <w:p w14:paraId="537AEE6D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E19AD88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Bezprostredne</w:t>
            </w:r>
          </w:p>
          <w:p w14:paraId="2A22FD65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predchádzajúce</w:t>
            </w:r>
          </w:p>
          <w:p w14:paraId="1B5FCE01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účtovné obdobie</w:t>
            </w:r>
          </w:p>
        </w:tc>
      </w:tr>
      <w:tr w:rsidR="009C6109" w14:paraId="5EB54349" w14:textId="77777777">
        <w:trPr>
          <w:trHeight w:val="378"/>
        </w:trPr>
        <w:tc>
          <w:tcPr>
            <w:tcW w:w="4253" w:type="dxa"/>
            <w:vAlign w:val="center"/>
          </w:tcPr>
          <w:p w14:paraId="46AF4AFD" w14:textId="77777777" w:rsidR="009C6109" w:rsidRDefault="00D94626">
            <w:pPr>
              <w:ind w:left="34" w:hanging="1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4DDC9796" w14:textId="304D4BFE" w:rsidR="009C6109" w:rsidRDefault="00032A54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2B040DE" w14:textId="77777777" w:rsidR="009C6109" w:rsidRDefault="00D94626">
            <w:pPr>
              <w:ind w:left="426" w:hanging="426"/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</w:t>
            </w:r>
          </w:p>
        </w:tc>
      </w:tr>
    </w:tbl>
    <w:p w14:paraId="6AE34206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2B68DFB6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715B0296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4B7F1A8B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Článok II – Informácie o prijatých postupoch</w:t>
      </w:r>
    </w:p>
    <w:p w14:paraId="662A2F9E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7B71BA87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II. 1 Informácia o splnení predpokladu nepretržitého pokračovania činnosti účtovnej jednotky: </w:t>
      </w:r>
    </w:p>
    <w:p w14:paraId="550DD017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0DF4F6B9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 xml:space="preserve">Účtovná jednotka bude nepretržite pokračovať vo svojej činnosti: </w:t>
      </w:r>
      <w:r>
        <w:rPr>
          <w:rFonts w:ascii="Cambria" w:eastAsia="Cambria" w:hAnsi="Cambria" w:cs="Cambria"/>
          <w:color w:val="00B050"/>
        </w:rPr>
        <w:t>áno</w:t>
      </w:r>
    </w:p>
    <w:p w14:paraId="09A9CE0F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  <w:szCs w:val="20"/>
        </w:rPr>
      </w:pPr>
    </w:p>
    <w:p w14:paraId="5252C76D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 2 Spôsob oceňovania jednotlivých zložiek majetku a záväzkov:</w:t>
      </w:r>
    </w:p>
    <w:tbl>
      <w:tblPr>
        <w:tblStyle w:val="a0"/>
        <w:tblW w:w="89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21"/>
        <w:gridCol w:w="2065"/>
        <w:gridCol w:w="2268"/>
      </w:tblGrid>
      <w:tr w:rsidR="009C6109" w14:paraId="75A6CA48" w14:textId="77777777">
        <w:tc>
          <w:tcPr>
            <w:tcW w:w="4621" w:type="dxa"/>
            <w:vAlign w:val="center"/>
          </w:tcPr>
          <w:p w14:paraId="4CB9805B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37E0226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4250C2D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Náklady spojené</w:t>
            </w:r>
          </w:p>
          <w:p w14:paraId="6C50DFCE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s obstaraním</w:t>
            </w:r>
          </w:p>
        </w:tc>
      </w:tr>
      <w:tr w:rsidR="009C6109" w14:paraId="48793930" w14:textId="77777777">
        <w:trPr>
          <w:trHeight w:val="340"/>
        </w:trPr>
        <w:tc>
          <w:tcPr>
            <w:tcW w:w="4621" w:type="dxa"/>
            <w:vAlign w:val="center"/>
          </w:tcPr>
          <w:p w14:paraId="1AAB3474" w14:textId="77777777" w:rsidR="009C6109" w:rsidRDefault="00D94626">
            <w:pPr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5080934" w14:textId="77777777" w:rsidR="009C6109" w:rsidRDefault="00D94626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055D92C" w14:textId="77777777" w:rsidR="009C6109" w:rsidRDefault="00D9462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Súčasťou OC</w:t>
            </w:r>
          </w:p>
        </w:tc>
      </w:tr>
      <w:tr w:rsidR="009C6109" w14:paraId="6C5FC8AC" w14:textId="77777777">
        <w:trPr>
          <w:trHeight w:val="340"/>
        </w:trPr>
        <w:tc>
          <w:tcPr>
            <w:tcW w:w="4621" w:type="dxa"/>
            <w:vAlign w:val="center"/>
          </w:tcPr>
          <w:p w14:paraId="6D93B5DC" w14:textId="77777777" w:rsidR="009C6109" w:rsidRDefault="00D94626">
            <w:pPr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6B4A771" w14:textId="77777777" w:rsidR="009C6109" w:rsidRDefault="00D94626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B8870E4" w14:textId="77777777" w:rsidR="009C6109" w:rsidRDefault="00D9462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Súčasťou OC</w:t>
            </w:r>
          </w:p>
        </w:tc>
      </w:tr>
      <w:tr w:rsidR="009C6109" w14:paraId="6DA7451E" w14:textId="77777777">
        <w:trPr>
          <w:trHeight w:val="340"/>
        </w:trPr>
        <w:tc>
          <w:tcPr>
            <w:tcW w:w="4621" w:type="dxa"/>
            <w:vAlign w:val="center"/>
          </w:tcPr>
          <w:p w14:paraId="31A2536A" w14:textId="77777777" w:rsidR="009C6109" w:rsidRDefault="00D94626">
            <w:pPr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B66D6C2" w14:textId="77777777" w:rsidR="009C6109" w:rsidRDefault="00D94626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349B4BA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9C6109" w14:paraId="46C92C15" w14:textId="77777777">
        <w:trPr>
          <w:trHeight w:val="340"/>
        </w:trPr>
        <w:tc>
          <w:tcPr>
            <w:tcW w:w="4621" w:type="dxa"/>
            <w:vAlign w:val="center"/>
          </w:tcPr>
          <w:p w14:paraId="45139259" w14:textId="77777777" w:rsidR="009C6109" w:rsidRDefault="00D94626">
            <w:pPr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AE24351" w14:textId="77777777" w:rsidR="009C6109" w:rsidRDefault="00D94626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3D2BE0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9C6109" w14:paraId="0F3A5998" w14:textId="77777777">
        <w:trPr>
          <w:trHeight w:val="340"/>
        </w:trPr>
        <w:tc>
          <w:tcPr>
            <w:tcW w:w="4621" w:type="dxa"/>
            <w:vAlign w:val="center"/>
          </w:tcPr>
          <w:p w14:paraId="2EACF746" w14:textId="77777777" w:rsidR="009C6109" w:rsidRDefault="00D94626">
            <w:pPr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14:paraId="3C970382" w14:textId="77777777" w:rsidR="009C6109" w:rsidRDefault="00D94626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86E6C38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14:paraId="4C8BC701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295E4057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1FD70E51" w14:textId="77777777" w:rsidR="009C6109" w:rsidRDefault="00D9462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II. 3 Spôsob zostavenia odpisového plánu dlhodobého majetku</w:t>
      </w:r>
    </w:p>
    <w:p w14:paraId="184D028F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D67E637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a1"/>
        <w:tblW w:w="89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57"/>
        <w:gridCol w:w="2273"/>
        <w:gridCol w:w="2260"/>
        <w:gridCol w:w="2264"/>
      </w:tblGrid>
      <w:tr w:rsidR="009C6109" w14:paraId="14883156" w14:textId="77777777">
        <w:trPr>
          <w:trHeight w:val="397"/>
        </w:trPr>
        <w:tc>
          <w:tcPr>
            <w:tcW w:w="2157" w:type="dxa"/>
            <w:vAlign w:val="center"/>
          </w:tcPr>
          <w:p w14:paraId="75F7A3A5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273" w:type="dxa"/>
            <w:vAlign w:val="center"/>
          </w:tcPr>
          <w:p w14:paraId="384DDEB6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vAlign w:val="center"/>
          </w:tcPr>
          <w:p w14:paraId="1E65CA01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vAlign w:val="center"/>
          </w:tcPr>
          <w:p w14:paraId="420352B1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Odpisová metóda</w:t>
            </w:r>
          </w:p>
        </w:tc>
      </w:tr>
      <w:tr w:rsidR="009C6109" w14:paraId="4D2E7F5A" w14:textId="77777777">
        <w:trPr>
          <w:trHeight w:val="397"/>
        </w:trPr>
        <w:tc>
          <w:tcPr>
            <w:tcW w:w="2157" w:type="dxa"/>
          </w:tcPr>
          <w:p w14:paraId="47D96C56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73" w:type="dxa"/>
          </w:tcPr>
          <w:p w14:paraId="7B1DECA4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0" w:type="dxa"/>
          </w:tcPr>
          <w:p w14:paraId="460C41C5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4" w:type="dxa"/>
          </w:tcPr>
          <w:p w14:paraId="5F43F583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9C6109" w14:paraId="7D1E2030" w14:textId="77777777">
        <w:trPr>
          <w:trHeight w:val="397"/>
        </w:trPr>
        <w:tc>
          <w:tcPr>
            <w:tcW w:w="2157" w:type="dxa"/>
          </w:tcPr>
          <w:p w14:paraId="0BD87498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73" w:type="dxa"/>
          </w:tcPr>
          <w:p w14:paraId="09FD96FB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0" w:type="dxa"/>
          </w:tcPr>
          <w:p w14:paraId="6095D1A8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4" w:type="dxa"/>
          </w:tcPr>
          <w:p w14:paraId="6E98F5E4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9C6109" w14:paraId="2AE074C4" w14:textId="77777777">
        <w:trPr>
          <w:trHeight w:val="397"/>
        </w:trPr>
        <w:tc>
          <w:tcPr>
            <w:tcW w:w="2157" w:type="dxa"/>
          </w:tcPr>
          <w:p w14:paraId="07C5D517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73" w:type="dxa"/>
          </w:tcPr>
          <w:p w14:paraId="4B8C8C60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0" w:type="dxa"/>
          </w:tcPr>
          <w:p w14:paraId="69F2217A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2264" w:type="dxa"/>
          </w:tcPr>
          <w:p w14:paraId="08FB4706" w14:textId="77777777" w:rsidR="009C6109" w:rsidRDefault="009C610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14:paraId="7FEC56E5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28CE8B46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16C1CE7B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  <w:szCs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  <w:szCs w:val="20"/>
        </w:rPr>
        <w:t xml:space="preserve">dlhodobého nehmotného majetku </w:t>
      </w:r>
      <w:r>
        <w:rPr>
          <w:rFonts w:ascii="Cambria" w:eastAsia="Cambria" w:hAnsi="Cambria" w:cs="Cambria"/>
          <w:sz w:val="20"/>
          <w:szCs w:val="20"/>
        </w:rPr>
        <w:t>zostavený účtovnou jednotkou vychádza z predpokladanej doby použiteľnosti dlhodobého nehmotného majetku a/alebo iných objektívnych predpokladov (uviesť)</w:t>
      </w:r>
      <w:r>
        <w:rPr>
          <w:rFonts w:ascii="Cambria" w:eastAsia="Cambria" w:hAnsi="Cambria" w:cs="Cambria"/>
          <w:b/>
          <w:sz w:val="20"/>
          <w:szCs w:val="20"/>
        </w:rPr>
        <w:t>:</w:t>
      </w:r>
    </w:p>
    <w:p w14:paraId="241AF431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3916B56C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  <w:szCs w:val="20"/>
        </w:rPr>
        <w:t>Odpisový plán bol ovplyvnený týmito rozhodnutiami:</w:t>
      </w:r>
    </w:p>
    <w:p w14:paraId="373ABDDC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639281A7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  <w:szCs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  <w:szCs w:val="20"/>
        </w:rPr>
        <w:t>dlhodobého hmotného majetku</w:t>
      </w:r>
      <w:r>
        <w:rPr>
          <w:rFonts w:ascii="Cambria" w:eastAsia="Cambria" w:hAnsi="Cambria" w:cs="Cambria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</w:t>
      </w:r>
      <w:r>
        <w:rPr>
          <w:rFonts w:ascii="Cambria" w:eastAsia="Cambria" w:hAnsi="Cambria" w:cs="Cambria"/>
          <w:b/>
          <w:sz w:val="20"/>
          <w:szCs w:val="20"/>
        </w:rPr>
        <w:t>sa nerovnajú</w:t>
      </w:r>
      <w:r>
        <w:rPr>
          <w:rFonts w:ascii="Cambria" w:eastAsia="Cambria" w:hAnsi="Cambria" w:cs="Cambria"/>
          <w:sz w:val="20"/>
          <w:szCs w:val="20"/>
        </w:rPr>
        <w:t>.</w:t>
      </w:r>
    </w:p>
    <w:p w14:paraId="0684D09E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3043F4EC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b/>
        </w:rPr>
        <w:t xml:space="preserve">     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  <w:szCs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  <w:szCs w:val="20"/>
        </w:rPr>
        <w:t xml:space="preserve">dlhodobého hmotného majetku </w:t>
      </w:r>
      <w:r>
        <w:rPr>
          <w:rFonts w:ascii="Cambria" w:eastAsia="Cambria" w:hAnsi="Cambria" w:cs="Cambria"/>
          <w:sz w:val="20"/>
          <w:szCs w:val="20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eastAsia="Cambria" w:hAnsi="Cambria" w:cs="Cambria"/>
          <w:b/>
          <w:sz w:val="20"/>
          <w:szCs w:val="20"/>
        </w:rPr>
        <w:t>sa rovnajú</w:t>
      </w:r>
      <w:r>
        <w:rPr>
          <w:rFonts w:ascii="Cambria" w:eastAsia="Cambria" w:hAnsi="Cambria" w:cs="Cambria"/>
          <w:sz w:val="20"/>
          <w:szCs w:val="20"/>
        </w:rPr>
        <w:t>. Ročný účtovný odpis sa môže odlišovať od daňového podľa počtu mesiacov od zaradenia majetku do konca roka, alebo pri prerušení daňových odpisov.</w:t>
      </w:r>
    </w:p>
    <w:p w14:paraId="3A17CC10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3DFC62D8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  <w:r>
        <w:rPr>
          <w:rFonts w:ascii="Cambria" w:eastAsia="Cambria" w:hAnsi="Cambria" w:cs="Cambria"/>
          <w:b/>
          <w:sz w:val="20"/>
          <w:szCs w:val="20"/>
        </w:rPr>
        <w:t xml:space="preserve">Dodatočné informácie k tvorbe odpisového plánu: </w:t>
      </w:r>
    </w:p>
    <w:p w14:paraId="1668DAED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4FA3837F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4EF89154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 4  Zmeny účtovných zásad a metód:</w:t>
      </w:r>
    </w:p>
    <w:p w14:paraId="30EC1676" w14:textId="77777777" w:rsidR="009C6109" w:rsidRDefault="009C6109">
      <w:pPr>
        <w:spacing w:line="240" w:lineRule="auto"/>
        <w:ind w:left="426" w:hanging="426"/>
        <w:jc w:val="both"/>
        <w:rPr>
          <w:rFonts w:ascii="Cambria" w:eastAsia="Cambria" w:hAnsi="Cambria" w:cs="Cambria"/>
          <w:sz w:val="20"/>
          <w:szCs w:val="20"/>
        </w:rPr>
      </w:pPr>
    </w:p>
    <w:p w14:paraId="6C2689A0" w14:textId="77777777" w:rsidR="009C6109" w:rsidRDefault="00D94626">
      <w:pPr>
        <w:spacing w:line="240" w:lineRule="auto"/>
        <w:ind w:left="426" w:hanging="426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Účtovné zásady a metódy boli účtovnou jednotkou konzistentne aplikované v rámci platného zákona o účtovníctve.</w:t>
      </w:r>
    </w:p>
    <w:p w14:paraId="1D7ABA62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084D13CD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0FFD5CEB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II. 5 Dotácie poskytnuté na obstaranie majetku: </w:t>
      </w:r>
    </w:p>
    <w:p w14:paraId="05E254C1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56DA1820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07DC5D51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2BF4B02A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6516F686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b/>
        </w:rPr>
        <w:t xml:space="preserve">II. 6 Oprava významných a nevýznamných chýb minulých účtovných období vykonaných v bežnom účtovnom období: </w:t>
      </w:r>
      <w:r>
        <w:rPr>
          <w:rFonts w:ascii="Cambria" w:eastAsia="Cambria" w:hAnsi="Cambria" w:cs="Cambria"/>
          <w:b/>
        </w:rPr>
        <w:tab/>
      </w:r>
    </w:p>
    <w:p w14:paraId="3CFC6685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39F5CF1D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26175A5D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68F2588E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343C3753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052328AC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30DC06D5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03FEE3A3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lastRenderedPageBreak/>
        <w:t>Článok III – Informácie, ktoré vysvetľujú a dopĺňajú súvahu a výkaz ziskov a strát</w:t>
      </w:r>
    </w:p>
    <w:p w14:paraId="646F97EA" w14:textId="77777777" w:rsidR="009C6109" w:rsidRDefault="009C6109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2823D296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Informácie o sume a dôvodoch vzniku jednotlivých položiek nákladov alebo </w:t>
      </w:r>
      <w:r>
        <w:rPr>
          <w:rFonts w:ascii="Cambria" w:eastAsia="Cambria" w:hAnsi="Cambria" w:cs="Cambria"/>
          <w:b/>
        </w:rPr>
        <w:tab/>
        <w:t>výnosov, ktoré majú výnimočný rozsah alebo výskyt:</w:t>
      </w:r>
    </w:p>
    <w:tbl>
      <w:tblPr>
        <w:tblStyle w:val="a2"/>
        <w:tblW w:w="904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72"/>
        <w:gridCol w:w="2970"/>
        <w:gridCol w:w="2400"/>
      </w:tblGrid>
      <w:tr w:rsidR="009C6109" w14:paraId="3092340D" w14:textId="77777777">
        <w:tc>
          <w:tcPr>
            <w:tcW w:w="3672" w:type="dxa"/>
            <w:tcBorders>
              <w:top w:val="single" w:sz="12" w:space="0" w:color="000000"/>
              <w:bottom w:val="single" w:sz="12" w:space="0" w:color="000000"/>
            </w:tcBorders>
          </w:tcPr>
          <w:p w14:paraId="01529186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000000"/>
              <w:bottom w:val="single" w:sz="12" w:space="0" w:color="000000"/>
            </w:tcBorders>
          </w:tcPr>
          <w:p w14:paraId="57A56AAA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</w:tcBorders>
          </w:tcPr>
          <w:p w14:paraId="7FF9E34E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Hodnota</w:t>
            </w:r>
          </w:p>
        </w:tc>
      </w:tr>
      <w:tr w:rsidR="009C6109" w14:paraId="1559FB23" w14:textId="77777777">
        <w:tc>
          <w:tcPr>
            <w:tcW w:w="3672" w:type="dxa"/>
            <w:tcBorders>
              <w:top w:val="single" w:sz="12" w:space="0" w:color="000000"/>
            </w:tcBorders>
          </w:tcPr>
          <w:p w14:paraId="73E3B55B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000000"/>
            </w:tcBorders>
          </w:tcPr>
          <w:p w14:paraId="01B14DB6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000000"/>
            </w:tcBorders>
          </w:tcPr>
          <w:p w14:paraId="09FEF718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  <w:tr w:rsidR="009C6109" w14:paraId="7DB3DBA2" w14:textId="77777777">
        <w:tc>
          <w:tcPr>
            <w:tcW w:w="3672" w:type="dxa"/>
          </w:tcPr>
          <w:p w14:paraId="380426A7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14:paraId="124BA10F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</w:tcPr>
          <w:p w14:paraId="7A6E8A12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  <w:tr w:rsidR="009C6109" w14:paraId="34E06FBA" w14:textId="77777777">
        <w:tc>
          <w:tcPr>
            <w:tcW w:w="3672" w:type="dxa"/>
          </w:tcPr>
          <w:p w14:paraId="77FDC2DF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14:paraId="5D29C9F0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</w:tcPr>
          <w:p w14:paraId="2734EFCE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  <w:tr w:rsidR="009C6109" w14:paraId="7F9F254C" w14:textId="77777777">
        <w:tc>
          <w:tcPr>
            <w:tcW w:w="3672" w:type="dxa"/>
          </w:tcPr>
          <w:p w14:paraId="212B0DC3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14:paraId="0BBBA77E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</w:tcPr>
          <w:p w14:paraId="39154259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  <w:tr w:rsidR="009C6109" w14:paraId="162D2B87" w14:textId="77777777">
        <w:tc>
          <w:tcPr>
            <w:tcW w:w="3672" w:type="dxa"/>
          </w:tcPr>
          <w:p w14:paraId="1766D411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14:paraId="5EE2429A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</w:tcPr>
          <w:p w14:paraId="2921F127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  <w:tr w:rsidR="009C6109" w14:paraId="4583D164" w14:textId="77777777">
        <w:tc>
          <w:tcPr>
            <w:tcW w:w="3672" w:type="dxa"/>
          </w:tcPr>
          <w:p w14:paraId="5DEBA306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14:paraId="33D9F3DF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  <w:tc>
          <w:tcPr>
            <w:tcW w:w="2400" w:type="dxa"/>
          </w:tcPr>
          <w:p w14:paraId="4B6D91EB" w14:textId="77777777" w:rsidR="009C6109" w:rsidRDefault="009C6109">
            <w:pPr>
              <w:jc w:val="both"/>
              <w:rPr>
                <w:rFonts w:ascii="Cambria" w:eastAsia="Cambria" w:hAnsi="Cambria" w:cs="Cambria"/>
                <w:b/>
                <w:sz w:val="32"/>
                <w:szCs w:val="32"/>
              </w:rPr>
            </w:pPr>
          </w:p>
        </w:tc>
      </w:tr>
    </w:tbl>
    <w:p w14:paraId="6D04CE2E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6C66A748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  <w:sz w:val="24"/>
          <w:szCs w:val="24"/>
        </w:rPr>
        <w:t>III. 2</w:t>
      </w:r>
      <w:r>
        <w:rPr>
          <w:rFonts w:ascii="Cambria" w:eastAsia="Cambria" w:hAnsi="Cambria" w:cs="Cambria"/>
          <w:b/>
        </w:rPr>
        <w:t>Informácie o záväzkoch</w:t>
      </w:r>
    </w:p>
    <w:p w14:paraId="392C56A4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a) Záväzky so zostatkovou dobou splatnosti dlhšou ako päť rokov:</w:t>
      </w:r>
    </w:p>
    <w:tbl>
      <w:tblPr>
        <w:tblStyle w:val="a3"/>
        <w:tblW w:w="90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87"/>
        <w:gridCol w:w="2835"/>
        <w:gridCol w:w="2820"/>
      </w:tblGrid>
      <w:tr w:rsidR="009C6109" w14:paraId="100B85BA" w14:textId="77777777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75049130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4B42E6CE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9D5D27" w14:textId="77777777" w:rsidR="009C6109" w:rsidRDefault="00D9462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C6109" w14:paraId="1D49D719" w14:textId="77777777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515DAE8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</w:tcPr>
          <w:p w14:paraId="527BC1CF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C6FFA2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  <w:tr w:rsidR="009C6109" w14:paraId="593BCE2D" w14:textId="77777777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DADA1" w14:textId="77777777" w:rsidR="009C6109" w:rsidRDefault="00D94626">
            <w:pPr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AC145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3254E5B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  <w:tr w:rsidR="009C6109" w14:paraId="4A310639" w14:textId="77777777"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617B5F" w14:textId="77777777" w:rsidR="009C6109" w:rsidRDefault="00D94626">
            <w:pPr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4C6E259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CE64D52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  <w:tr w:rsidR="009C6109" w14:paraId="33B5E9D0" w14:textId="77777777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5C8A4D4" w14:textId="77777777" w:rsidR="009C6109" w:rsidRDefault="00D94626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6836FB" w14:textId="1782DB5F" w:rsidR="009C6109" w:rsidRDefault="00932054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255,18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211E61D" w14:textId="77777777" w:rsidR="009C6109" w:rsidRDefault="00D94626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  <w:tr w:rsidR="009C6109" w14:paraId="058E3822" w14:textId="77777777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78D07" w14:textId="77777777" w:rsidR="009C6109" w:rsidRDefault="00D94626">
            <w:pPr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A35C9" w14:textId="3FA93C48" w:rsidR="009C6109" w:rsidRDefault="00932054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255,18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5FE3D9C" w14:textId="73F7B0AA" w:rsidR="009C6109" w:rsidRDefault="00751F60" w:rsidP="00751F60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  <w:tr w:rsidR="009C6109" w14:paraId="6FB626FF" w14:textId="77777777">
        <w:trPr>
          <w:trHeight w:val="527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0C1524" w14:textId="77777777" w:rsidR="009C6109" w:rsidRDefault="00D94626">
            <w:pPr>
              <w:jc w:val="both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693E709" w14:textId="77777777" w:rsidR="009C6109" w:rsidRDefault="00D94626" w:rsidP="00751F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31FC1" w14:textId="77777777" w:rsidR="009C6109" w:rsidRDefault="00D94626" w:rsidP="00751F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0</w:t>
            </w:r>
          </w:p>
        </w:tc>
      </w:tr>
    </w:tbl>
    <w:p w14:paraId="3A02F674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1EB596AF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3762898C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2 b) Hodnota záväzkov zabezpečená záložným právom: </w:t>
      </w:r>
      <w:r>
        <w:rPr>
          <w:rFonts w:ascii="Cambria" w:eastAsia="Cambria" w:hAnsi="Cambria" w:cs="Cambria"/>
          <w:b/>
        </w:rPr>
        <w:tab/>
      </w:r>
    </w:p>
    <w:p w14:paraId="5A438EC2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6CC88C94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4C5FD61" w14:textId="77777777" w:rsidR="009C6109" w:rsidRDefault="009C6109">
      <w:pPr>
        <w:spacing w:after="360"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1A965692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3 Informácie o vlastných akciách: </w:t>
      </w:r>
      <w:r>
        <w:rPr>
          <w:rFonts w:ascii="Cambria" w:eastAsia="Cambria" w:hAnsi="Cambria" w:cs="Cambria"/>
          <w:b/>
        </w:rPr>
        <w:tab/>
      </w:r>
    </w:p>
    <w:p w14:paraId="1483DAD6" w14:textId="77777777" w:rsidR="009C6109" w:rsidRDefault="00D94626">
      <w:pPr>
        <w:spacing w:before="240" w:line="240" w:lineRule="auto"/>
        <w:ind w:right="-141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b/>
          <w:sz w:val="20"/>
          <w:szCs w:val="20"/>
        </w:rPr>
        <w:t>Ďalšie dôležité informácie o vlastných akciách:</w:t>
      </w:r>
    </w:p>
    <w:p w14:paraId="216EF546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38C43461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 xml:space="preserve">III. 4 a), b), d) Informácie o orgánoch účtovnej jednotky: </w:t>
      </w:r>
      <w:r>
        <w:rPr>
          <w:rFonts w:ascii="Cambria" w:eastAsia="Cambria" w:hAnsi="Cambria" w:cs="Cambria"/>
          <w:b/>
        </w:rPr>
        <w:tab/>
      </w:r>
    </w:p>
    <w:p w14:paraId="5A1A3EAF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3BE3AA6C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280DCBD3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34512848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4 c) Hlavné podmienky, na základe ktorých boli záruky alebo iné zabezpečenia </w:t>
      </w:r>
      <w:r>
        <w:rPr>
          <w:rFonts w:ascii="Cambria" w:eastAsia="Cambria" w:hAnsi="Cambria" w:cs="Cambria"/>
          <w:b/>
        </w:rPr>
        <w:tab/>
        <w:t>poskytnuté (pri pôžičkách sa uvádzajú úrokové sadzby):</w:t>
      </w:r>
    </w:p>
    <w:p w14:paraId="288328B3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4ABD2D00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</w:rPr>
      </w:pPr>
    </w:p>
    <w:p w14:paraId="567427E6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a) Informácie o celkovej sume finančných povinností, ktoré sa nevykazujú v súvahe:</w:t>
      </w:r>
    </w:p>
    <w:p w14:paraId="412B86A9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        Opis významných finančných povinností</w:t>
      </w:r>
    </w:p>
    <w:p w14:paraId="3DD9CEA5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67D97431" w14:textId="77777777" w:rsidR="009C6109" w:rsidRDefault="009C6109">
      <w:pPr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14:paraId="1C4B7D5B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b) Informácie o významných podmienených záväzkoch</w:t>
      </w:r>
    </w:p>
    <w:p w14:paraId="1714C1B6" w14:textId="77777777" w:rsidR="009C6109" w:rsidRDefault="00D94626">
      <w:pPr>
        <w:spacing w:before="120" w:after="0" w:line="240" w:lineRule="auto"/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         Opis významných podmienených záväzkov:</w:t>
      </w:r>
    </w:p>
    <w:p w14:paraId="125818B2" w14:textId="77777777" w:rsidR="009C6109" w:rsidRDefault="009C6109">
      <w:pPr>
        <w:spacing w:before="120" w:after="0" w:line="240" w:lineRule="auto"/>
        <w:jc w:val="both"/>
        <w:rPr>
          <w:rFonts w:ascii="Cambria" w:eastAsia="Cambria" w:hAnsi="Cambria" w:cs="Cambria"/>
          <w:b/>
          <w:color w:val="000000"/>
        </w:rPr>
      </w:pPr>
    </w:p>
    <w:p w14:paraId="58B81345" w14:textId="77777777" w:rsidR="009C6109" w:rsidRDefault="00D94626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  <w:color w:val="000000"/>
        </w:rPr>
        <w:t xml:space="preserve">         </w:t>
      </w:r>
      <w:r>
        <w:rPr>
          <w:rFonts w:ascii="Cambria" w:eastAsia="Cambria" w:hAnsi="Cambria" w:cs="Cambria"/>
          <w:b/>
        </w:rPr>
        <w:t>Pre danú oblasť nemá účtovná jednotka obsahovú náplň</w:t>
      </w:r>
    </w:p>
    <w:p w14:paraId="28C81728" w14:textId="77777777" w:rsidR="009C6109" w:rsidRDefault="009C6109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1F2D3240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5 e) Opis významných povinností účtovnej jednotky vyplývajúcich z dôchodkových </w:t>
      </w:r>
      <w:r>
        <w:rPr>
          <w:rFonts w:ascii="Cambria" w:eastAsia="Cambria" w:hAnsi="Cambria" w:cs="Cambria"/>
          <w:b/>
        </w:rPr>
        <w:tab/>
        <w:t>programov pre zamestnancov:</w:t>
      </w:r>
    </w:p>
    <w:p w14:paraId="23ED7720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67FFD11A" w14:textId="77777777" w:rsidR="009C6109" w:rsidRDefault="00D94626">
      <w:pPr>
        <w:spacing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 xml:space="preserve">III. 6  Informácie o udelení výlučného práva alebo osobitného práva, ktorým sa udelilo </w:t>
      </w:r>
      <w:r>
        <w:rPr>
          <w:rFonts w:ascii="Cambria" w:eastAsia="Cambria" w:hAnsi="Cambria" w:cs="Cambria"/>
          <w:b/>
        </w:rPr>
        <w:tab/>
        <w:t xml:space="preserve">právo poskytovať služby vo verejnom záujme (uvádza sa aj náhrada za túto </w:t>
      </w:r>
      <w:r>
        <w:rPr>
          <w:rFonts w:ascii="Cambria" w:eastAsia="Cambria" w:hAnsi="Cambria" w:cs="Cambria"/>
          <w:b/>
        </w:rPr>
        <w:tab/>
        <w:t>činnosť v akejkoľvek forme):</w:t>
      </w:r>
    </w:p>
    <w:tbl>
      <w:tblPr>
        <w:tblStyle w:val="a4"/>
        <w:tblW w:w="4452" w:type="dxa"/>
        <w:tblLayout w:type="fixed"/>
        <w:tblLook w:val="0400" w:firstRow="0" w:lastRow="0" w:firstColumn="0" w:lastColumn="0" w:noHBand="0" w:noVBand="1"/>
      </w:tblPr>
      <w:tblGrid>
        <w:gridCol w:w="4452"/>
      </w:tblGrid>
      <w:tr w:rsidR="009C6109" w14:paraId="63D9D9B8" w14:textId="77777777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05C16A" w14:textId="77777777" w:rsidR="009C6109" w:rsidRDefault="009C610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</w:tbl>
    <w:p w14:paraId="37825C5C" w14:textId="77777777" w:rsidR="009C6109" w:rsidRDefault="00D94626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Pre danú oblasť nemá účtovná jednotka obsahovú náplň</w:t>
      </w:r>
    </w:p>
    <w:p w14:paraId="1F1DFA35" w14:textId="77777777" w:rsidR="009C6109" w:rsidRDefault="009C61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5C14935A" w14:textId="77777777" w:rsidR="009C6109" w:rsidRDefault="009C6109">
      <w:pPr>
        <w:spacing w:before="240" w:line="240" w:lineRule="auto"/>
        <w:ind w:right="-141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1C65C435" w14:textId="77777777" w:rsidR="009C6109" w:rsidRDefault="009C6109">
      <w:pPr>
        <w:spacing w:before="240" w:line="240" w:lineRule="auto"/>
        <w:jc w:val="both"/>
        <w:rPr>
          <w:rFonts w:ascii="Cambria" w:eastAsia="Cambria" w:hAnsi="Cambria" w:cs="Cambria"/>
          <w:b/>
          <w:sz w:val="20"/>
          <w:szCs w:val="20"/>
        </w:rPr>
      </w:pPr>
    </w:p>
    <w:p w14:paraId="0724D6EF" w14:textId="4FF6BF55" w:rsidR="009C6109" w:rsidRDefault="00D94626">
      <w:pPr>
        <w:spacing w:before="240" w:line="240" w:lineRule="auto"/>
        <w:jc w:val="both"/>
        <w:rPr>
          <w:rFonts w:ascii="Cambria" w:eastAsia="Cambria" w:hAnsi="Cambria" w:cs="Cambria"/>
          <w:i/>
          <w:sz w:val="20"/>
          <w:szCs w:val="20"/>
        </w:rPr>
      </w:pPr>
      <w:bookmarkStart w:id="0" w:name="_heading=h.gjdgxs" w:colFirst="0" w:colLast="0"/>
      <w:bookmarkEnd w:id="0"/>
      <w:r>
        <w:rPr>
          <w:rFonts w:ascii="Cambria" w:eastAsia="Cambria" w:hAnsi="Cambria" w:cs="Cambria"/>
          <w:i/>
          <w:sz w:val="20"/>
          <w:szCs w:val="20"/>
        </w:rPr>
        <w:t>To</w:t>
      </w:r>
      <w:r w:rsidR="00932054">
        <w:rPr>
          <w:rFonts w:ascii="Cambria" w:eastAsia="Cambria" w:hAnsi="Cambria" w:cs="Cambria"/>
          <w:i/>
          <w:sz w:val="20"/>
          <w:szCs w:val="20"/>
        </w:rPr>
        <w:t>poľčany</w:t>
      </w:r>
      <w:r>
        <w:rPr>
          <w:rFonts w:ascii="Cambria" w:eastAsia="Cambria" w:hAnsi="Cambria" w:cs="Cambria"/>
          <w:i/>
          <w:sz w:val="20"/>
          <w:szCs w:val="20"/>
        </w:rPr>
        <w:t>, 30.06.202</w:t>
      </w:r>
      <w:r w:rsidR="00932054">
        <w:rPr>
          <w:rFonts w:ascii="Cambria" w:eastAsia="Cambria" w:hAnsi="Cambria" w:cs="Cambria"/>
          <w:i/>
          <w:sz w:val="20"/>
          <w:szCs w:val="20"/>
        </w:rPr>
        <w:t>2</w:t>
      </w:r>
    </w:p>
    <w:p w14:paraId="2B5652B6" w14:textId="77777777" w:rsidR="009C6109" w:rsidRDefault="009C6109">
      <w:pPr>
        <w:spacing w:before="240" w:line="240" w:lineRule="auto"/>
        <w:jc w:val="right"/>
        <w:rPr>
          <w:rFonts w:ascii="Cambria" w:eastAsia="Cambria" w:hAnsi="Cambria" w:cs="Cambria"/>
          <w:b/>
          <w:sz w:val="20"/>
          <w:szCs w:val="20"/>
        </w:rPr>
      </w:pPr>
    </w:p>
    <w:sectPr w:rsidR="009C610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DF7398" w14:textId="77777777" w:rsidR="00CD6084" w:rsidRDefault="00D94626">
      <w:pPr>
        <w:spacing w:after="0" w:line="240" w:lineRule="auto"/>
      </w:pPr>
      <w:r>
        <w:separator/>
      </w:r>
    </w:p>
  </w:endnote>
  <w:endnote w:type="continuationSeparator" w:id="0">
    <w:p w14:paraId="2E790493" w14:textId="77777777" w:rsidR="00CD6084" w:rsidRDefault="00D94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762E45" w14:textId="77777777" w:rsidR="009C6109" w:rsidRDefault="00D9462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rFonts w:ascii="Cambria" w:eastAsia="Cambria" w:hAnsi="Cambria" w:cs="Cambria"/>
        <w:color w:val="000000"/>
      </w:rPr>
    </w:pPr>
    <w:r>
      <w:rPr>
        <w:rFonts w:ascii="Cambria" w:eastAsia="Cambria" w:hAnsi="Cambria" w:cs="Cambria"/>
        <w:color w:val="000000"/>
      </w:rPr>
      <w:fldChar w:fldCharType="begin"/>
    </w:r>
    <w:r>
      <w:rPr>
        <w:rFonts w:ascii="Cambria" w:eastAsia="Cambria" w:hAnsi="Cambria" w:cs="Cambria"/>
        <w:color w:val="000000"/>
      </w:rPr>
      <w:instrText>PAGE</w:instrText>
    </w:r>
    <w:r>
      <w:rPr>
        <w:rFonts w:ascii="Cambria" w:eastAsia="Cambria" w:hAnsi="Cambria" w:cs="Cambria"/>
        <w:color w:val="000000"/>
      </w:rPr>
      <w:fldChar w:fldCharType="separate"/>
    </w:r>
    <w:r>
      <w:rPr>
        <w:rFonts w:ascii="Cambria" w:eastAsia="Cambria" w:hAnsi="Cambria" w:cs="Cambria"/>
        <w:noProof/>
        <w:color w:val="000000"/>
      </w:rPr>
      <w:t>1</w:t>
    </w:r>
    <w:r>
      <w:rPr>
        <w:rFonts w:ascii="Cambria" w:eastAsia="Cambria" w:hAnsi="Cambria" w:cs="Cambria"/>
        <w:color w:val="000000"/>
      </w:rPr>
      <w:fldChar w:fldCharType="end"/>
    </w:r>
  </w:p>
  <w:p w14:paraId="64D9D811" w14:textId="77777777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310A63" w14:textId="77777777" w:rsidR="00CD6084" w:rsidRDefault="00D94626">
      <w:pPr>
        <w:spacing w:after="0" w:line="240" w:lineRule="auto"/>
      </w:pPr>
      <w:r>
        <w:separator/>
      </w:r>
    </w:p>
  </w:footnote>
  <w:footnote w:type="continuationSeparator" w:id="0">
    <w:p w14:paraId="0A25A860" w14:textId="77777777" w:rsidR="00CD6084" w:rsidRDefault="00D946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98B7C3" w14:textId="338D1662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Cambria" w:eastAsia="Cambria" w:hAnsi="Cambria" w:cs="Cambria"/>
        <w:color w:val="000000"/>
      </w:rPr>
    </w:pPr>
  </w:p>
  <w:p w14:paraId="7ECE9FF5" w14:textId="77777777" w:rsidR="009C6109" w:rsidRDefault="00D9462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366091"/>
        <w:sz w:val="36"/>
        <w:szCs w:val="36"/>
      </w:rPr>
    </w:pPr>
    <w:r>
      <w:rPr>
        <w:noProof/>
        <w:color w:val="4F81BD"/>
      </w:rPr>
      <mc:AlternateContent>
        <mc:Choice Requires="wpg">
          <w:drawing>
            <wp:anchor distT="0" distB="0" distL="114300" distR="114300" simplePos="0" relativeHeight="251667968" behindDoc="0" locked="0" layoutInCell="1" hidden="0" allowOverlap="1" wp14:anchorId="2F05F5FC" wp14:editId="12BA970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0" r="0" b="0"/>
              <wp:wrapNone/>
              <wp:docPr id="64" name="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74010" cy="883920"/>
                        <a:chOff x="3908995" y="3338040"/>
                        <a:chExt cx="2874010" cy="883920"/>
                      </a:xfrm>
                    </wpg:grpSpPr>
                    <wpg:grpSp>
                      <wpg:cNvPr id="1" name="Skupina 1"/>
                      <wpg:cNvGrpSpPr/>
                      <wpg:grpSpPr>
                        <a:xfrm>
                          <a:off x="3908995" y="3338040"/>
                          <a:ext cx="2874010" cy="883920"/>
                          <a:chOff x="0" y="-40192"/>
                          <a:chExt cx="4041530" cy="1003564"/>
                        </a:xfrm>
                      </wpg:grpSpPr>
                      <wps:wsp>
                        <wps:cNvPr id="2" name="Obdĺžnik 2"/>
                        <wps:cNvSpPr/>
                        <wps:spPr>
                          <a:xfrm>
                            <a:off x="0" y="-40192"/>
                            <a:ext cx="4041525" cy="100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B415A50" w14:textId="77777777" w:rsidR="009C6109" w:rsidRDefault="009C6109">
                              <w:pPr>
                                <w:spacing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3" name="Rovná spojovacia šípka 3"/>
                        <wps:cNvCnPr/>
                        <wps:spPr>
                          <a:xfrm rot="10800000" flipH="1">
                            <a:off x="459084" y="-40192"/>
                            <a:ext cx="3582446" cy="969053"/>
                          </a:xfrm>
                          <a:prstGeom prst="straightConnector1">
                            <a:avLst/>
                          </a:prstGeom>
                          <a:gradFill>
                            <a:gsLst>
                              <a:gs pos="0">
                                <a:srgbClr val="B4CFF1"/>
                              </a:gs>
                              <a:gs pos="50000">
                                <a:srgbClr val="D0E0F4"/>
                              </a:gs>
                              <a:gs pos="100000">
                                <a:srgbClr val="E7EFF9"/>
                              </a:gs>
                            </a:gsLst>
                            <a:path path="circle">
                              <a:fillToRect l="50000" t="50000" r="50000" b="50000"/>
                            </a:path>
                            <a:tileRect/>
                          </a:gradFill>
                          <a:ln w="9525" cap="flat" cmpd="sng">
                            <a:solidFill>
                              <a:srgbClr val="93B3D7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bodyPr/>
                      </wps:wsp>
                      <wps:wsp>
                        <wps:cNvPr id="4" name="Ovál 4"/>
                        <wps:cNvSpPr/>
                        <wps:spPr>
                          <a:xfrm>
                            <a:off x="0" y="50242"/>
                            <a:ext cx="1014730" cy="913130"/>
                          </a:xfrm>
                          <a:prstGeom prst="ellipse">
                            <a:avLst/>
                          </a:prstGeom>
                          <a:gradFill>
                            <a:gsLst>
                              <a:gs pos="0">
                                <a:srgbClr val="B4CFF1"/>
                              </a:gs>
                              <a:gs pos="50000">
                                <a:srgbClr val="D0E0F4"/>
                              </a:gs>
                              <a:gs pos="100000">
                                <a:srgbClr val="E7EFF9"/>
                              </a:gs>
                            </a:gsLst>
                            <a:path path="circle">
                              <a:fillToRect l="50000" t="50000" r="50000" b="50000"/>
                            </a:path>
                            <a:tileRect/>
                          </a:gradFill>
                          <a:ln>
                            <a:noFill/>
                          </a:ln>
                        </wps:spPr>
                        <wps:txbx>
                          <w:txbxContent>
                            <w:p w14:paraId="6BF1F7A9" w14:textId="77777777" w:rsidR="009C6109" w:rsidRDefault="009C6109">
                              <w:pPr>
                                <w:spacing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mc:Fallback>
          <w:pict>
            <v:group w14:anchorId="2F05F5FC" id="_x0000_s1026" style="position:absolute;left:0;text-align:left;margin-left:0;margin-top:0;width:226.3pt;height:69.6pt;z-index:251667968;mso-position-horizontal:left;mso-position-horizontal-relative:page;mso-position-vertical:top;mso-position-vertical-relative:page" coordorigin="39089,33380" coordsize="28740,8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">
              <v:group id="Skupina 1" o:spid="_x0000_s1027" style="position:absolute;left:39089;top:33380;width:28741;height:8839" coordorigin=",-401" coordsize="40415,1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">
                <v:rect id="Obdĺžnik 2" o:spid="_x0000_s1028" style="position:absolute;top:-401;width:40415;height:100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" filled="f" stroked="f">
                  <v:textbox inset="2.53958mm,2.53958mm,2.53958mm,2.53958mm">
                    <w:txbxContent>
                      <w:p w14:paraId="1B415A50" w14:textId="77777777" w:rsidR="009C6109" w:rsidRDefault="009C6109">
                        <w:pPr>
                          <w:spacing w:after="0" w:line="240" w:lineRule="auto"/>
                          <w:textDirection w:val="btLr"/>
                        </w:pP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ovná spojovacia šípka 3" o:spid="_x0000_s1029" type="#_x0000_t32" style="position:absolute;left:4590;top:-401;width:35825;height:9689;rotation:18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" filled="t" fillcolor="#b4cff1" strokecolor="#93b3d7">
                  <v:fill color2="#e7eff9" focusposition=".5,.5" focussize="" colors="0 #b4cff1;.5 #d0e0f4;1 #e7eff9" focus="100%" type="gradientRadial"/>
                  <v:stroke startarrowwidth="narrow" startarrowlength="short" endarrowwidth="narrow" endarrowlength="short"/>
                </v:shape>
                <v:oval id="Ovál 4" o:spid="_x0000_s1030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" fillcolor="#b4cff1" stroked="f">
                  <v:fill color2="#e7eff9" focusposition=".5,.5" focussize="" colors="0 #b4cff1;.5 #d0e0f4;1 #e7eff9" focus="100%" type="gradientRadial"/>
                  <v:textbox inset="2.53958mm,2.53958mm,2.53958mm,2.53958mm">
                    <w:txbxContent>
                      <w:p w14:paraId="6BF1F7A9" w14:textId="77777777" w:rsidR="009C6109" w:rsidRDefault="009C6109">
                        <w:pPr>
                          <w:spacing w:after="0" w:line="240" w:lineRule="auto"/>
                          <w:textDirection w:val="btLr"/>
                        </w:pPr>
                      </w:p>
                    </w:txbxContent>
                  </v:textbox>
                </v:oval>
              </v:group>
              <w10:wrap anchorx="page" anchory="page"/>
            </v:group>
          </w:pict>
        </mc:Fallback>
      </mc:AlternateContent>
    </w:r>
    <w:r>
      <w:rPr>
        <w:rFonts w:ascii="Cambria" w:eastAsia="Cambria" w:hAnsi="Cambria" w:cs="Cambria"/>
        <w:color w:val="000000"/>
        <w:sz w:val="36"/>
        <w:szCs w:val="36"/>
      </w:rPr>
      <w:t>Poznámky Úč MÚJ 3 - 01</w:t>
    </w:r>
  </w:p>
  <w:p w14:paraId="57DB7E67" w14:textId="77777777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Cambria" w:eastAsia="Cambria" w:hAnsi="Cambria" w:cs="Cambria"/>
        <w:color w:val="000000"/>
      </w:rPr>
    </w:pPr>
  </w:p>
  <w:p w14:paraId="1A8D0DC3" w14:textId="77777777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Cambria" w:eastAsia="Cambria" w:hAnsi="Cambria" w:cs="Cambria"/>
        <w:color w:val="000000"/>
      </w:rPr>
    </w:pPr>
  </w:p>
  <w:tbl>
    <w:tblPr>
      <w:tblStyle w:val="a5"/>
      <w:tblW w:w="7985" w:type="dxa"/>
      <w:jc w:val="right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9C6109" w14:paraId="43E7E5B9" w14:textId="77777777">
      <w:trPr>
        <w:trHeight w:val="340"/>
        <w:jc w:val="right"/>
      </w:trPr>
      <w:tc>
        <w:tcPr>
          <w:tcW w:w="624" w:type="dxa"/>
          <w:vAlign w:val="center"/>
        </w:tcPr>
        <w:p w14:paraId="3055AB3C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6196FBE1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7849D3D5" w14:textId="54208E00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3507E33" w14:textId="6050B2D1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0206530E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47AD0279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5344B340" w14:textId="0D7F6249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0D9D802F" w14:textId="39F9D30C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6E4B4E0F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9FE7E1F" w14:textId="77777777" w:rsidR="009C6109" w:rsidRDefault="009C610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3396207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B725633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C61AA16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19C6D361" w14:textId="77777777" w:rsidR="009C6109" w:rsidRDefault="00D946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BA7EB5A" w14:textId="7E1DF906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73FCE7F5" w14:textId="6D89C642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485BA368" w14:textId="49636E38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7E989AEE" w14:textId="350CC0CE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3F7C879C" w14:textId="44F95A9A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76B3BEC" w14:textId="31635669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57E694D0" w14:textId="75D6CE44" w:rsidR="009C6109" w:rsidRDefault="00AC0E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>2</w:t>
          </w:r>
        </w:p>
      </w:tc>
    </w:tr>
  </w:tbl>
  <w:p w14:paraId="3264D535" w14:textId="77777777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Cambria" w:eastAsia="Cambria" w:hAnsi="Cambria" w:cs="Cambria"/>
        <w:color w:val="000000"/>
      </w:rPr>
    </w:pPr>
  </w:p>
  <w:p w14:paraId="6154146A" w14:textId="77777777" w:rsidR="009C6109" w:rsidRDefault="009C6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Cambria" w:eastAsia="Cambria" w:hAnsi="Cambria" w:cs="Cambria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109"/>
    <w:rsid w:val="00032A54"/>
    <w:rsid w:val="003B7564"/>
    <w:rsid w:val="00690FA4"/>
    <w:rsid w:val="00751F60"/>
    <w:rsid w:val="00932054"/>
    <w:rsid w:val="009C6109"/>
    <w:rsid w:val="00AC0E48"/>
    <w:rsid w:val="00BD3AF9"/>
    <w:rsid w:val="00CD6084"/>
    <w:rsid w:val="00D9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5EFF4"/>
  <w15:docId w15:val="{777F19C9-A714-44C3-9E62-5ECEA19CE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atabuka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Normlnatabuka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Normlnatabuka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Normlnatabuka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Normlnatabuka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Normlnatabuka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Normlnatabuka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r7koarFHtoL4P/OpbYTujcP9FVQ==">AMUW2mU8NrWuF1aYmFGzpk2gJxXhJl/lZzNj3QSgqO3F4dIIH6QFrbxsBcr5i3eN6imaS107Gkomt/s0+KEfBOAk/5f6bFHEzqFa0o3rEPGg4d5JTVLt0GPwm8QGxwcHp1cFpdicNfDg</go:docsCustomData>
</go:gDocsCustomXmlDataStorage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5CF210544064F4A98C278418EC7F3A0" ma:contentTypeVersion="7" ma:contentTypeDescription="Ein neues Dokument erstellen." ma:contentTypeScope="" ma:versionID="f00811423884472ed2058c43135db6e6">
  <xsd:schema xmlns:xsd="http://www.w3.org/2001/XMLSchema" xmlns:xs="http://www.w3.org/2001/XMLSchema" xmlns:p="http://schemas.microsoft.com/office/2006/metadata/properties" xmlns:ns3="a93cc7c6-a644-4fab-bf11-60092e3c826b" targetNamespace="http://schemas.microsoft.com/office/2006/metadata/properties" ma:root="true" ma:fieldsID="773e1718febfc78a01ebcaf8057ce0ee" ns3:_="">
    <xsd:import namespace="a93cc7c6-a644-4fab-bf11-60092e3c826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3cc7c6-a644-4fab-bf11-60092e3c82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C6F10D-8D20-4844-BA6D-252D2F1260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368341-BC70-488D-ABBF-AE6DDFE725C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5618304-27B7-4190-800E-427933E4925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5.xml><?xml version="1.0" encoding="utf-8"?>
<ds:datastoreItem xmlns:ds="http://schemas.openxmlformats.org/officeDocument/2006/customXml" ds:itemID="{7597AE80-9A53-46C6-9559-B71758463E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3cc7c6-a644-4fab-bf11-60092e3c82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753</Words>
  <Characters>4298</Characters>
  <Application>Microsoft Office Word</Application>
  <DocSecurity>0</DocSecurity>
  <Lines>35</Lines>
  <Paragraphs>10</Paragraphs>
  <ScaleCrop>false</ScaleCrop>
  <Company>ZKW Group Gmbh</Company>
  <LinksUpToDate>false</LinksUpToDate>
  <CharactersWithSpaces>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</dc:creator>
  <cp:lastModifiedBy>Kopcova Zuzana</cp:lastModifiedBy>
  <cp:revision>3</cp:revision>
  <dcterms:created xsi:type="dcterms:W3CDTF">2022-06-30T07:25:00Z</dcterms:created>
  <dcterms:modified xsi:type="dcterms:W3CDTF">2022-06-30T07:26:00Z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0x01010035CF210544064F4A98C278418EC7F3A0</vt:lpwstr>
  </property>
</Properties>
</file>