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" w:line="140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spacing w:after="120" w:lineRule="auto"/>
        <w:jc w:val="center"/>
        <w:rPr>
          <w:rFonts w:ascii="Arial Narrow" w:cs="Arial Narrow" w:eastAsia="Arial Narrow" w:hAnsi="Arial Narrow"/>
          <w:b w:val="1"/>
        </w:rPr>
      </w:pP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Poznámky účtovnej závierke za rok 2022</w:t>
      </w:r>
    </w:p>
    <w:p w:rsidR="00000000" w:rsidDel="00000000" w:rsidP="00000000" w:rsidRDefault="00000000" w:rsidRPr="00000000" w14:paraId="00000003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účtovné jednotky</w:t>
      </w: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 v znení neskorších predpisov</w:t>
      </w:r>
    </w:p>
    <w:p w:rsidR="00000000" w:rsidDel="00000000" w:rsidP="00000000" w:rsidRDefault="00000000" w:rsidRPr="00000000" w14:paraId="00000004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(ostatná novela č.MF/18008/2014-74 – FS č.10/2014)</w:t>
      </w:r>
    </w:p>
    <w:p w:rsidR="00000000" w:rsidDel="00000000" w:rsidP="00000000" w:rsidRDefault="00000000" w:rsidRPr="00000000" w14:paraId="00000005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spacing w:before="69" w:lineRule="auto"/>
        <w:ind w:right="836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84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 IČO,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3085"/>
        <w:gridCol w:w="6602"/>
        <w:tblGridChange w:id="0">
          <w:tblGrid>
            <w:gridCol w:w="3085"/>
            <w:gridCol w:w="6602"/>
          </w:tblGrid>
        </w:tblGridChange>
      </w:tblGrid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B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Názov: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C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Doop trade s. r. 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D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IČO: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E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52476481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F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0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Karpatské námestie 10A 831 06 Bratislava - mestská časť Rača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08" w:hanging="108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   nemáme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19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4219"/>
        <w:gridCol w:w="2126"/>
        <w:gridCol w:w="3342"/>
        <w:tblGridChange w:id="0">
          <w:tblGrid>
            <w:gridCol w:w="4219"/>
            <w:gridCol w:w="2126"/>
            <w:gridCol w:w="3342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A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B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Bežné účtovné</w:t>
            </w:r>
          </w:p>
          <w:p w:rsidR="00000000" w:rsidDel="00000000" w:rsidP="00000000" w:rsidRDefault="00000000" w:rsidRPr="00000000" w14:paraId="0000001C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D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E">
            <w:pPr>
              <w:spacing w:line="260" w:lineRule="auto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Priemerný prepočítaný počet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F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0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ind w:left="108" w:hanging="108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Heading1"/>
        <w:ind w:right="839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right="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Arial" w:cs="Arial" w:eastAsia="Arial" w:hAnsi="Arial"/>
          <w:b w:val="0"/>
          <w:i w:val="0"/>
          <w:color w:val="000000"/>
          <w:sz w:val="22"/>
          <w:szCs w:val="22"/>
          <w:u w:val="no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činnosti: pokračujem vo svojej činnosti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4843"/>
        <w:gridCol w:w="4844"/>
        <w:tblGridChange w:id="0">
          <w:tblGrid>
            <w:gridCol w:w="4843"/>
            <w:gridCol w:w="4844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Kúpené pohľadávky: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Dlhopisy: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a úvery: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Derivátové operácie: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108" w:right="0" w:hanging="108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jednotlivé druhy dlhodobého hmotného majetku a dlhodobého nehmotného majetku, pričom sa uvádza doba odpisovania, použité sadzby odpisov a odpisové metódy pri určení odpisov: rovnomerné odpisovanie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s uvedením  dôvodu  týchto  zmien a vyčíslením ich  vplyvu  na  finančnú  hodnotu  majetku,  záväzkov,  základného  imania a výsledku hospodárenia účtovnej jednotky: nemáme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ich oceňovanie v účtovníctve:  nemáme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nemáme</w:t>
      </w:r>
    </w:p>
    <w:p w:rsidR="00000000" w:rsidDel="00000000" w:rsidP="00000000" w:rsidRDefault="00000000" w:rsidRPr="00000000" w14:paraId="00000053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pStyle w:val="Heading1"/>
        <w:ind w:right="157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right="157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napríklad výnosy z predaja podniku alebo časti podniku, náklady z dôvodu predaja podniku alebo časti podniku, škody z dôvodu živelných pohrôm: nemáme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záväzkov so zostatkovou dobou splatnosti dlhšou ako päť rokov: nemáme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zabezpečených záväzkov, opis a spôsoby zabezpečenia záväzkov: nemáme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nemáme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 nemáme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nemáme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sadzby: nemáme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 nemáme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jednotky, a to: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nemáme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nemáme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významných podmienených záväzkov, a to celkovej sume významných finančných povinností a významných podmienených záväzkoch voči dcérskej účtovnej jednotke a účtovnej jednotke s podstatným vplyvom: nemáme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zamestnancov: nemáme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nemáme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60" w:w="11900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Helvetica Neue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right" w:leader="none" w:pos="9020"/>
      </w:tabs>
      <w:spacing w:after="0" w:before="0" w:line="240" w:lineRule="auto"/>
      <w:ind w:left="0" w:right="0" w:firstLine="0"/>
      <w:jc w:val="left"/>
      <w:rPr>
        <w:rFonts w:ascii="Helvetica Neue" w:cs="Helvetica Neue" w:eastAsia="Helvetica Neue" w:hAnsi="Helvetica Neue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6140768</wp:posOffset>
              </wp:positionH>
              <wp:positionV relativeFrom="page">
                <wp:posOffset>10155873</wp:posOffset>
              </wp:positionV>
              <wp:extent cx="550545" cy="187325"/>
              <wp:effectExtent b="0" l="0" r="0" t="0"/>
              <wp:wrapNone/>
              <wp:docPr descr="Text Box 1"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64.99999046325684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6140768</wp:posOffset>
              </wp:positionH>
              <wp:positionV relativeFrom="page">
                <wp:posOffset>10155873</wp:posOffset>
              </wp:positionV>
              <wp:extent cx="550545" cy="187325"/>
              <wp:effectExtent b="0" l="0" r="0" t="0"/>
              <wp:wrapNone/>
              <wp:docPr descr="Text Box 1" id="1" name="image1.png"/>
              <a:graphic>
                <a:graphicData uri="http://schemas.openxmlformats.org/drawingml/2006/picture">
                  <pic:pic>
                    <pic:nvPicPr>
                      <pic:cNvPr descr="Text Box 1"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50545" cy="187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rtl w:val="0"/>
      </w:rPr>
      <w:t xml:space="preserve">Poznámky                               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IČO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52476481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DIČ: 2121036379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302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302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302"/>
      </w:pPr>
      <w:rPr>
        <w:smallCaps w:val="0"/>
        <w:strike w:val="0"/>
        <w:shd w:fill="auto" w:val="clear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HelveticaNeue-regular.ttf"/><Relationship Id="rId6" Type="http://schemas.openxmlformats.org/officeDocument/2006/relationships/font" Target="fonts/HelveticaNeue-bold.ttf"/><Relationship Id="rId7" Type="http://schemas.openxmlformats.org/officeDocument/2006/relationships/font" Target="fonts/HelveticaNeue-italic.ttf"/><Relationship Id="rId8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