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hd w:val="clear" w:color="auto" w:fill="FFFFFF"/>
        <w:spacing w:lineRule="auto" w:line="240" w:before="0" w:after="0"/>
        <w:ind w:right="284" w:hanging="0"/>
        <w:jc w:val="center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</w:r>
    </w:p>
    <w:p>
      <w:pPr>
        <w:pStyle w:val="Normal"/>
        <w:shd w:val="clear" w:color="auto" w:fill="E7E6E6"/>
        <w:spacing w:lineRule="auto" w:line="240" w:before="0" w:after="0"/>
        <w:ind w:right="284" w:hanging="0"/>
        <w:jc w:val="center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Všeobecné informácie</w:t>
      </w:r>
    </w:p>
    <w:p>
      <w:pPr>
        <w:pStyle w:val="ListParagraph"/>
        <w:keepNext w:val="true"/>
        <w:numPr>
          <w:ilvl w:val="0"/>
          <w:numId w:val="3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tbl>
      <w:tblPr>
        <w:tblW w:w="9072" w:type="dxa"/>
        <w:jc w:val="left"/>
        <w:tblInd w:w="22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327" w:hRule="atLeast"/>
        </w:trPr>
        <w:tc>
          <w:tcPr>
            <w:tcW w:w="19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 w:cs="Arial Narrow"/>
                <w:b/>
                <w:szCs w:val="22"/>
              </w:rPr>
            </w:pPr>
            <w:r>
              <w:rPr>
                <w:rFonts w:cs="Arial Narrow" w:ascii="Calibri" w:hAnsi="Calibri"/>
                <w:b/>
                <w:szCs w:val="22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 w:cs="Arial Narrow"/>
                <w:szCs w:val="22"/>
              </w:rPr>
            </w:pPr>
            <w:r>
              <w:rPr>
                <w:rFonts w:cs="Arial Narrow" w:ascii="Calibri" w:hAnsi="Calibri"/>
                <w:szCs w:val="22"/>
              </w:rPr>
              <w:t>MKM Prešov, s. r. o.</w:t>
            </w:r>
          </w:p>
        </w:tc>
      </w:tr>
      <w:tr>
        <w:trPr>
          <w:trHeight w:val="340" w:hRule="atLeast"/>
        </w:trPr>
        <w:tc>
          <w:tcPr>
            <w:tcW w:w="19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 w:cs="Arial Narrow"/>
                <w:b/>
                <w:szCs w:val="22"/>
              </w:rPr>
            </w:pPr>
            <w:r>
              <w:rPr>
                <w:rFonts w:cs="Arial Narrow" w:ascii="Calibri" w:hAnsi="Calibri"/>
                <w:b/>
                <w:szCs w:val="22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 w:cs="Arial Narrow"/>
                <w:szCs w:val="22"/>
              </w:rPr>
            </w:pPr>
            <w:r>
              <w:rPr>
                <w:rFonts w:cs="Arial Narrow" w:ascii="Calibri" w:hAnsi="Calibri"/>
                <w:szCs w:val="22"/>
              </w:rPr>
              <w:t>Petrovanská 40, 080 05</w:t>
            </w:r>
          </w:p>
        </w:tc>
      </w:tr>
    </w:tbl>
    <w:p>
      <w:pPr>
        <w:pStyle w:val="Normal"/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/>
          <w:bCs/>
          <w:szCs w:val="22"/>
        </w:rPr>
        <w:t>Opis vykonávanej  činnosti účtovnej jednotky:</w:t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obchodná činnosť - nákup a predaj pohonných hmôt, olejov, mazív, brzdových kvapalín, saponátov a ostatných náplní k motorovým vozidlám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obchodná činnosť - nákup a predaj náhradných dielcov a príslušenstva k jednostopovým a dvojstopovým motorovým vozidlám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obchodná činnosť - nákup a predaj jednostopových a dvojstopových motorových vozidiel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obchodná činnosť - nákup a predaj priemyselného a spotrebného tovaru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obchodná činnosť - nákup a predaj potravinárskych výrobkov, vrátane alkoholických, nealkoholických a tabakových výrobkov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reklamná a inzertná činnosť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prenájom hnuteľných vecí a nehnuteľností (spojený s poskytovaním iných než základných služieb spojených s prenájmom)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prenájom motorových vozidiel, prívesných vozíkov a strešných nosičov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príprava a predaj na priamu konzumáciu: nealkoholických a priemyselne vyrábaných mliečnych nápojov, koktailov, piva, vína a destilátov; zmrzliny, ak sa na jej prípravu použijú priemyselne vyrábané koncentráty a mrazené krémy; tepelne rýchlo upravovaných mäsových výrobkov a obvyklých príloh, ako aj bezmäsitých jedál; jedál, nápojov a polotovarov ubytovaným hosťom v ubytovacích zariadeniach s kapacitou do 10 lôžok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prevádzkovanie autoumyvárky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čistiace a upratovacie služby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prevádzkovanie samostatne obsluhovaných automatov zákazníkom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072"/>
      </w:tblGrid>
      <w:tr>
        <w:trPr/>
        <w:tc>
          <w:tcPr>
            <w:tcW w:w="907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sprostredkovanie výroby a obchodu</w:t>
            </w:r>
          </w:p>
        </w:tc>
      </w:tr>
    </w:tbl>
    <w:p>
      <w:pPr>
        <w:pStyle w:val="Normal"/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</w:r>
    </w:p>
    <w:p>
      <w:pPr>
        <w:pStyle w:val="Normal"/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</w:r>
    </w:p>
    <w:p>
      <w:pPr>
        <w:pStyle w:val="Normal"/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6"/>
        <w:gridCol w:w="3543"/>
        <w:gridCol w:w="3402"/>
        <w:gridCol w:w="1382"/>
        <w:gridCol w:w="318"/>
      </w:tblGrid>
      <w:tr>
        <w:trPr>
          <w:trHeight w:val="340" w:hRule="exac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3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</w: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jc w:val="both"/>
              <w:outlineLvl w:val="1"/>
              <w:rPr>
                <w:rFonts w:ascii="Calibri" w:hAnsi="Calibri"/>
                <w:b/>
                <w:bCs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Dátum schválenia účtovnej závierky za bezprostredne predchádzajúce ÚO</w:t>
            </w:r>
          </w:p>
          <w:p>
            <w:pPr>
              <w:pStyle w:val="Normal"/>
              <w:widowControl w:val="false"/>
              <w:spacing w:before="0" w:after="200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  <w:t>30062018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3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Právny dôvod na zostavenie účtovnej závierky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42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6945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42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Dôvod mimoriadnej účtovnej závierky</w:t>
            </w:r>
          </w:p>
        </w:tc>
        <w:tc>
          <w:tcPr>
            <w:tcW w:w="51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Calibri" w:hAnsi="Calibri"/>
          <w:b/>
          <w:bCs/>
          <w:szCs w:val="22"/>
        </w:rPr>
      </w:pPr>
      <w:r>
        <w:rPr>
          <w:rFonts w:ascii="Calibri" w:hAnsi="Calibri"/>
          <w:b/>
          <w:bCs/>
          <w:szCs w:val="22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Calibri" w:hAnsi="Calibri"/>
          <w:b/>
          <w:bCs/>
          <w:szCs w:val="22"/>
        </w:rPr>
      </w:pPr>
      <w:r>
        <w:rPr>
          <w:rFonts w:ascii="Calibri" w:hAnsi="Calibri"/>
          <w:b/>
          <w:bCs/>
          <w:szCs w:val="22"/>
        </w:rPr>
      </w:r>
    </w:p>
    <w:tbl>
      <w:tblPr>
        <w:tblW w:w="9072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26"/>
        <w:gridCol w:w="3685"/>
        <w:gridCol w:w="337"/>
        <w:gridCol w:w="4340"/>
        <w:gridCol w:w="283"/>
      </w:tblGrid>
      <w:tr>
        <w:trPr>
          <w:trHeight w:val="225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3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6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contextualSpacing/>
              <w:jc w:val="both"/>
              <w:outlineLvl w:val="1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Údaje o skupine účtovných jednotiek:</w:t>
            </w:r>
          </w:p>
        </w:tc>
      </w:tr>
      <w:tr>
        <w:trPr/>
        <w:tc>
          <w:tcPr>
            <w:tcW w:w="4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ÚJ   nie je súčasťou konsolidovaného celku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ÚJ   je súčasťou konsolidovaného celku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56" w:hanging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/>
        <w:tc>
          <w:tcPr>
            <w:tcW w:w="4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ÚJ   nie je materskou účtovnou jednotkou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56" w:hanging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ListParagraph"/>
        <w:keepNext w:val="true"/>
        <w:numPr>
          <w:ilvl w:val="0"/>
          <w:numId w:val="5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Calibri" w:hAnsi="Calibri"/>
          <w:b/>
          <w:bCs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ListParagraph"/>
        <w:keepNext w:val="true"/>
        <w:numPr>
          <w:ilvl w:val="0"/>
          <w:numId w:val="5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Calibri" w:hAnsi="Calibri"/>
          <w:b/>
          <w:bCs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ListParagraph"/>
        <w:keepNext w:val="true"/>
        <w:numPr>
          <w:ilvl w:val="0"/>
          <w:numId w:val="5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Calibri" w:hAnsi="Calibri"/>
          <w:b/>
          <w:bCs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adresa, kde sa môže vyžiadať kópia konsolidovaných účtovných závierok uvedených v písmenách a) a b),</w:t>
      </w:r>
    </w:p>
    <w:p>
      <w:pPr>
        <w:pStyle w:val="ListParagraph"/>
        <w:keepNext w:val="true"/>
        <w:numPr>
          <w:ilvl w:val="0"/>
          <w:numId w:val="5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Calibri" w:hAnsi="Calibri"/>
          <w:b/>
          <w:bCs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pri oslobodení podľa § 22 ods. 10 a 12 zákona obchodné meno a sídlo dcérskych účtovných jednotiek.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1077" w:hanging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1077" w:hanging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tbl>
      <w:tblPr>
        <w:tblW w:w="48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24"/>
        <w:gridCol w:w="6926"/>
        <w:gridCol w:w="1459"/>
      </w:tblGrid>
      <w:tr>
        <w:trPr>
          <w:trHeight w:val="340" w:hRule="atLeast"/>
        </w:trPr>
        <w:tc>
          <w:tcPr>
            <w:tcW w:w="3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3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6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Priemerný prepočítaný počet zamestnancov</w:t>
            </w:r>
            <w:r>
              <w:rPr>
                <w:rFonts w:ascii="Calibri" w:hAnsi="Calibri"/>
                <w:szCs w:val="22"/>
              </w:rPr>
              <w:t xml:space="preserve">  bežné účtovné obdobie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3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6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Priemerný prepočítaný počet zamestnancov</w:t>
            </w:r>
            <w:r>
              <w:rPr>
                <w:rFonts w:ascii="Calibri" w:hAnsi="Calibri"/>
                <w:szCs w:val="22"/>
              </w:rPr>
              <w:t xml:space="preserve">  bezprostredne predchádzajúce ÚO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</w:t>
            </w:r>
          </w:p>
        </w:tc>
      </w:tr>
    </w:tbl>
    <w:p>
      <w:pPr>
        <w:pStyle w:val="Normal"/>
        <w:spacing w:before="0" w:after="0"/>
        <w:ind w:left="705" w:hanging="705"/>
        <w:jc w:val="both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</w:r>
    </w:p>
    <w:p>
      <w:pPr>
        <w:pStyle w:val="Normal"/>
        <w:spacing w:before="0" w:after="0"/>
        <w:ind w:left="705" w:hanging="705"/>
        <w:jc w:val="both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</w:r>
    </w:p>
    <w:p>
      <w:pPr>
        <w:pStyle w:val="Normal"/>
        <w:spacing w:before="0" w:after="0"/>
        <w:ind w:left="705" w:hanging="705"/>
        <w:jc w:val="both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</w:r>
    </w:p>
    <w:p>
      <w:pPr>
        <w:pStyle w:val="Normal"/>
        <w:spacing w:before="0" w:after="0"/>
        <w:ind w:left="705" w:hanging="705"/>
        <w:jc w:val="both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</w:r>
    </w:p>
    <w:p>
      <w:pPr>
        <w:pStyle w:val="Normal"/>
        <w:spacing w:before="0" w:after="0"/>
        <w:ind w:left="705" w:hanging="705"/>
        <w:jc w:val="both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 xml:space="preserve"> </w:t>
      </w:r>
      <w:r>
        <w:rPr>
          <w:rFonts w:ascii="Calibri" w:hAnsi="Calibri"/>
          <w:i/>
          <w:szCs w:val="22"/>
        </w:rPr>
        <w:t>Informácie o orgánoch spoločnosti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rFonts w:ascii="Calibri" w:hAnsi="Calibri"/>
          <w:bCs/>
          <w:i/>
          <w:i/>
          <w:szCs w:val="22"/>
        </w:rPr>
      </w:pPr>
      <w:r>
        <w:rPr>
          <w:rFonts w:ascii="Calibri" w:hAnsi="Calibri"/>
          <w:bCs/>
          <w:i/>
          <w:szCs w:val="22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49"/>
        <w:gridCol w:w="1982"/>
        <w:gridCol w:w="1851"/>
        <w:gridCol w:w="989"/>
      </w:tblGrid>
      <w:tr>
        <w:trPr>
          <w:trHeight w:val="57" w:hRule="atLeast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szCs w:val="22"/>
              </w:rPr>
              <w:t>a)</w:t>
            </w:r>
            <w:r>
              <w:rPr>
                <w:rFonts w:ascii="Calibri" w:hAnsi="Calibri"/>
                <w:b/>
                <w:szCs w:val="22"/>
              </w:rPr>
              <w:t>Výška jednotlivých druhov záruk alebo iných zabezpečení pre členov štatutárneho orgánu,</w:t>
            </w:r>
          </w:p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Druh záruky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rPr>
          <w:rFonts w:ascii="Calibri" w:hAnsi="Calibri"/>
        </w:rPr>
      </w:pPr>
      <w:r>
        <w:rPr>
          <w:rFonts w:ascii="Calibri" w:hAnsi="Calibri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42"/>
        <w:gridCol w:w="7"/>
        <w:gridCol w:w="1704"/>
        <w:gridCol w:w="993"/>
        <w:gridCol w:w="1275"/>
        <w:gridCol w:w="851"/>
      </w:tblGrid>
      <w:tr>
        <w:trPr>
          <w:trHeight w:val="340" w:hRule="atLeast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b)</w:t>
            </w:r>
            <w:r>
              <w:rPr>
                <w:rFonts w:ascii="Calibri" w:hAnsi="Calibri"/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Úrok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rPr>
          <w:rFonts w:ascii="Calibri" w:hAnsi="Calibri"/>
        </w:rPr>
      </w:pPr>
      <w:r>
        <w:rPr>
          <w:rFonts w:ascii="Calibri" w:hAnsi="Calibri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49"/>
        <w:gridCol w:w="1982"/>
        <w:gridCol w:w="1700"/>
        <w:gridCol w:w="1140"/>
      </w:tblGrid>
      <w:tr>
        <w:trPr>
          <w:trHeight w:val="340" w:hRule="atLeast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d)</w:t>
            </w:r>
            <w:r>
              <w:rPr>
                <w:rFonts w:ascii="Calibri" w:hAnsi="Calibri"/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Plnenie na súkromné účely k vyúčtovaniu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rFonts w:ascii="Calibri" w:hAnsi="Calibri"/>
          <w:bCs/>
          <w:i/>
          <w:i/>
          <w:szCs w:val="22"/>
        </w:rPr>
      </w:pPr>
      <w:r>
        <w:rPr>
          <w:rFonts w:ascii="Calibri" w:hAnsi="Calibri"/>
          <w:bCs/>
          <w:i/>
          <w:szCs w:val="22"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rFonts w:ascii="Calibri" w:hAnsi="Calibri"/>
          <w:bCs/>
          <w:i/>
          <w:i/>
          <w:szCs w:val="22"/>
        </w:rPr>
      </w:pPr>
      <w:r>
        <w:rPr>
          <w:rFonts w:ascii="Calibri" w:hAnsi="Calibri"/>
          <w:bCs/>
          <w:i/>
          <w:szCs w:val="22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 xml:space="preserve"> </w:t>
      </w:r>
      <w:r>
        <w:rPr>
          <w:rFonts w:ascii="Calibri" w:hAnsi="Calibri"/>
          <w:i/>
          <w:szCs w:val="22"/>
        </w:rPr>
        <w:t>Informácie o prijatých postupoch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6"/>
        <w:gridCol w:w="6511"/>
        <w:gridCol w:w="824"/>
        <w:gridCol w:w="291"/>
        <w:gridCol w:w="578"/>
        <w:gridCol w:w="291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7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6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6"/>
        <w:gridCol w:w="2118"/>
        <w:gridCol w:w="1842"/>
        <w:gridCol w:w="1560"/>
        <w:gridCol w:w="991"/>
        <w:gridCol w:w="235"/>
        <w:gridCol w:w="589"/>
        <w:gridCol w:w="291"/>
        <w:gridCol w:w="578"/>
        <w:gridCol w:w="291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65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Dôvod uplatnenia</w:t>
            </w:r>
          </w:p>
        </w:tc>
        <w:tc>
          <w:tcPr>
            <w:tcW w:w="453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4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Hodnotu majetku</w:t>
            </w:r>
          </w:p>
        </w:tc>
        <w:tc>
          <w:tcPr>
            <w:tcW w:w="1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Vlastné imanie</w:t>
            </w:r>
          </w:p>
        </w:tc>
        <w:tc>
          <w:tcPr>
            <w:tcW w:w="17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numPr>
          <w:ilvl w:val="0"/>
          <w:numId w:val="7"/>
        </w:numPr>
        <w:spacing w:lineRule="auto" w:line="240" w:before="0" w:after="0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b/>
          <w:szCs w:val="22"/>
        </w:rPr>
        <w:t>Informácia o charaktere a účele transakcií, ktoré sa neuvádzajú v súvahe</w:t>
      </w:r>
      <w:r>
        <w:rPr>
          <w:rFonts w:ascii="Calibri" w:hAnsi="Calibri"/>
          <w:szCs w:val="22"/>
        </w:rPr>
        <w:t xml:space="preserve">, </w:t>
      </w:r>
      <w:r>
        <w:rPr>
          <w:rFonts w:ascii="Calibri" w:hAnsi="Calibri"/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spacing w:before="0" w:after="0"/>
        <w:jc w:val="center"/>
        <w:rPr>
          <w:rFonts w:ascii="Calibri" w:hAnsi="Calibri"/>
          <w:bCs/>
          <w:i/>
          <w:i/>
          <w:szCs w:val="22"/>
        </w:rPr>
      </w:pPr>
      <w:r>
        <w:rPr>
          <w:rFonts w:ascii="Calibri" w:hAnsi="Calibri"/>
          <w:bCs/>
          <w:i/>
          <w:szCs w:val="22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6"/>
        <w:gridCol w:w="8495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ListParagraph"/>
        <w:numPr>
          <w:ilvl w:val="0"/>
          <w:numId w:val="8"/>
        </w:numPr>
        <w:spacing w:lineRule="auto" w:line="240" w:before="0" w:after="0"/>
        <w:ind w:left="641" w:hanging="284"/>
        <w:contextualSpacing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Obstarávacou cenou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3. podiely na ZI obchodných spoločností, deriváty a cenné papiere okrem cenných papierov, podielov na ZI obchodných spoločností, ktoré nemajú podobu cenného papiera a derivátov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5. nehmotný majetok s výnimkou nehmotného majetku vytvoreného vlastnou činnosťou,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rPr>
          <w:rFonts w:ascii="Calibri" w:hAnsi="Calibri"/>
        </w:rPr>
      </w:pPr>
      <w:r>
        <w:rPr>
          <w:rFonts w:ascii="Calibri" w:hAnsi="Calibri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rPr>
          <w:rFonts w:ascii="Calibri" w:hAnsi="Calibri"/>
        </w:rPr>
      </w:pPr>
      <w:r>
        <w:rPr>
          <w:rFonts w:ascii="Calibri" w:hAnsi="Calibri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rPr>
          <w:rFonts w:ascii="Calibri" w:hAnsi="Calibri"/>
        </w:rPr>
      </w:pPr>
      <w:r>
        <w:rPr>
          <w:rFonts w:ascii="Calibri" w:hAnsi="Calibri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Reálnou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1. majetok a záväzky nadobudnuté kúpou podniku alebo jeho časti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2. majetok a záväzky nadobudnuté vkladom podniku, jeho časti a majetok a záväzky nadobudn. zámenou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3. cenné papiere, deriváty a podiely na základnom imaní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>
          <w:trHeight w:val="22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Úbytok zásob rovnakého druhu sa účtuje v ocenení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</w:t>
            </w:r>
            <w:r>
              <w:rPr>
                <w:rFonts w:ascii="Calibri" w:hAnsi="Calibri"/>
                <w:szCs w:val="22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</w:t>
            </w:r>
            <w:r>
              <w:rPr>
                <w:rFonts w:ascii="Calibri" w:hAnsi="Calibri"/>
                <w:szCs w:val="22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Prenajatý  majetok a majetok obstaraný na základe  zmluvy o kúpe prenajatej veci - v ocenení 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Daň z príjmov splatná – daň sa  určuje z účtovného zisku pred zdanením, po úpravách na daňové účely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podľa zákona o daniach z príjmov pri sadzbe 21 %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tbl>
      <w:tblPr>
        <w:tblW w:w="9089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74"/>
        <w:gridCol w:w="567"/>
        <w:gridCol w:w="5248"/>
        <w:gridCol w:w="300"/>
      </w:tblGrid>
      <w:tr>
        <w:trPr>
          <w:trHeight w:val="340" w:hRule="atLeast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numPr>
                <w:ilvl w:val="0"/>
                <w:numId w:val="8"/>
              </w:numPr>
              <w:spacing w:lineRule="auto" w:line="240" w:before="0" w:after="0"/>
              <w:ind w:left="641" w:hanging="284"/>
              <w:contextualSpacing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Opravná položka k pohľadávkam</w:t>
            </w:r>
          </w:p>
        </w:tc>
        <w:tc>
          <w:tcPr>
            <w:tcW w:w="5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5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Opravná položka k materiálu</w:t>
            </w:r>
          </w:p>
        </w:tc>
        <w:tc>
          <w:tcPr>
            <w:tcW w:w="5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5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Opravná položka k tovaru</w:t>
            </w:r>
          </w:p>
        </w:tc>
        <w:tc>
          <w:tcPr>
            <w:tcW w:w="5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5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8"/>
              </w:numPr>
              <w:spacing w:lineRule="auto" w:line="240" w:before="0" w:after="0"/>
              <w:ind w:left="641" w:hanging="284"/>
              <w:contextualSpacing/>
              <w:jc w:val="both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Rezervy k nevyfakturovaným dodávkam</w:t>
            </w:r>
          </w:p>
        </w:tc>
        <w:tc>
          <w:tcPr>
            <w:tcW w:w="5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5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Rezervy k nevyčerpaným dovolenkám</w:t>
            </w:r>
          </w:p>
        </w:tc>
        <w:tc>
          <w:tcPr>
            <w:tcW w:w="5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5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Rezervy k nevyčerpaným dovolenkám – zdravotne a sociálne poistenie</w:t>
            </w:r>
          </w:p>
        </w:tc>
        <w:tc>
          <w:tcPr>
            <w:tcW w:w="5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35,</w:t>
            </w:r>
            <w:r>
              <w:rPr>
                <w:rFonts w:ascii="Calibri" w:hAnsi="Calibri"/>
                <w:szCs w:val="22"/>
              </w:rPr>
              <w:t>2</w:t>
            </w:r>
            <w:r>
              <w:rPr>
                <w:rFonts w:ascii="Calibri" w:hAnsi="Calibri"/>
                <w:szCs w:val="22"/>
              </w:rPr>
              <w:t>% nevyčerp.dovoleniek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5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left="641" w:hanging="284"/>
        <w:contextualSpacing/>
        <w:jc w:val="both"/>
        <w:rPr>
          <w:rFonts w:ascii="Calibri" w:hAnsi="Calibri"/>
          <w:szCs w:val="22"/>
          <w:u w:val="single"/>
        </w:rPr>
      </w:pPr>
      <w:r>
        <w:rPr>
          <w:rFonts w:ascii="Calibri" w:hAnsi="Calibri"/>
          <w:b/>
          <w:szCs w:val="22"/>
        </w:rPr>
        <w:t>Určenie ocenenia finančných nástrojov alebo majetku</w:t>
      </w:r>
      <w:r>
        <w:rPr>
          <w:rFonts w:ascii="Calibri" w:hAnsi="Calibri"/>
          <w:szCs w:val="22"/>
        </w:rPr>
        <w:t xml:space="preserve">, ktorý nie je finančným nástrojom </w:t>
      </w:r>
      <w:r>
        <w:rPr>
          <w:rFonts w:ascii="Calibri" w:hAnsi="Calibri"/>
          <w:b/>
          <w:szCs w:val="22"/>
        </w:rPr>
        <w:t>pri oceňovaní reálnou hodnotou</w:t>
      </w:r>
      <w:r>
        <w:rPr>
          <w:rFonts w:ascii="Calibri" w:hAnsi="Calibri"/>
          <w:szCs w:val="22"/>
        </w:rPr>
        <w:t xml:space="preserve">, a to: 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ind w:left="1066" w:hanging="357"/>
        <w:contextualSpacing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contextualSpacing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contextualSpacing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ListParagraph"/>
        <w:spacing w:lineRule="auto" w:line="240" w:before="0" w:after="0"/>
        <w:ind w:left="1068" w:hanging="0"/>
        <w:contextualSpacing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left="641" w:hanging="284"/>
        <w:contextualSpacing/>
        <w:jc w:val="both"/>
        <w:rPr>
          <w:rFonts w:ascii="Calibri" w:hAnsi="Calibri"/>
          <w:szCs w:val="22"/>
        </w:rPr>
      </w:pPr>
      <w:r>
        <w:rPr>
          <w:rFonts w:ascii="Calibri" w:hAnsi="Calibri"/>
          <w:b/>
          <w:szCs w:val="22"/>
        </w:rPr>
        <w:t>Určenie ocenenia finančných nástrojov alebo majetku</w:t>
      </w:r>
      <w:r>
        <w:rPr>
          <w:rFonts w:ascii="Calibri" w:hAnsi="Calibri"/>
          <w:szCs w:val="22"/>
        </w:rPr>
        <w:t xml:space="preserve">, ktorý nie je finančným nástrojom </w:t>
      </w:r>
      <w:r>
        <w:rPr>
          <w:rFonts w:ascii="Calibri" w:hAnsi="Calibri"/>
          <w:b/>
          <w:szCs w:val="22"/>
        </w:rPr>
        <w:t>pri oceňovaní obstarávacou cenou alebo vlastnými nákladmi</w:t>
      </w:r>
      <w:r>
        <w:rPr>
          <w:rFonts w:ascii="Calibri" w:hAnsi="Calibri"/>
          <w:szCs w:val="22"/>
        </w:rPr>
        <w:t>, a to</w:t>
      </w:r>
      <w:r>
        <w:rPr>
          <w:rFonts w:ascii="Calibri" w:hAnsi="Calibri"/>
          <w:b/>
          <w:szCs w:val="22"/>
        </w:rPr>
        <w:t xml:space="preserve">: </w:t>
      </w:r>
    </w:p>
    <w:p>
      <w:pPr>
        <w:pStyle w:val="ListParagraph"/>
        <w:numPr>
          <w:ilvl w:val="0"/>
          <w:numId w:val="10"/>
        </w:numPr>
        <w:spacing w:lineRule="auto" w:line="240" w:before="0" w:after="0"/>
        <w:ind w:left="1066" w:hanging="357"/>
        <w:contextualSpacing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ListParagraph"/>
        <w:numPr>
          <w:ilvl w:val="0"/>
          <w:numId w:val="10"/>
        </w:numPr>
        <w:spacing w:lineRule="auto" w:line="240" w:before="0" w:after="0"/>
        <w:contextualSpacing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>
      <w:pPr>
        <w:pStyle w:val="ListParagraph"/>
        <w:numPr>
          <w:ilvl w:val="0"/>
          <w:numId w:val="11"/>
        </w:numPr>
        <w:spacing w:lineRule="auto" w:line="240" w:before="0" w:after="0"/>
        <w:ind w:left="1418" w:hanging="284"/>
        <w:contextualSpacing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účtovná hodnota a reálna hodnota za jednotlivé položky majetku alebo skupiny týchto jednotlivých položiek majetku,</w:t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1418" w:hanging="284"/>
        <w:contextualSpacing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dôvod pre nezníženie účtovnej hodnoty vrátane povahy dôkazov pre predpoklad, že sa účtovná hodnota opätovne dosiahne,</w:t>
      </w:r>
    </w:p>
    <w:p>
      <w:pPr>
        <w:pStyle w:val="ListParagraph"/>
        <w:spacing w:lineRule="auto" w:line="240" w:before="0" w:after="0"/>
        <w:ind w:left="1418" w:hanging="0"/>
        <w:contextualSpacing/>
        <w:jc w:val="both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left="641" w:hanging="284"/>
        <w:contextualSpacing/>
        <w:jc w:val="both"/>
        <w:rPr>
          <w:rFonts w:ascii="Calibri" w:hAnsi="Calibri"/>
          <w:b/>
          <w:szCs w:val="22"/>
          <w:u w:val="single"/>
        </w:rPr>
      </w:pPr>
      <w:r>
        <w:rPr>
          <w:rFonts w:ascii="Calibri" w:hAnsi="Calibri"/>
          <w:b/>
          <w:szCs w:val="22"/>
        </w:rPr>
        <w:t xml:space="preserve">Stanovenie metódy vlastného imania </w:t>
      </w:r>
    </w:p>
    <w:p>
      <w:pPr>
        <w:pStyle w:val="ListParagraph"/>
        <w:spacing w:lineRule="auto" w:line="240" w:before="0" w:after="0"/>
        <w:ind w:left="641" w:hanging="0"/>
        <w:contextualSpacing/>
        <w:jc w:val="both"/>
        <w:rPr>
          <w:rFonts w:ascii="Calibri" w:hAnsi="Calibri"/>
          <w:szCs w:val="22"/>
          <w:u w:val="single"/>
        </w:rPr>
      </w:pPr>
      <w:r>
        <w:rPr>
          <w:rFonts w:ascii="Calibri" w:hAnsi="Calibri"/>
          <w:szCs w:val="22"/>
          <w:u w:val="single"/>
        </w:rPr>
      </w:r>
    </w:p>
    <w:tbl>
      <w:tblPr>
        <w:tblW w:w="9180" w:type="dxa"/>
        <w:jc w:val="left"/>
        <w:tblInd w:w="37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892"/>
        <w:gridCol w:w="1051"/>
        <w:gridCol w:w="1293"/>
        <w:gridCol w:w="1157"/>
        <w:gridCol w:w="774"/>
        <w:gridCol w:w="337"/>
        <w:gridCol w:w="1340"/>
        <w:gridCol w:w="335"/>
      </w:tblGrid>
      <w:tr>
        <w:trPr>
          <w:trHeight w:val="538" w:hRule="atLeast"/>
        </w:trPr>
        <w:tc>
          <w:tcPr>
            <w:tcW w:w="917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8"/>
              </w:numPr>
              <w:spacing w:lineRule="auto" w:line="240" w:before="0" w:after="0"/>
              <w:ind w:left="641" w:hanging="284"/>
              <w:contextualSpacing/>
              <w:jc w:val="both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bCs/>
                <w:kern w:val="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>
        <w:trPr/>
        <w:tc>
          <w:tcPr>
            <w:tcW w:w="884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963" w:hRule="atLeast"/>
        </w:trPr>
        <w:tc>
          <w:tcPr>
            <w:tcW w:w="884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rFonts w:ascii="Calibri" w:hAnsi="Calibri"/>
                <w:b/>
                <w:szCs w:val="22"/>
              </w:rPr>
              <w:t>rovnajú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1217" w:hRule="atLeast"/>
        </w:trPr>
        <w:tc>
          <w:tcPr>
            <w:tcW w:w="884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Calibri" w:hAnsi="Calibri"/>
                <w:b/>
                <w:szCs w:val="22"/>
              </w:rPr>
              <w:t>nerovnajú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16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Dlhodobý nehmotný majetok = doba použiteľnosti viac ako rok a vstupná cena je  viac ako :</w:t>
            </w:r>
          </w:p>
        </w:tc>
        <w:tc>
          <w:tcPr>
            <w:tcW w:w="16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2400,-eur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716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1700,-eur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Majetok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Odpisová skupina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Doba odpisovania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Lineárne odpisy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Zrýchlené odpisy</w:t>
            </w: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Mot. Vozidlá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25%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Technolog. Zar.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6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16,6%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Budovy pre obchod a služby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5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20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5%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p>
      <w:pPr>
        <w:pStyle w:val="Normal"/>
        <w:spacing w:before="0" w:after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tbl>
      <w:tblPr>
        <w:tblW w:w="9214" w:type="dxa"/>
        <w:jc w:val="left"/>
        <w:tblInd w:w="3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223"/>
        <w:gridCol w:w="2572"/>
        <w:gridCol w:w="1419"/>
      </w:tblGrid>
      <w:tr>
        <w:trPr>
          <w:trHeight w:val="278" w:hRule="atLeast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before="0" w:after="200"/>
              <w:ind w:left="0" w:hanging="0"/>
              <w:contextualSpacing/>
              <w:rPr>
                <w:rFonts w:ascii="Calibri" w:hAnsi="Calibri"/>
                <w:bCs/>
                <w:kern w:val="2"/>
                <w:szCs w:val="22"/>
                <w:lang w:eastAsia="sk-SK"/>
              </w:rPr>
            </w:pPr>
            <w:r>
              <w:rPr>
                <w:rFonts w:ascii="Calibri" w:hAnsi="Calibri"/>
                <w:bCs/>
                <w:kern w:val="2"/>
                <w:szCs w:val="22"/>
                <w:lang w:eastAsia="sk-SK"/>
              </w:rPr>
              <w:t>h)</w:t>
            </w:r>
            <w:r>
              <w:rPr>
                <w:rFonts w:ascii="Calibri" w:hAnsi="Calibri"/>
                <w:b/>
                <w:bCs/>
                <w:kern w:val="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before="0" w:after="200"/>
              <w:ind w:left="0" w:hanging="0"/>
              <w:contextualSpacing/>
              <w:rPr>
                <w:rFonts w:ascii="Calibri" w:hAnsi="Calibri"/>
                <w:bCs/>
                <w:kern w:val="2"/>
                <w:szCs w:val="22"/>
                <w:lang w:eastAsia="sk-SK"/>
              </w:rPr>
            </w:pPr>
            <w:r>
              <w:rPr>
                <w:rFonts w:ascii="Calibri" w:hAnsi="Calibri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before="0" w:after="200"/>
              <w:ind w:left="0" w:hanging="0"/>
              <w:contextualSpacing/>
              <w:rPr>
                <w:rFonts w:ascii="Calibri" w:hAnsi="Calibri"/>
                <w:bCs/>
                <w:kern w:val="2"/>
                <w:szCs w:val="22"/>
                <w:lang w:eastAsia="sk-SK"/>
              </w:rPr>
            </w:pPr>
            <w:r>
              <w:rPr>
                <w:rFonts w:ascii="Calibri" w:hAnsi="Calibri"/>
                <w:bCs/>
                <w:kern w:val="2"/>
                <w:szCs w:val="22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</w:tr>
    </w:tbl>
    <w:p>
      <w:pPr>
        <w:pStyle w:val="ListParagraph"/>
        <w:spacing w:lineRule="auto" w:line="240" w:before="0" w:after="0"/>
        <w:ind w:left="641" w:hanging="0"/>
        <w:contextualSpacing/>
        <w:jc w:val="both"/>
        <w:rPr>
          <w:rFonts w:ascii="Calibri" w:hAnsi="Calibri"/>
          <w:bCs/>
          <w:kern w:val="2"/>
          <w:szCs w:val="22"/>
          <w:lang w:eastAsia="sk-SK"/>
        </w:rPr>
      </w:pPr>
      <w:r>
        <w:rPr>
          <w:rFonts w:ascii="Calibri" w:hAnsi="Calibri"/>
          <w:bCs/>
          <w:kern w:val="2"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641" w:hanging="0"/>
        <w:contextualSpacing/>
        <w:jc w:val="both"/>
        <w:rPr>
          <w:rFonts w:ascii="Calibri" w:hAnsi="Calibri"/>
          <w:bCs/>
          <w:kern w:val="2"/>
          <w:szCs w:val="22"/>
          <w:lang w:eastAsia="sk-SK"/>
        </w:rPr>
      </w:pPr>
      <w:r>
        <w:rPr>
          <w:rFonts w:ascii="Calibri" w:hAnsi="Calibri"/>
          <w:bCs/>
          <w:kern w:val="2"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641" w:hanging="0"/>
        <w:contextualSpacing/>
        <w:jc w:val="both"/>
        <w:rPr>
          <w:rFonts w:ascii="Calibri" w:hAnsi="Calibri"/>
          <w:bCs/>
          <w:kern w:val="2"/>
          <w:szCs w:val="22"/>
          <w:lang w:eastAsia="sk-SK"/>
        </w:rPr>
      </w:pPr>
      <w:r>
        <w:rPr>
          <w:rFonts w:ascii="Calibri" w:hAnsi="Calibri"/>
          <w:bCs/>
          <w:kern w:val="2"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641" w:hanging="0"/>
        <w:contextualSpacing/>
        <w:jc w:val="both"/>
        <w:rPr>
          <w:rFonts w:ascii="Calibri" w:hAnsi="Calibri"/>
          <w:bCs/>
          <w:kern w:val="2"/>
          <w:szCs w:val="22"/>
          <w:lang w:eastAsia="sk-SK"/>
        </w:rPr>
      </w:pPr>
      <w:r>
        <w:rPr>
          <w:rFonts w:ascii="Calibri" w:hAnsi="Calibri"/>
          <w:bCs/>
          <w:kern w:val="2"/>
          <w:szCs w:val="22"/>
          <w:lang w:eastAsia="sk-SK"/>
        </w:rPr>
      </w:r>
    </w:p>
    <w:tbl>
      <w:tblPr>
        <w:tblW w:w="9214" w:type="dxa"/>
        <w:jc w:val="left"/>
        <w:tblInd w:w="7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3"/>
        <w:gridCol w:w="3322"/>
        <w:gridCol w:w="851"/>
        <w:gridCol w:w="2126"/>
        <w:gridCol w:w="2551"/>
      </w:tblGrid>
      <w:tr>
        <w:trPr/>
        <w:tc>
          <w:tcPr>
            <w:tcW w:w="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spacing w:lineRule="auto" w:line="240" w:before="0" w:after="0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;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b/>
                <w:szCs w:val="22"/>
                <w:lang w:eastAsia="sk-SK"/>
              </w:rPr>
            </w:pPr>
            <w:r>
              <w:rPr>
                <w:rFonts w:ascii="Calibri" w:hAnsi="Calibri"/>
                <w:b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85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b/>
                <w:szCs w:val="22"/>
                <w:lang w:eastAsia="sk-SK"/>
              </w:rPr>
            </w:pPr>
            <w:r>
              <w:rPr>
                <w:rFonts w:ascii="Calibri" w:hAnsi="Calibri"/>
                <w:b/>
                <w:szCs w:val="22"/>
              </w:rPr>
              <w:t xml:space="preserve">Informácia o </w:t>
            </w:r>
            <w:r>
              <w:rPr>
                <w:rFonts w:ascii="Calibri" w:hAnsi="Calibri"/>
                <w:b/>
                <w:szCs w:val="22"/>
                <w:lang w:eastAsia="sk-SK"/>
              </w:rPr>
              <w:t>oprave významných chýb minulých účtovných období účtovaných v bežnom účtovnom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b/>
                <w:szCs w:val="22"/>
                <w:lang w:eastAsia="sk-SK"/>
              </w:rPr>
            </w:pPr>
            <w:r>
              <w:rPr>
                <w:rFonts w:ascii="Calibri" w:hAnsi="Calibri"/>
                <w:b/>
                <w:szCs w:val="22"/>
                <w:lang w:eastAsia="sk-SK"/>
              </w:rPr>
              <w:t>období s uvedením sumy vplyvu na nerozdelený zisk minulých rokov alebo na neuhradenú stratu</w:t>
            </w:r>
          </w:p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b/>
                <w:szCs w:val="22"/>
                <w:lang w:eastAsia="sk-SK"/>
              </w:rPr>
              <w:t>minulých rokov</w:t>
            </w:r>
            <w:r>
              <w:rPr>
                <w:rFonts w:ascii="Calibri" w:hAnsi="Calibri"/>
                <w:szCs w:val="22"/>
                <w:lang w:eastAsia="sk-SK"/>
              </w:rPr>
              <w:t>.</w:t>
            </w:r>
          </w:p>
        </w:tc>
      </w:tr>
      <w:tr>
        <w:trPr>
          <w:trHeight w:val="397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ascii="Calibri" w:hAnsi="Calibri"/>
                <w:bCs/>
                <w:szCs w:val="22"/>
              </w:rPr>
            </w:pPr>
            <w:r>
              <w:rPr>
                <w:rFonts w:ascii="Calibri" w:hAnsi="Calibri"/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+/- Vplyv na vlastné imanie</w:t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Informácie, ktoré vysvetľujú a dopĺňajú súvahu a výkaz ziskov a strát </w:t>
      </w:r>
    </w:p>
    <w:p>
      <w:pPr>
        <w:pStyle w:val="Normal"/>
        <w:spacing w:before="0" w:after="0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357" w:hanging="357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  <w:t xml:space="preserve">K dlhodobému nehmotnému majetku, ktorým je </w:t>
      </w:r>
      <w:r>
        <w:rPr>
          <w:rFonts w:ascii="Calibri" w:hAnsi="Calibri"/>
          <w:b/>
          <w:bCs/>
          <w:szCs w:val="22"/>
          <w:lang w:eastAsia="sk-SK"/>
        </w:rPr>
        <w:t>goodwill alebo záporný goodwill</w:t>
      </w:r>
      <w:r>
        <w:rPr>
          <w:rFonts w:ascii="Calibri" w:hAnsi="Calibri"/>
          <w:bCs/>
          <w:szCs w:val="22"/>
          <w:lang w:eastAsia="sk-SK"/>
        </w:rPr>
        <w:t xml:space="preserve"> </w:t>
      </w:r>
      <w:r>
        <w:rPr>
          <w:rFonts w:ascii="Calibri" w:hAnsi="Calibri"/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hodnoty.</w:t>
      </w:r>
      <w:r>
        <w:rPr>
          <w:rFonts w:ascii="Calibri" w:hAnsi="Calibri"/>
          <w:i/>
          <w:sz w:val="20"/>
          <w:szCs w:val="22"/>
          <w:u w:val="single"/>
        </w:rPr>
        <w:t xml:space="preserve"> </w:t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357" w:hanging="357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/>
          <w:bCs/>
          <w:szCs w:val="22"/>
          <w:lang w:eastAsia="sk-SK"/>
        </w:rPr>
        <w:t>Informácie o významných položkách derivátov, majetku a záväzkoch zabezpečených derivátmi</w:t>
      </w:r>
      <w:r>
        <w:rPr>
          <w:rFonts w:ascii="Calibri" w:hAnsi="Calibri"/>
          <w:bCs/>
          <w:szCs w:val="22"/>
          <w:lang w:eastAsia="sk-SK"/>
        </w:rPr>
        <w:t xml:space="preserve">, </w:t>
      </w:r>
      <w:r>
        <w:rPr>
          <w:rFonts w:ascii="Calibri" w:hAnsi="Calibri"/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rFonts w:ascii="Calibri" w:hAnsi="Calibri"/>
          <w:i/>
          <w:sz w:val="20"/>
          <w:szCs w:val="22"/>
          <w:u w:val="single"/>
        </w:rPr>
        <w:t xml:space="preserve"> .</w:t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tbl>
      <w:tblPr>
        <w:tblW w:w="9180" w:type="dxa"/>
        <w:jc w:val="left"/>
        <w:tblInd w:w="37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76"/>
        <w:gridCol w:w="4024"/>
        <w:gridCol w:w="2586"/>
        <w:gridCol w:w="674"/>
        <w:gridCol w:w="1420"/>
      </w:tblGrid>
      <w:tr>
        <w:trPr>
          <w:trHeight w:val="250" w:hRule="atLeast"/>
        </w:trPr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13"/>
              </w:numPr>
              <w:spacing w:before="0" w:after="0"/>
              <w:ind w:left="465" w:hanging="357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</w:r>
          </w:p>
        </w:tc>
        <w:tc>
          <w:tcPr>
            <w:tcW w:w="87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>
        <w:trPr>
          <w:trHeight w:val="340" w:hRule="atLeast"/>
        </w:trPr>
        <w:tc>
          <w:tcPr>
            <w:tcW w:w="450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spacing w:before="0" w:after="0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BO</w:t>
            </w:r>
          </w:p>
        </w:tc>
        <w:tc>
          <w:tcPr>
            <w:tcW w:w="2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500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641" w:hanging="0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Cs w:val="22"/>
                <w:lang w:eastAsia="sk-SK"/>
              </w:rPr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</w:t>
            </w:r>
            <w:r>
              <w:rPr>
                <w:rFonts w:ascii="Calibri" w:hAnsi="Calibri"/>
                <w:szCs w:val="22"/>
              </w:rPr>
              <w:t>1848</w:t>
            </w:r>
          </w:p>
        </w:tc>
        <w:tc>
          <w:tcPr>
            <w:tcW w:w="2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</w:t>
            </w:r>
            <w:r>
              <w:rPr>
                <w:rFonts w:ascii="Calibri" w:hAnsi="Calibri"/>
                <w:szCs w:val="22"/>
              </w:rPr>
              <w:t>1802,7</w:t>
            </w:r>
          </w:p>
        </w:tc>
      </w:tr>
      <w:tr>
        <w:trPr>
          <w:trHeight w:val="340" w:hRule="atLeast"/>
        </w:trPr>
        <w:tc>
          <w:tcPr>
            <w:tcW w:w="91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spacing w:lineRule="auto" w:line="240" w:before="0" w:after="0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7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Spôsob zabezpečenia: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bCs/>
                <w:szCs w:val="22"/>
              </w:rPr>
            </w:pPr>
            <w:r>
              <w:rPr>
                <w:rFonts w:ascii="Calibri" w:hAnsi="Calibri"/>
                <w:bCs/>
                <w:szCs w:val="22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bCs/>
                <w:szCs w:val="22"/>
              </w:rPr>
            </w:pPr>
            <w:r>
              <w:rPr>
                <w:rFonts w:ascii="Calibri" w:hAnsi="Calibri"/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Inak zabezpečené.........................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Inak zabezpečené............................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bCs/>
                <w:szCs w:val="22"/>
              </w:rPr>
            </w:pPr>
            <w:r>
              <w:rPr>
                <w:rFonts w:ascii="Calibri" w:hAnsi="Calibri"/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ListParagraph"/>
        <w:spacing w:lineRule="auto" w:line="240" w:before="0" w:after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357" w:hanging="357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/>
          <w:bCs/>
          <w:szCs w:val="22"/>
          <w:lang w:eastAsia="sk-SK"/>
        </w:rPr>
        <w:t>Informácie o vlastných akciách</w:t>
      </w:r>
      <w:r>
        <w:rPr>
          <w:rFonts w:ascii="Calibri" w:hAnsi="Calibri"/>
          <w:bCs/>
          <w:szCs w:val="22"/>
          <w:lang w:eastAsia="sk-SK"/>
        </w:rPr>
        <w:t>:</w:t>
      </w:r>
    </w:p>
    <w:p>
      <w:pPr>
        <w:pStyle w:val="ListParagraph"/>
        <w:numPr>
          <w:ilvl w:val="0"/>
          <w:numId w:val="15"/>
        </w:numPr>
        <w:spacing w:lineRule="auto" w:line="240" w:before="0" w:after="0"/>
        <w:ind w:left="641" w:hanging="284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dôvod nadobudnutia vlastných akcií počas účtovného obdobia,</w:t>
      </w:r>
    </w:p>
    <w:p>
      <w:pPr>
        <w:pStyle w:val="ListParagraph"/>
        <w:numPr>
          <w:ilvl w:val="0"/>
          <w:numId w:val="15"/>
        </w:numPr>
        <w:spacing w:lineRule="auto" w:line="240" w:before="0" w:after="0"/>
        <w:ind w:left="641" w:hanging="284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 xml:space="preserve">informácie 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1077" w:hanging="357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1077" w:hanging="357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ListParagraph"/>
        <w:numPr>
          <w:ilvl w:val="0"/>
          <w:numId w:val="15"/>
        </w:numPr>
        <w:spacing w:lineRule="auto" w:line="240" w:before="0" w:after="0"/>
        <w:ind w:left="641" w:hanging="284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(5)</w:t>
      </w:r>
      <w:r>
        <w:rPr>
          <w:rFonts w:cs="Calibri" w:ascii="Calibri" w:hAnsi="Calibri"/>
          <w:b/>
          <w:bCs/>
          <w:sz w:val="20"/>
          <w:szCs w:val="22"/>
          <w:lang w:eastAsia="sk-SK"/>
        </w:rPr>
        <w:t xml:space="preserve"> ÚJ vytvorila /nevytvorila kapitálový fond z</w:t>
      </w:r>
      <w:r>
        <w:rPr>
          <w:rFonts w:cs="Calibri" w:ascii="Calibri" w:hAnsi="Calibri"/>
          <w:bCs/>
          <w:sz w:val="20"/>
          <w:szCs w:val="22"/>
          <w:lang w:eastAsia="sk-SK"/>
        </w:rPr>
        <w:t xml:space="preserve"> príspevkov podľa §123 ods.2 a §217a Obchodného zákonníka v znení neskorších predpisov</w:t>
      </w:r>
    </w:p>
    <w:p>
      <w:pPr>
        <w:pStyle w:val="ListParagraph"/>
        <w:spacing w:lineRule="auto" w:line="240" w:before="0" w:after="0"/>
        <w:ind w:left="641" w:hanging="0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</w:r>
    </w:p>
    <w:tbl>
      <w:tblPr>
        <w:tblW w:w="9214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51"/>
        <w:gridCol w:w="4185"/>
        <w:gridCol w:w="3118"/>
        <w:gridCol w:w="1560"/>
      </w:tblGrid>
      <w:tr>
        <w:trPr>
          <w:trHeight w:val="751" w:hRule="atLeast"/>
        </w:trPr>
        <w:tc>
          <w:tcPr>
            <w:tcW w:w="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13"/>
              </w:numPr>
              <w:spacing w:before="0" w:after="0"/>
              <w:ind w:left="357" w:hanging="357"/>
              <w:contextualSpacing/>
              <w:jc w:val="both"/>
              <w:rPr>
                <w:rFonts w:ascii="Calibri" w:hAnsi="Calibri"/>
                <w:b/>
                <w:bCs/>
                <w:vanish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vanish/>
                <w:szCs w:val="22"/>
                <w:lang w:eastAsia="sk-SK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13"/>
              </w:numPr>
              <w:spacing w:before="0" w:after="0"/>
              <w:ind w:left="357" w:hanging="357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</w:r>
          </w:p>
          <w:p>
            <w:pPr>
              <w:pStyle w:val="ListParagraph"/>
              <w:widowControl w:val="false"/>
              <w:spacing w:before="0" w:after="0"/>
              <w:ind w:left="1277" w:hanging="0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</w:r>
          </w:p>
          <w:p>
            <w:pPr>
              <w:pStyle w:val="ListParagraph"/>
              <w:widowControl w:val="false"/>
              <w:spacing w:before="0" w:after="0"/>
              <w:ind w:left="1277" w:hanging="0"/>
              <w:contextualSpacing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88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  <w:t>Informácia o sume a dôvodoch vzniku jednotlivých položiek nákladov alebo výnosov, ktoré majú</w:t>
            </w:r>
          </w:p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Calibri" w:hAnsi="Calibri"/>
                <w:bCs/>
                <w:i/>
                <w:i/>
                <w:sz w:val="20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výnimočný rozsah </w:t>
            </w:r>
            <w:r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>alebo výskyt, napríklad výnosy z predaja podniku alebo časti podniku, náklady z dôvodu</w:t>
            </w:r>
          </w:p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Popis nákladov ,výnosov výnimočného rozsahu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Dôvod vzniku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</w:tbl>
    <w:p>
      <w:pPr>
        <w:pStyle w:val="Normal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 xml:space="preserve"> </w:t>
      </w:r>
      <w:r>
        <w:rPr>
          <w:rFonts w:ascii="Calibri" w:hAnsi="Calibri"/>
          <w:i/>
          <w:szCs w:val="22"/>
        </w:rPr>
        <w:t>Informácie o iných aktívach a iných pasívach </w:t>
      </w:r>
    </w:p>
    <w:p>
      <w:pPr>
        <w:pStyle w:val="Normal"/>
        <w:spacing w:before="0" w:after="0"/>
        <w:rPr>
          <w:rFonts w:ascii="Calibri" w:hAnsi="Calibri"/>
        </w:rPr>
      </w:pPr>
      <w:r>
        <w:rPr>
          <w:rFonts w:ascii="Calibri" w:hAnsi="Calibri"/>
        </w:rPr>
      </w:r>
    </w:p>
    <w:tbl>
      <w:tblPr>
        <w:tblW w:w="9214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75"/>
        <w:gridCol w:w="6855"/>
        <w:gridCol w:w="424"/>
        <w:gridCol w:w="1560"/>
      </w:tblGrid>
      <w:tr>
        <w:trPr>
          <w:trHeight w:val="200" w:hRule="atLeast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17"/>
              </w:numPr>
              <w:spacing w:lineRule="auto" w:line="240" w:before="0" w:after="0"/>
              <w:ind w:left="357" w:hanging="357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</w:r>
          </w:p>
        </w:tc>
        <w:tc>
          <w:tcPr>
            <w:tcW w:w="88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numPr>
                <w:ilvl w:val="0"/>
                <w:numId w:val="18"/>
              </w:numPr>
              <w:spacing w:lineRule="auto" w:line="240" w:before="0" w:after="0"/>
              <w:ind w:left="641" w:hanging="284"/>
              <w:contextualSpacing/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Práva zo servisných zmlúv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Práva z poistných zmlúv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Práva z licenčných zmlúv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numPr>
                <w:ilvl w:val="0"/>
                <w:numId w:val="18"/>
              </w:numPr>
              <w:spacing w:lineRule="auto" w:line="240" w:before="0" w:after="0"/>
              <w:ind w:left="641" w:hanging="284"/>
              <w:contextualSpacing/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Poskytnuté záruky za úver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Ručenie za ...............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Neobmedzené ručenie v inej spoločnosti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Žaloba zo strany...........(hrozba súdneho procesu)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UJ predala pohľadávky a ručí za ich vymožiteľnosť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</w:tbl>
    <w:p>
      <w:pPr>
        <w:pStyle w:val="ListParagraph"/>
        <w:spacing w:lineRule="auto" w:line="240" w:before="0" w:after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tbl>
      <w:tblPr>
        <w:tblW w:w="9214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"/>
        <w:gridCol w:w="6832"/>
        <w:gridCol w:w="424"/>
        <w:gridCol w:w="1560"/>
      </w:tblGrid>
      <w:tr>
        <w:trPr/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17"/>
              </w:numPr>
              <w:spacing w:lineRule="auto" w:line="240" w:before="0" w:after="0"/>
              <w:ind w:left="357" w:hanging="357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</w:r>
          </w:p>
        </w:tc>
        <w:tc>
          <w:tcPr>
            <w:tcW w:w="88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Uzatvorená zmluva o úvere(peniaze ešte neboli poskytnuté)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Zmluvná povinnosť odobrať množstvo produktu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Pripravované generálne  opravy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Pripravované investície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Uzatvorené zmluvy s dodávateľmi o dodávkach v budúcnosti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tbl>
      <w:tblPr>
        <w:tblW w:w="9214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"/>
        <w:gridCol w:w="5272"/>
        <w:gridCol w:w="1984"/>
        <w:gridCol w:w="1560"/>
      </w:tblGrid>
      <w:tr>
        <w:trPr/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17"/>
              </w:numPr>
              <w:spacing w:lineRule="auto" w:line="240" w:before="0" w:after="0"/>
              <w:ind w:left="357" w:hanging="357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</w:r>
          </w:p>
          <w:p>
            <w:pPr>
              <w:pStyle w:val="ListParagraph"/>
              <w:widowControl w:val="false"/>
              <w:spacing w:lineRule="auto" w:line="240" w:before="0" w:after="0"/>
              <w:ind w:left="108" w:hanging="0"/>
              <w:contextualSpacing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88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  <w:t>Podsúvahové účty</w:t>
            </w:r>
            <w:r>
              <w:rPr>
                <w:rFonts w:ascii="Calibri" w:hAnsi="Calibri"/>
                <w:bCs/>
                <w:szCs w:val="22"/>
                <w:lang w:eastAsia="sk-SK"/>
              </w:rPr>
              <w:t xml:space="preserve"> - Informácie o významných položkách prenajatého majetku, majetku prijatého do</w:t>
            </w:r>
          </w:p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>
        <w:trPr>
          <w:trHeight w:val="340" w:hRule="atLeast"/>
        </w:trPr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 xml:space="preserve"> </w:t>
      </w:r>
      <w:r>
        <w:rPr>
          <w:rFonts w:ascii="Calibri" w:hAnsi="Calibri"/>
          <w:i/>
          <w:szCs w:val="22"/>
        </w:rPr>
        <w:t>Udalosti ,ktoré nastali po dni ,ku ktorému sa zostavuje účtovná závierka 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tbl>
      <w:tblPr>
        <w:tblW w:w="9214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529"/>
        <w:gridCol w:w="3402"/>
        <w:gridCol w:w="283"/>
      </w:tblGrid>
      <w:tr>
        <w:trPr>
          <w:trHeight w:val="538" w:hRule="atLeast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>
              <w:rPr>
                <w:rFonts w:ascii="Calibri" w:hAnsi="Calibri"/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dôvody pre zmenu výšky rezerv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začatie alebo ukončení činnosti časti ÚJ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p>
      <w:pPr>
        <w:pStyle w:val="Normal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Ostatné informácie</w:t>
      </w:r>
    </w:p>
    <w:p>
      <w:pPr>
        <w:pStyle w:val="Normal"/>
        <w:spacing w:before="0" w:after="0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357" w:hanging="357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všetkých formách prijatej náhrady,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ind w:left="641" w:hanging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357" w:hanging="357"/>
        <w:jc w:val="both"/>
        <w:rPr>
          <w:rFonts w:ascii="Calibri" w:hAnsi="Calibri" w:cs="Arial"/>
          <w:szCs w:val="22"/>
        </w:rPr>
      </w:pPr>
      <w:r>
        <w:rPr>
          <w:rFonts w:ascii="Calibri" w:hAnsi="Calibri"/>
          <w:szCs w:val="22"/>
        </w:rPr>
        <w:t>Informácie  účtovnej jednotky, na ktorú sa vzťahuje</w:t>
      </w:r>
      <w:r>
        <w:rPr>
          <w:rFonts w:cs="Arial" w:ascii="Calibri" w:hAnsi="Calibri"/>
          <w:szCs w:val="22"/>
        </w:rPr>
        <w:t xml:space="preserve"> § 23d ods. 6 zákona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357" w:hanging="357"/>
        <w:jc w:val="both"/>
        <w:rPr>
          <w:rFonts w:ascii="Calibri" w:hAnsi="Calibri" w:cs="Arial"/>
          <w:szCs w:val="22"/>
        </w:rPr>
      </w:pPr>
      <w:r>
        <w:rPr>
          <w:rFonts w:ascii="Calibri" w:hAnsi="Calibri"/>
          <w:szCs w:val="22"/>
        </w:rPr>
        <w:t>Informácie  účtovnej jednotky, na ktorú sa vzťahuje</w:t>
      </w:r>
      <w:r>
        <w:rPr>
          <w:rFonts w:cs="Arial" w:ascii="Calibri" w:hAnsi="Calibri"/>
          <w:szCs w:val="22"/>
        </w:rPr>
        <w:t xml:space="preserve"> § 23d ods. 6 zákona</w:t>
      </w:r>
    </w:p>
    <w:p>
      <w:pPr>
        <w:pStyle w:val="Normal"/>
        <w:spacing w:lineRule="auto" w:line="240" w:before="0" w:after="0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p>
      <w:pPr>
        <w:pStyle w:val="Normal"/>
        <w:spacing w:lineRule="auto" w:line="240" w:before="0" w:after="0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p>
      <w:pPr>
        <w:pStyle w:val="Normal"/>
        <w:spacing w:lineRule="auto" w:line="240" w:before="0" w:after="0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Použité  skratky:</w:t>
      </w:r>
    </w:p>
    <w:p>
      <w:pPr>
        <w:pStyle w:val="Normal"/>
        <w:spacing w:lineRule="auto" w:line="240" w:before="0" w:after="0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ÚJ - účtovná jednotka</w:t>
      </w:r>
    </w:p>
    <w:p>
      <w:pPr>
        <w:pStyle w:val="Normal"/>
        <w:spacing w:lineRule="auto" w:line="240" w:before="0" w:after="0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BO - bežné účtovné obdobie</w:t>
      </w:r>
    </w:p>
    <w:p>
      <w:pPr>
        <w:pStyle w:val="Normal"/>
        <w:spacing w:lineRule="auto" w:line="240" w:before="0" w:after="0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PO - bezprostredne predchádzajúce účtovné obdobie</w:t>
      </w:r>
    </w:p>
    <w:p>
      <w:pPr>
        <w:pStyle w:val="Normal"/>
        <w:spacing w:lineRule="auto" w:line="240" w:before="0" w:after="0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ÚO - účtovné obdobie</w:t>
      </w:r>
    </w:p>
    <w:p>
      <w:pPr>
        <w:pStyle w:val="Normal"/>
        <w:spacing w:lineRule="auto" w:line="240" w:before="0" w:after="0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X - položka sa vzťahuje na účtovnú jednotku</w:t>
      </w:r>
    </w:p>
    <w:p>
      <w:pPr>
        <w:pStyle w:val="Normal"/>
        <w:spacing w:lineRule="auto" w:line="240" w:before="0" w:after="0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</w:r>
    </w:p>
    <w:p>
      <w:pPr>
        <w:pStyle w:val="Normal"/>
        <w:spacing w:lineRule="auto" w:line="240" w:before="0" w:after="0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Uvádzané číselné údaje sú v celých eurách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9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168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000"/>
    </w:tblPr>
    <w:tblGrid>
      <w:gridCol w:w="2242"/>
      <w:gridCol w:w="1701"/>
      <w:gridCol w:w="2411"/>
      <w:gridCol w:w="446"/>
      <w:gridCol w:w="2157"/>
    </w:tblGrid>
    <w:tr>
      <w:trPr>
        <w:trHeight w:val="326" w:hRule="atLeast"/>
      </w:trPr>
      <w:tc>
        <w:tcPr>
          <w:tcW w:w="2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Zhlavie"/>
            <w:widowControl w:val="false"/>
            <w:rPr>
              <w:rFonts w:ascii="Calibri" w:hAnsi="Calibri"/>
              <w:sz w:val="22"/>
              <w:szCs w:val="36"/>
              <w:lang w:val="sk-SK" w:eastAsia="en-US"/>
            </w:rPr>
          </w:pPr>
          <w:r>
            <w:rPr>
              <w:rFonts w:ascii="Calibri" w:hAnsi="Calibri"/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  <w:vAlign w:val="center"/>
        </w:tcPr>
        <w:p>
          <w:pPr>
            <w:pStyle w:val="Normal"/>
            <w:widowControl w:val="false"/>
            <w:spacing w:lineRule="auto" w:line="240" w:before="0" w:after="0"/>
            <w:rPr>
              <w:rFonts w:ascii="Calibri" w:hAnsi="Calibri"/>
            </w:rPr>
          </w:pPr>
          <w:r>
            <w:rPr>
              <w:rFonts w:ascii="Calibri" w:hAnsi="Calibri"/>
            </w:rPr>
          </w:r>
        </w:p>
      </w:tc>
      <w:tc>
        <w:tcPr>
          <w:tcW w:w="241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  <w:vAlign w:val="center"/>
        </w:tcPr>
        <w:p>
          <w:pPr>
            <w:pStyle w:val="Normal"/>
            <w:widowControl w:val="false"/>
            <w:spacing w:lineRule="auto" w:line="240" w:before="0" w:after="0"/>
            <w:rPr>
              <w:rFonts w:ascii="Calibri" w:hAnsi="Calibri"/>
            </w:rPr>
          </w:pPr>
          <w:r>
            <w:rPr>
              <w:rFonts w:ascii="Calibri" w:hAnsi="Calibri"/>
            </w:rPr>
            <w:t>IČO:36708003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  <w:vAlign w:val="center"/>
        </w:tcPr>
        <w:p>
          <w:pPr>
            <w:pStyle w:val="Normal"/>
            <w:widowControl w:val="false"/>
            <w:spacing w:lineRule="auto" w:line="240" w:before="0" w:after="0"/>
            <w:rPr>
              <w:rFonts w:ascii="Calibri" w:hAnsi="Calibri"/>
            </w:rPr>
          </w:pPr>
          <w:r>
            <w:rPr>
              <w:rFonts w:ascii="Calibri" w:hAnsi="Calibri"/>
            </w:rPr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  <w:vAlign w:val="center"/>
        </w:tcPr>
        <w:p>
          <w:pPr>
            <w:pStyle w:val="Normal"/>
            <w:widowControl w:val="false"/>
            <w:spacing w:lineRule="auto" w:line="240" w:before="0" w:after="0"/>
            <w:rPr>
              <w:rFonts w:ascii="Calibri" w:hAnsi="Calibri"/>
            </w:rPr>
          </w:pPr>
          <w:r>
            <w:rPr>
              <w:rFonts w:ascii="Calibri" w:hAnsi="Calibri"/>
            </w:rPr>
            <w:t>DIČ:2022284451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284" w:hanging="284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359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431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503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575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647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719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791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8630" w:hanging="180"/>
      </w:pPr>
      <w:rPr/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5049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5769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6489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7209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7929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8649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9369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10089" w:hanging="180"/>
      </w:pPr>
      <w:rPr/>
    </w:lvl>
  </w:abstractNum>
  <w:abstractNum w:abstractNumId="6"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sz w:val="20"/>
        <w:i w:val="false"/>
        <w:b w:val="false"/>
        <w:szCs w:val="24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7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965" w:hanging="360"/>
      </w:pPr>
      <w:rPr>
        <w:sz w:val="22"/>
        <w:b w:val="false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/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/>
    </w:lvl>
  </w:abstractNum>
  <w:abstractNum w:abstractNumId="10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/>
    </w:lvl>
  </w:abstractNum>
  <w:abstractNum w:abstractNumId="11"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2"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sz w:val="20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/>
    </w:lvl>
  </w:abstractNum>
  <w:abstractNum w:abstractNumId="15"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/>
    </w:lvl>
  </w:abstractNum>
  <w:abstractNum w:abstractNumId="16"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77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797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17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37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57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77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397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17" w:hanging="180"/>
      </w:pPr>
      <w:rPr/>
    </w:lvl>
  </w:abstractNum>
  <w:abstractNum w:abstractNumId="17">
    <w:lvl w:ilvl="0">
      <w:start w:val="1"/>
      <w:numFmt w:val="decimal"/>
      <w:lvlText w:val="(%1)"/>
      <w:lvlJc w:val="left"/>
      <w:pPr>
        <w:tabs>
          <w:tab w:val="num" w:pos="0"/>
        </w:tabs>
        <w:ind w:left="468" w:hanging="360"/>
      </w:pPr>
      <w:rPr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88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908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628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348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06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788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508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228" w:hanging="180"/>
      </w:pPr>
      <w:rPr/>
    </w:lvl>
  </w:abstractNum>
  <w:abstractNum w:abstractNumId="18"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/>
    </w:lvl>
  </w:abstractNum>
  <w:abstractNum w:abstractNumId="19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20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</w:numbering>
</file>

<file path=word/settings.xml><?xml version="1.0" encoding="utf-8"?>
<w:settings xmlns:w="http://schemas.openxmlformats.org/wordprocessingml/2006/main">
  <w:zoom w:percent="20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07386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 w:val="24"/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 w:val="24"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sid w:val="00a07386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sid w:val="00a07386"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sid w:val="00a07386"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sid w:val="00a07386"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sid w:val="00a07386"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sid w:val="00a07386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sid w:val="00a07386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sid w:val="00a07386"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sid w:val="00a07386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sid w:val="00a07386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sid w:val="00a07386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sid w:val="00a07386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Znakyprepoznmkupodiarou">
    <w:name w:val="Znaky pre poznámku pod čiarou"/>
    <w:uiPriority w:val="99"/>
    <w:qFormat/>
    <w:rsid w:val="00686076"/>
    <w:rPr>
      <w:vertAlign w:val="superscript"/>
    </w:rPr>
  </w:style>
  <w:style w:type="character" w:styleId="Ukotveniepoznmkypodiarou">
    <w:name w:val="Footnote Reference"/>
    <w:rPr>
      <w:vertAlign w:val="superscript"/>
    </w:rPr>
  </w:style>
  <w:style w:type="character" w:styleId="Ra" w:customStyle="1">
    <w:name w:val="ra"/>
    <w:basedOn w:val="DefaultParagraphFont"/>
    <w:qFormat/>
    <w:rsid w:val="000c24c2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sz w:val="36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</w:rPr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</w:rPr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sz w:val="20"/>
      <w:szCs w:val="20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 w:val="24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sz w:val="36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sz w:val="36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sz w:val="16"/>
      <w:szCs w:val="16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2"/>
      </w:numPr>
    </w:pPr>
    <w:rPr>
      <w:bCs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C3E0AB-7E8B-467B-80D6-81F79C1347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Application>LibreOffice/7.5.0.3$Windows_X86_64 LibreOffice_project/c21113d003cd3efa8c53188764377a8272d9d6de</Application>
  <AppVersion>15.0000</AppVersion>
  <Pages>9</Pages>
  <Words>2286</Words>
  <Characters>13741</Characters>
  <CharactersWithSpaces>15728</CharactersWithSpaces>
  <Paragraphs>297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2019-07-01T15:23:00Z</dcterms:created>
  <dc:creator>EK</dc:creator>
  <dc:description/>
  <dc:language>sk-SK</dc:language>
  <cp:lastModifiedBy/>
  <cp:lastPrinted>2023-06-30T15:56:28Z</cp:lastPrinted>
  <dcterms:modified xsi:type="dcterms:W3CDTF">2023-06-30T16:00:18Z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