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1B1" w:rsidRDefault="00AA6A59" w:rsidP="00FD662F">
      <w:pPr>
        <w:spacing w:after="214" w:line="259" w:lineRule="auto"/>
        <w:ind w:left="0" w:right="0" w:firstLine="0"/>
        <w:jc w:val="right"/>
      </w:pPr>
      <w:r>
        <w:rPr>
          <w:rFonts w:ascii="Times New Roman" w:eastAsia="Times New Roman" w:hAnsi="Times New Roman" w:cs="Times New Roman"/>
          <w:sz w:val="7"/>
        </w:rPr>
        <w:t xml:space="preserve"> </w:t>
      </w:r>
    </w:p>
    <w:p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7" w:line="259" w:lineRule="auto"/>
        <w:ind w:left="213" w:right="356" w:firstLine="0"/>
        <w:jc w:val="center"/>
      </w:pPr>
      <w:r>
        <w:rPr>
          <w:b/>
          <w:sz w:val="24"/>
        </w:rPr>
        <w:t xml:space="preserve">POZNÁMKY K ÚČTOVNEJ ZÁVIERKE </w:t>
      </w:r>
      <w:r w:rsidR="00FD662F">
        <w:rPr>
          <w:b/>
          <w:sz w:val="24"/>
        </w:rPr>
        <w:t>2022</w:t>
      </w:r>
    </w:p>
    <w:p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81" w:lineRule="auto"/>
        <w:ind w:left="223" w:right="356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</w:t>
      </w:r>
    </w:p>
    <w:p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81" w:lineRule="auto"/>
        <w:ind w:left="223" w:right="356"/>
        <w:jc w:val="center"/>
      </w:pPr>
      <w:r>
        <w:t xml:space="preserve">účtovnej závierke a rozsahu údajov určených z individuálnej účtovnej závierky na zverejnenie </w:t>
      </w:r>
      <w:r>
        <w:tab/>
      </w:r>
      <w:r>
        <w:rPr>
          <w:rFonts w:ascii="Times New Roman" w:eastAsia="Times New Roman" w:hAnsi="Times New Roman" w:cs="Times New Roman"/>
          <w:sz w:val="31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sz w:val="16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16"/>
          <w:vertAlign w:val="superscript"/>
        </w:rPr>
        <w:tab/>
      </w:r>
      <w:r>
        <w:rPr>
          <w:b/>
        </w:rPr>
        <w:t xml:space="preserve">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</w:t>
      </w:r>
      <w:r>
        <w:rPr>
          <w:b/>
        </w:rPr>
        <w:tab/>
        <w:t xml:space="preserve">jednotky </w:t>
      </w:r>
    </w:p>
    <w:p w:rsidR="00C721B1" w:rsidRDefault="00AA6A59">
      <w:pPr>
        <w:spacing w:after="0" w:line="259" w:lineRule="auto"/>
        <w:ind w:left="24" w:right="0" w:firstLine="0"/>
        <w:jc w:val="center"/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b/>
          <w:u w:val="single" w:color="000000"/>
        </w:rPr>
        <w:t>Článok I – VŠEOBECNÉ INFORMÁCIE</w:t>
      </w:r>
      <w:r>
        <w:rPr>
          <w:b/>
        </w:rPr>
        <w:t xml:space="preserve"> </w:t>
      </w:r>
    </w:p>
    <w:p w:rsidR="00C721B1" w:rsidRDefault="00AA6A59">
      <w:pPr>
        <w:spacing w:after="17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1"/>
        </w:numPr>
        <w:spacing w:after="10" w:line="249" w:lineRule="auto"/>
        <w:ind w:right="200" w:hanging="211"/>
        <w:jc w:val="left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tbl>
      <w:tblPr>
        <w:tblStyle w:val="TableGrid"/>
        <w:tblW w:w="9772" w:type="dxa"/>
        <w:tblInd w:w="134" w:type="dxa"/>
        <w:tblCellMar>
          <w:left w:w="118" w:type="dxa"/>
          <w:right w:w="115" w:type="dxa"/>
        </w:tblCellMar>
        <w:tblLook w:val="04A0" w:firstRow="1" w:lastRow="0" w:firstColumn="1" w:lastColumn="0" w:noHBand="0" w:noVBand="1"/>
      </w:tblPr>
      <w:tblGrid>
        <w:gridCol w:w="2672"/>
        <w:gridCol w:w="7100"/>
      </w:tblGrid>
      <w:tr w:rsidR="00C721B1">
        <w:trPr>
          <w:trHeight w:val="257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MM </w:t>
            </w:r>
            <w:proofErr w:type="spellStart"/>
            <w:r>
              <w:rPr>
                <w:b/>
              </w:rPr>
              <w:t>projects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C721B1">
        <w:trPr>
          <w:trHeight w:val="252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proofErr w:type="spellStart"/>
            <w:r>
              <w:t>Buzalkova</w:t>
            </w:r>
            <w:proofErr w:type="spellEnd"/>
            <w:r>
              <w:t xml:space="preserve"> 3 831 07 Bratislava </w:t>
            </w:r>
          </w:p>
        </w:tc>
      </w:tr>
      <w:tr w:rsidR="00C721B1">
        <w:trPr>
          <w:trHeight w:val="254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112 – Spoločnosť s ručením obmedzeným </w:t>
            </w:r>
          </w:p>
        </w:tc>
      </w:tr>
      <w:tr w:rsidR="00C721B1">
        <w:trPr>
          <w:trHeight w:val="257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 decembra 2013 </w:t>
            </w:r>
          </w:p>
        </w:tc>
      </w:tr>
      <w:tr w:rsidR="00C721B1">
        <w:trPr>
          <w:trHeight w:val="500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4"/>
              </w:rPr>
              <w:t xml:space="preserve">Reklamné a marketingové služby </w:t>
            </w:r>
          </w:p>
        </w:tc>
      </w:tr>
      <w:tr w:rsidR="00C721B1">
        <w:trPr>
          <w:trHeight w:val="588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MM </w:t>
            </w:r>
            <w:proofErr w:type="spellStart"/>
            <w:r>
              <w:t>projects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C721B1">
        <w:trPr>
          <w:trHeight w:val="262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Kalendárny rok </w:t>
            </w:r>
            <w:r w:rsidR="00FD662F">
              <w:t>2022</w:t>
            </w:r>
          </w:p>
        </w:tc>
      </w:tr>
    </w:tbl>
    <w:p w:rsidR="00C721B1" w:rsidRDefault="00AA6A59">
      <w:pPr>
        <w:spacing w:after="2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FD662F">
      <w:pPr>
        <w:ind w:left="281"/>
      </w:pPr>
      <w:r>
        <w:t>Počas účtovného obdobia 2022</w:t>
      </w:r>
      <w:r w:rsidR="00AA6A59">
        <w:t xml:space="preserve"> účtovná jednotka nezmenila svoje obchodné meno ani sídlo. Hlavnou vykonávanou činnosťou účtovnej jednotky v nadväznosti na predmet podnikania je sprostredkovateľská činnosť v oblasti obchodu a Kúpa tovaru na účely jeho predaja konečnému spotrebiteľovi (maloobchod) alebo iným prevádzkovateľom živnosti (veľkoobchod).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10" w:line="249" w:lineRule="auto"/>
        <w:ind w:left="252" w:right="0"/>
        <w:jc w:val="left"/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tbl>
      <w:tblPr>
        <w:tblStyle w:val="TableGrid"/>
        <w:tblW w:w="9590" w:type="dxa"/>
        <w:tblInd w:w="182" w:type="dxa"/>
        <w:tblCellMar>
          <w:left w:w="5" w:type="dxa"/>
        </w:tblCellMar>
        <w:tblLook w:val="04A0" w:firstRow="1" w:lastRow="0" w:firstColumn="1" w:lastColumn="0" w:noHBand="0" w:noVBand="1"/>
      </w:tblPr>
      <w:tblGrid>
        <w:gridCol w:w="2197"/>
        <w:gridCol w:w="2835"/>
        <w:gridCol w:w="3262"/>
        <w:gridCol w:w="1296"/>
      </w:tblGrid>
      <w:tr w:rsidR="00C721B1">
        <w:trPr>
          <w:trHeight w:val="26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22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65389">
            <w:pPr>
              <w:spacing w:after="0" w:line="259" w:lineRule="auto"/>
              <w:ind w:left="0" w:right="154" w:firstLine="0"/>
              <w:jc w:val="right"/>
            </w:pPr>
            <w:r>
              <w:rPr>
                <w:b/>
              </w:rPr>
              <w:t>Účtovné obdobie 2020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D662F">
            <w:pPr>
              <w:spacing w:after="0" w:line="259" w:lineRule="auto"/>
              <w:ind w:left="674" w:right="0" w:firstLine="0"/>
              <w:jc w:val="left"/>
            </w:pPr>
            <w:r>
              <w:rPr>
                <w:b/>
              </w:rPr>
              <w:t>Účtovné obdobie 2021</w:t>
            </w:r>
            <w:r w:rsidR="00AA6A59">
              <w:rPr>
                <w:b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152" w:firstLine="0"/>
              <w:jc w:val="right"/>
            </w:pPr>
            <w:r>
              <w:rPr>
                <w:b/>
              </w:rPr>
              <w:t xml:space="preserve">Áno/Nie </w:t>
            </w:r>
          </w:p>
        </w:tc>
      </w:tr>
      <w:tr w:rsidR="00C721B1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Pr="00DF4C38" w:rsidRDefault="00AA6A59" w:rsidP="00DF4C38">
            <w:pPr>
              <w:spacing w:after="0" w:line="259" w:lineRule="auto"/>
              <w:ind w:left="0" w:right="0" w:firstLine="0"/>
              <w:jc w:val="left"/>
            </w:pPr>
            <w:r w:rsidRPr="00DF4C38">
              <w:rPr>
                <w:b/>
              </w:rPr>
              <w:t xml:space="preserve"> </w:t>
            </w:r>
            <w:r w:rsidR="00DF4C38" w:rsidRPr="00DF4C38">
              <w:rPr>
                <w:b/>
              </w:rPr>
              <w:t>13476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D662F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>15568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C721B1" w:rsidTr="00F65389">
        <w:trPr>
          <w:trHeight w:val="7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Pr="00DF4C38" w:rsidRDefault="00DF4C38">
            <w:pPr>
              <w:spacing w:after="0" w:line="259" w:lineRule="auto"/>
              <w:ind w:left="0" w:right="0" w:firstLine="0"/>
              <w:jc w:val="left"/>
            </w:pPr>
            <w:r w:rsidRPr="00DF4C38">
              <w:rPr>
                <w:b/>
              </w:rPr>
              <w:t xml:space="preserve"> 3055</w:t>
            </w:r>
            <w:r w:rsidR="00AA6A59" w:rsidRPr="00DF4C38">
              <w:rPr>
                <w:b/>
              </w:rP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FD662F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>3574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C721B1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C721B1" w:rsidRDefault="00AA6A59">
      <w:pPr>
        <w:ind w:left="281" w:right="400"/>
      </w:pPr>
      <w:r>
        <w:rPr>
          <w:u w:val="single" w:color="000000"/>
        </w:rPr>
        <w:t>Komentár:</w:t>
      </w:r>
      <w:r>
        <w:t xml:space="preserve"> ÚJ je zaradená vo veľkostnej skupine „</w:t>
      </w:r>
      <w:proofErr w:type="spellStart"/>
      <w:r>
        <w:t>Mikro</w:t>
      </w:r>
      <w:proofErr w:type="spellEnd"/>
      <w:r>
        <w:t xml:space="preserve"> účtovná jednotka“. </w:t>
      </w:r>
    </w:p>
    <w:p w:rsidR="00C721B1" w:rsidRDefault="00AA6A59">
      <w:pPr>
        <w:spacing w:after="25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numPr>
          <w:ilvl w:val="0"/>
          <w:numId w:val="1"/>
        </w:numPr>
        <w:ind w:right="200" w:hanging="211"/>
        <w:jc w:val="left"/>
      </w:pPr>
      <w:r>
        <w:rPr>
          <w:b/>
        </w:rPr>
        <w:t xml:space="preserve">Dátum schválenia účtovnej závierky </w:t>
      </w:r>
      <w:r>
        <w:t xml:space="preserve">za bezprostredne predchádzajúce účtovné obdobie príslušným orgánom účtovnej jednotky: </w:t>
      </w:r>
      <w:bookmarkStart w:id="0" w:name="_GoBack"/>
      <w:bookmarkEnd w:id="0"/>
    </w:p>
    <w:p w:rsidR="00C721B1" w:rsidRDefault="00AA6A59">
      <w:pPr>
        <w:ind w:left="281" w:right="1258"/>
      </w:pPr>
      <w:r>
        <w:t>Účtovná jednotka schválila účtovnú závierku za pred</w:t>
      </w:r>
      <w:r w:rsidR="00FD662F">
        <w:t>chádzajúce obdobie 27. Júna 2022</w:t>
      </w:r>
      <w:r>
        <w:t xml:space="preserve"> 3) </w:t>
      </w:r>
      <w:r>
        <w:rPr>
          <w:b/>
        </w:rPr>
        <w:t xml:space="preserve">Právny dôvod </w:t>
      </w:r>
      <w:r>
        <w:t xml:space="preserve">na zostavenie účtovnej závierky: </w:t>
      </w:r>
    </w:p>
    <w:p w:rsidR="00C721B1" w:rsidRDefault="00AA6A59">
      <w:pPr>
        <w:spacing w:after="43" w:line="265" w:lineRule="auto"/>
        <w:ind w:left="252" w:right="743"/>
        <w:jc w:val="left"/>
      </w:pPr>
      <w:r>
        <w:t xml:space="preserve">Spoločnosť MM </w:t>
      </w:r>
      <w:proofErr w:type="spellStart"/>
      <w:r>
        <w:t>projects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predkladá riadnu účtovnú závierku k 31.12.</w:t>
      </w:r>
      <w:r w:rsidR="00FD662F">
        <w:t>2022</w:t>
      </w:r>
      <w:r>
        <w:t xml:space="preserve"> s predpokladom nepretržitého pokračovania svojej činnosti. 4) </w:t>
      </w: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UJ nemá povinnosť zostaviť konsolidovanú účtovnú závierku. </w:t>
      </w:r>
    </w:p>
    <w:p w:rsidR="00C721B1" w:rsidRDefault="00AA6A59">
      <w:pPr>
        <w:spacing w:after="40" w:line="259" w:lineRule="auto"/>
        <w:ind w:left="0" w:right="0" w:firstLine="0"/>
        <w:jc w:val="left"/>
        <w:rPr>
          <w:sz w:val="24"/>
        </w:rPr>
      </w:pPr>
      <w:r>
        <w:rPr>
          <w:sz w:val="24"/>
        </w:rPr>
        <w:t xml:space="preserve"> </w:t>
      </w: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:rsidR="00F65389" w:rsidRDefault="00F65389">
      <w:pPr>
        <w:spacing w:after="40" w:line="259" w:lineRule="auto"/>
        <w:ind w:left="0" w:right="0" w:firstLine="0"/>
        <w:jc w:val="left"/>
      </w:pP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30"/>
        </w:rPr>
        <w:t xml:space="preserve"> </w:t>
      </w:r>
    </w:p>
    <w:p w:rsidR="00C721B1" w:rsidRDefault="00AA6A59">
      <w:pPr>
        <w:spacing w:after="10" w:line="249" w:lineRule="auto"/>
        <w:ind w:left="252" w:right="0"/>
        <w:jc w:val="left"/>
      </w:pPr>
      <w:r>
        <w:lastRenderedPageBreak/>
        <w:t>5)</w:t>
      </w: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770" w:type="dxa"/>
        <w:tblInd w:w="144" w:type="dxa"/>
        <w:tblCellMar>
          <w:left w:w="5" w:type="dxa"/>
        </w:tblCellMar>
        <w:tblLook w:val="04A0" w:firstRow="1" w:lastRow="0" w:firstColumn="1" w:lastColumn="0" w:noHBand="0" w:noVBand="1"/>
      </w:tblPr>
      <w:tblGrid>
        <w:gridCol w:w="4859"/>
        <w:gridCol w:w="2523"/>
        <w:gridCol w:w="2388"/>
      </w:tblGrid>
      <w:tr w:rsidR="00C721B1">
        <w:trPr>
          <w:trHeight w:val="768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27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33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28" w:line="259" w:lineRule="auto"/>
              <w:ind w:left="2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6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C721B1">
        <w:trPr>
          <w:trHeight w:val="473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Priemerný prepočítaný počet zamestnancov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t xml:space="preserve">0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t xml:space="preserve">0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3" w:line="259" w:lineRule="auto"/>
        <w:ind w:left="2864" w:right="0"/>
        <w:jc w:val="left"/>
      </w:pPr>
      <w:r>
        <w:rPr>
          <w:b/>
        </w:rPr>
        <w:t xml:space="preserve">Článok II – INFORMÁCIE O ORGÁNOCH SPOLOČNOSTI </w:t>
      </w:r>
    </w:p>
    <w:p w:rsidR="00C721B1" w:rsidRDefault="00AA6A59">
      <w:pPr>
        <w:spacing w:after="26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pStyle w:val="Nadpis1"/>
        <w:ind w:left="252"/>
      </w:pPr>
      <w:r>
        <w:t>Informácie o orgánoch účtovnej jednotky</w:t>
      </w:r>
      <w:r>
        <w:rPr>
          <w:u w:val="none"/>
        </w:rPr>
        <w:t xml:space="preserve"> </w:t>
      </w:r>
    </w:p>
    <w:p w:rsidR="00C721B1" w:rsidRDefault="00AA6A59">
      <w:pPr>
        <w:spacing w:after="0" w:line="259" w:lineRule="auto"/>
        <w:ind w:left="257" w:right="0" w:firstLine="0"/>
        <w:jc w:val="left"/>
      </w:pPr>
      <w:r>
        <w:rPr>
          <w:b/>
          <w:sz w:val="7"/>
        </w:rPr>
        <w:t xml:space="preserve"> </w:t>
      </w:r>
    </w:p>
    <w:tbl>
      <w:tblPr>
        <w:tblStyle w:val="TableGrid"/>
        <w:tblW w:w="9736" w:type="dxa"/>
        <w:tblInd w:w="262" w:type="dxa"/>
        <w:tblCellMar>
          <w:top w:w="8" w:type="dxa"/>
          <w:left w:w="5" w:type="dxa"/>
          <w:right w:w="18" w:type="dxa"/>
        </w:tblCellMar>
        <w:tblLook w:val="04A0" w:firstRow="1" w:lastRow="0" w:firstColumn="1" w:lastColumn="0" w:noHBand="0" w:noVBand="1"/>
      </w:tblPr>
      <w:tblGrid>
        <w:gridCol w:w="6313"/>
        <w:gridCol w:w="1702"/>
        <w:gridCol w:w="1721"/>
      </w:tblGrid>
      <w:tr w:rsidR="00C721B1">
        <w:trPr>
          <w:trHeight w:val="127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6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232" w:right="0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42" w:right="65" w:firstLine="89"/>
              <w:jc w:val="left"/>
            </w:pPr>
            <w:proofErr w:type="spellStart"/>
            <w:r>
              <w:rPr>
                <w:b/>
              </w:rPr>
              <w:t>Bezprostred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</w:t>
            </w:r>
            <w:proofErr w:type="spellEnd"/>
            <w:r>
              <w:rPr>
                <w:b/>
              </w:rPr>
              <w:t xml:space="preserve"> predchádzaj </w:t>
            </w:r>
            <w:proofErr w:type="spellStart"/>
            <w:r>
              <w:rPr>
                <w:b/>
              </w:rPr>
              <w:t>úce</w:t>
            </w:r>
            <w:proofErr w:type="spellEnd"/>
            <w:r>
              <w:rPr>
                <w:b/>
              </w:rPr>
              <w:t xml:space="preserve"> účtovné obdobie </w:t>
            </w:r>
          </w:p>
        </w:tc>
      </w:tr>
      <w:tr w:rsidR="00C721B1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1" w:right="0" w:firstLine="0"/>
              <w:jc w:val="left"/>
            </w:pPr>
            <w:r>
              <w:t xml:space="preserve">konateľ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5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:rsidR="00C721B1" w:rsidRDefault="00AA6A59">
      <w:pPr>
        <w:spacing w:after="209" w:line="259" w:lineRule="auto"/>
        <w:ind w:left="0" w:right="0" w:firstLine="0"/>
        <w:jc w:val="left"/>
      </w:pPr>
      <w:r>
        <w:rPr>
          <w:b/>
          <w:sz w:val="13"/>
        </w:rPr>
        <w:t xml:space="preserve"> </w:t>
      </w:r>
    </w:p>
    <w:p w:rsidR="00C721B1" w:rsidRDefault="00AA6A59">
      <w:pPr>
        <w:ind w:left="281" w:right="400"/>
      </w:pPr>
      <w:r>
        <w:t xml:space="preserve">Počas bezprostredne predchádzajúceho účtovného obdobia </w:t>
      </w:r>
      <w:r>
        <w:rPr>
          <w:b/>
        </w:rPr>
        <w:t xml:space="preserve">neboli poskytnuté plnenia </w:t>
      </w:r>
      <w:r>
        <w:t xml:space="preserve">formou pôžičky, členom štatutárneho orgánu. </w:t>
      </w:r>
    </w:p>
    <w:p w:rsidR="00C721B1" w:rsidRDefault="00AA6A59">
      <w:pPr>
        <w:spacing w:after="208" w:line="259" w:lineRule="auto"/>
        <w:ind w:left="0" w:right="0" w:firstLine="0"/>
        <w:jc w:val="left"/>
      </w:pPr>
      <w:r>
        <w:rPr>
          <w:sz w:val="13"/>
        </w:rPr>
        <w:t xml:space="preserve"> </w:t>
      </w:r>
    </w:p>
    <w:p w:rsidR="00C721B1" w:rsidRDefault="00AA6A59">
      <w:pPr>
        <w:pStyle w:val="Nadpis1"/>
        <w:ind w:left="2785"/>
      </w:pPr>
      <w:r>
        <w:rPr>
          <w:rFonts w:ascii="Times New Roman" w:eastAsia="Times New Roman" w:hAnsi="Times New Roman" w:cs="Times New Roman"/>
          <w:b w:val="0"/>
        </w:rPr>
        <w:t xml:space="preserve"> </w:t>
      </w:r>
      <w:r>
        <w:t>Článok III – INFORMÁCIE O PRIJATÝCH POSTUPOCH</w:t>
      </w:r>
      <w:r>
        <w:rPr>
          <w:u w:val="none"/>
        </w:rPr>
        <w:t xml:space="preserve"> </w:t>
      </w:r>
    </w:p>
    <w:p w:rsidR="00C721B1" w:rsidRDefault="00AA6A59">
      <w:pPr>
        <w:spacing w:after="7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2"/>
        </w:numPr>
        <w:ind w:right="400"/>
      </w:pPr>
      <w:r>
        <w:t xml:space="preserve">Účtovná závierka je zostavená za splnenia predpokladu, že účtovná jednotka bude </w:t>
      </w:r>
      <w:r>
        <w:rPr>
          <w:b/>
        </w:rPr>
        <w:t xml:space="preserve">nepretržite pokračovať </w:t>
      </w:r>
      <w:r>
        <w:t xml:space="preserve">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závierky: </w:t>
      </w:r>
    </w:p>
    <w:p w:rsidR="00C721B1" w:rsidRDefault="00AA6A59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0" w:line="259" w:lineRule="auto"/>
        <w:ind w:left="0" w:right="277" w:firstLine="0"/>
        <w:jc w:val="right"/>
      </w:pPr>
      <w:r>
        <w:rPr>
          <w:b/>
        </w:rPr>
        <w:t xml:space="preserve">Pri zostavení účtovnej závierky účtovná jednotka predpokladá nepretržité pokračovanie svojej činnosti. </w:t>
      </w:r>
    </w:p>
    <w:p w:rsidR="00C721B1" w:rsidRDefault="00AA6A59">
      <w:pPr>
        <w:spacing w:after="28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2"/>
        </w:numPr>
        <w:ind w:right="400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 obdobie  v jednotlivých  súčastiach  účtovnej  závierky  porovnateľné,  uvádza  sa  vysvetlenie v neporovnateľných hodnotách: </w:t>
      </w:r>
    </w:p>
    <w:p w:rsidR="00C721B1" w:rsidRDefault="00AA6A59">
      <w:pPr>
        <w:spacing w:after="38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lastRenderedPageBreak/>
        <w:t xml:space="preserve">V účtovnom období nedošlo k zmenám používaných účtovných metód a zásad. </w:t>
      </w:r>
    </w:p>
    <w:p w:rsidR="00C721B1" w:rsidRDefault="00AA6A59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numPr>
          <w:ilvl w:val="0"/>
          <w:numId w:val="2"/>
        </w:numPr>
        <w:ind w:right="400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 dopad legislatívy, celkový pokles  v hospodárskom segmente): </w:t>
      </w:r>
    </w:p>
    <w:p w:rsidR="00C721B1" w:rsidRDefault="00AA6A59">
      <w:pPr>
        <w:spacing w:after="4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ind w:left="281" w:right="400"/>
      </w:pPr>
      <w:r>
        <w:t xml:space="preserve">Bez obsahovej náplne.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numPr>
          <w:ilvl w:val="0"/>
          <w:numId w:val="2"/>
        </w:numPr>
        <w:spacing w:line="385" w:lineRule="auto"/>
        <w:ind w:right="400"/>
      </w:pPr>
      <w:r>
        <w:rPr>
          <w:b/>
        </w:rPr>
        <w:t xml:space="preserve">Spôsob a určenie oceňovania </w:t>
      </w:r>
      <w:r>
        <w:t xml:space="preserve">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33" w:type="dxa"/>
        <w:tblInd w:w="144" w:type="dxa"/>
        <w:tblCellMar>
          <w:right w:w="16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25"/>
      </w:tblGrid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8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963" w:right="0" w:firstLine="0"/>
              <w:jc w:val="left"/>
            </w:pPr>
            <w:r>
              <w:rPr>
                <w:b/>
              </w:rPr>
              <w:t xml:space="preserve">Spôsob oceňovania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-14" w:right="0" w:firstLine="0"/>
              <w:jc w:val="left"/>
            </w:pPr>
            <w:r>
              <w:t xml:space="preserve"> Reprodukčná obstarávacia cena </w:t>
            </w:r>
          </w:p>
        </w:tc>
      </w:tr>
      <w:tr w:rsidR="00C721B1">
        <w:trPr>
          <w:trHeight w:val="260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hmotný majetok externe kúpený: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-14" w:right="0" w:firstLine="0"/>
              <w:jc w:val="left"/>
            </w:pPr>
            <w:r>
              <w:t xml:space="preserve"> Reprodukčná obstarávacia cena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Reprodukčná obstarávacia cena </w:t>
            </w:r>
          </w:p>
        </w:tc>
      </w:tr>
      <w:tr w:rsidR="00C721B1">
        <w:trPr>
          <w:trHeight w:val="47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Menovitá hodnota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7"/>
        </w:rPr>
        <w:t xml:space="preserve"> </w:t>
      </w:r>
    </w:p>
    <w:tbl>
      <w:tblPr>
        <w:tblStyle w:val="TableGrid"/>
        <w:tblW w:w="9633" w:type="dxa"/>
        <w:tblInd w:w="144" w:type="dxa"/>
        <w:tblCellMar>
          <w:left w:w="113" w:type="dxa"/>
          <w:right w:w="10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25"/>
      </w:tblGrid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47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>
        <w:trPr>
          <w:trHeight w:val="518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C721B1" w:rsidRDefault="00AA6A59">
      <w:pPr>
        <w:spacing w:after="208" w:line="259" w:lineRule="auto"/>
        <w:ind w:left="0" w:right="0" w:firstLine="0"/>
        <w:jc w:val="left"/>
      </w:pPr>
      <w:r>
        <w:rPr>
          <w:sz w:val="13"/>
        </w:rPr>
        <w:t xml:space="preserve">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netvorila dlhodobý nehmotný majetok vlastnou činnosťou.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účtovnom období neobstarávala dlhodobý hmotný majetok.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roku nenakupovala drobný dlhodobý hmotný majetok.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roku netvorila dlhodobý hmotný majetok vlastnou činnosťou.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Podnik v bežnom roku nenakupoval zásoby, a netvoril zásoby vlastnou činnosťou.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lastRenderedPageBreak/>
        <w:t xml:space="preserve">Účtovná jednotka v bežnom roku oceňovala peňažné prostriedky, ceniny, pohľadávky pri ich vzniku, záväzky pri ich vzniku menovitou hodnotou.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neprijala darovaný majetok.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Podnik nemá novozistený majetok pri inventarizácií.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bolo vedené v peňažných jednotkách meny euro.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účtovnej jednotky je spracovávané elektronicky pri použití programovaného vybavenia spoločnosti Money S3. Programové vybavenie pracuje vo všeobecnom užívateľskom systéme – podvojné účtovníctvo, dlhodobý majetok. Výstupmi sú nasledovné zostavy: Hlavná kniha, Denníky, Obratová predvaha, Účtovné výkazy, Účtovná závierka, a mnohé iné.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sa riadi súborom vnútropodnikových smerníc pre vedenie účtovníctva platných na účtovný rok 2019. </w:t>
      </w:r>
    </w:p>
    <w:p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netvorila rezervy na zostavenie účtovnej závierky a daňového priznania.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C721B1" w:rsidRDefault="00AA6A59">
      <w:pPr>
        <w:spacing w:after="46" w:line="259" w:lineRule="auto"/>
        <w:ind w:left="0" w:right="0" w:firstLine="0"/>
        <w:jc w:val="left"/>
      </w:pPr>
      <w:r>
        <w:rPr>
          <w:sz w:val="19"/>
        </w:rPr>
        <w:t xml:space="preserve"> </w:t>
      </w:r>
    </w:p>
    <w:p w:rsidR="00C721B1" w:rsidRDefault="00AA6A59">
      <w:pPr>
        <w:numPr>
          <w:ilvl w:val="0"/>
          <w:numId w:val="3"/>
        </w:numPr>
        <w:spacing w:after="133"/>
        <w:ind w:right="400" w:hanging="211"/>
      </w:pPr>
      <w:r>
        <w:t xml:space="preserve">Trvalé zníženie hodnoty majetku nebolo účtované. </w:t>
      </w:r>
    </w:p>
    <w:p w:rsidR="00C721B1" w:rsidRDefault="00AA6A59">
      <w:pPr>
        <w:numPr>
          <w:ilvl w:val="0"/>
          <w:numId w:val="3"/>
        </w:numPr>
        <w:spacing w:after="129"/>
        <w:ind w:right="400" w:hanging="211"/>
      </w:pPr>
      <w:r>
        <w:t xml:space="preserve">Záväzky účtovná jednotka ocenila menovitou hodnotou záväzkov. </w:t>
      </w:r>
    </w:p>
    <w:p w:rsidR="00C721B1" w:rsidRDefault="00AA6A59">
      <w:pPr>
        <w:numPr>
          <w:ilvl w:val="0"/>
          <w:numId w:val="3"/>
        </w:numPr>
        <w:spacing w:after="94"/>
        <w:ind w:right="400" w:hanging="211"/>
      </w:pPr>
      <w:r>
        <w:t>Určenie ocenenia</w:t>
      </w:r>
      <w:r>
        <w:rPr>
          <w:u w:val="single" w:color="000000"/>
        </w:rPr>
        <w:t xml:space="preserve"> 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C721B1" w:rsidRDefault="00AA6A59">
      <w:pPr>
        <w:spacing w:after="126"/>
        <w:ind w:left="281" w:right="400"/>
      </w:pPr>
      <w:r>
        <w:t xml:space="preserve">Reálnu hodnotu pri oceňovaní finančných nástrojov tvorí, trhová cena finančného nástroja platná ku dňu ocenenia. </w:t>
      </w:r>
    </w:p>
    <w:p w:rsidR="00C721B1" w:rsidRDefault="00AA6A59">
      <w:pPr>
        <w:numPr>
          <w:ilvl w:val="0"/>
          <w:numId w:val="3"/>
        </w:numPr>
        <w:spacing w:after="4" w:line="371" w:lineRule="auto"/>
        <w:ind w:right="400" w:hanging="211"/>
      </w:pPr>
      <w:r>
        <w:t>Určenie ocenenia</w:t>
      </w:r>
      <w:r>
        <w:rPr>
          <w:u w:val="single" w:color="000000"/>
        </w:rPr>
        <w:t xml:space="preserve"> finančných nástrojov</w:t>
      </w:r>
      <w:r>
        <w:t xml:space="preserve"> pri oceňovaní obstarávacou cenou alebo vlastnými nákladmi: Obstarávaciu cenu finančných nástrojov tvorí cena potrebná na obstaranie majetku a náklady súvisiace s obstaraním. </w:t>
      </w:r>
      <w:r>
        <w:rPr>
          <w:u w:val="single" w:color="000000"/>
        </w:rPr>
        <w:t>Komentár k oceňovaniu majetku a záväzkov</w:t>
      </w:r>
      <w:r>
        <w:t xml:space="preserve">: </w:t>
      </w:r>
    </w:p>
    <w:p w:rsidR="00C721B1" w:rsidRDefault="00AA6A59">
      <w:pPr>
        <w:numPr>
          <w:ilvl w:val="0"/>
          <w:numId w:val="4"/>
        </w:numPr>
        <w:ind w:left="497" w:right="400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:rsidR="00C721B1" w:rsidRDefault="00AA6A59">
      <w:pPr>
        <w:numPr>
          <w:ilvl w:val="0"/>
          <w:numId w:val="4"/>
        </w:numPr>
        <w:spacing w:after="143" w:line="249" w:lineRule="auto"/>
        <w:ind w:left="497" w:right="400" w:hanging="226"/>
      </w:pPr>
      <w:r>
        <w:rPr>
          <w:u w:val="single" w:color="000000"/>
        </w:rPr>
        <w:t>Opravné položky</w:t>
      </w:r>
      <w:r>
        <w:t xml:space="preserve"> netvorila. </w:t>
      </w:r>
    </w:p>
    <w:p w:rsidR="00C721B1" w:rsidRDefault="00AA6A59">
      <w:pPr>
        <w:numPr>
          <w:ilvl w:val="0"/>
          <w:numId w:val="4"/>
        </w:numPr>
        <w:spacing w:after="94"/>
        <w:ind w:left="497" w:right="400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netvorila. </w:t>
      </w:r>
    </w:p>
    <w:p w:rsidR="00C721B1" w:rsidRDefault="00AA6A59">
      <w:pPr>
        <w:numPr>
          <w:ilvl w:val="0"/>
          <w:numId w:val="4"/>
        </w:numPr>
        <w:spacing w:after="129"/>
        <w:ind w:left="497" w:right="400" w:hanging="226"/>
      </w:pPr>
      <w:r>
        <w:rPr>
          <w:u w:val="single" w:color="000000"/>
        </w:rPr>
        <w:t>Rezervy</w:t>
      </w:r>
      <w:r>
        <w:t xml:space="preserve"> UJ netvorila </w:t>
      </w:r>
    </w:p>
    <w:p w:rsidR="00C721B1" w:rsidRDefault="00AA6A59">
      <w:pPr>
        <w:numPr>
          <w:ilvl w:val="0"/>
          <w:numId w:val="4"/>
        </w:numPr>
        <w:spacing w:after="128"/>
        <w:ind w:left="497" w:right="400" w:hanging="226"/>
      </w:pPr>
      <w:r>
        <w:t>ÚJ používa pri oceňovaní úbytku rovnakého druhu zásob a cenných papierov –</w:t>
      </w:r>
      <w:r>
        <w:rPr>
          <w:u w:val="single" w:color="000000"/>
        </w:rPr>
        <w:t xml:space="preserve"> 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C721B1" w:rsidRDefault="00AA6A59">
      <w:pPr>
        <w:numPr>
          <w:ilvl w:val="0"/>
          <w:numId w:val="4"/>
        </w:numPr>
        <w:spacing w:after="99"/>
        <w:ind w:left="497" w:right="40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4"/>
        </w:numPr>
        <w:spacing w:after="122" w:line="265" w:lineRule="auto"/>
        <w:ind w:left="497" w:right="40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5"/>
        </w:numPr>
        <w:ind w:right="515" w:hanging="216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spacing w:after="84" w:line="259" w:lineRule="auto"/>
        <w:ind w:left="0" w:right="0" w:firstLine="0"/>
        <w:jc w:val="left"/>
      </w:pPr>
      <w:r>
        <w:rPr>
          <w:sz w:val="25"/>
        </w:rPr>
        <w:t xml:space="preserve"> </w:t>
      </w:r>
    </w:p>
    <w:p w:rsidR="00C721B1" w:rsidRDefault="00AA6A59">
      <w:pPr>
        <w:numPr>
          <w:ilvl w:val="0"/>
          <w:numId w:val="5"/>
        </w:numPr>
        <w:spacing w:after="23" w:line="250" w:lineRule="auto"/>
        <w:ind w:right="515" w:hanging="216"/>
      </w:pPr>
      <w:r>
        <w:rPr>
          <w:b/>
          <w:i/>
        </w:rPr>
        <w:t xml:space="preserve">Tvorba odpisového plánu </w:t>
      </w:r>
      <w:r>
        <w:rPr>
          <w:i/>
        </w:rPr>
        <w:t xml:space="preserve">pre dlhodobý majetok, pričom sa uvádza doba odpisovania, sadzby odpisov a odpisové </w:t>
      </w:r>
    </w:p>
    <w:p w:rsidR="00C721B1" w:rsidRDefault="00AA6A59">
      <w:pPr>
        <w:spacing w:after="3" w:line="388" w:lineRule="auto"/>
        <w:ind w:left="252" w:right="4334"/>
        <w:jc w:val="left"/>
      </w:pPr>
      <w:r>
        <w:rPr>
          <w:i/>
        </w:rPr>
        <w:t xml:space="preserve">metódy pre účtovné odpisy: </w:t>
      </w:r>
      <w:r>
        <w:rPr>
          <w:b/>
        </w:rPr>
        <w:t xml:space="preserve">Účtovná jednotka nevlastní dlhodobý hmotný majetok.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32"/>
        </w:rPr>
        <w:t xml:space="preserve"> </w:t>
      </w:r>
    </w:p>
    <w:p w:rsidR="00C721B1" w:rsidRDefault="00AA6A59">
      <w:pPr>
        <w:numPr>
          <w:ilvl w:val="0"/>
          <w:numId w:val="5"/>
        </w:numPr>
        <w:spacing w:after="146" w:line="250" w:lineRule="auto"/>
        <w:ind w:right="515" w:hanging="216"/>
      </w:pPr>
      <w:r>
        <w:rPr>
          <w:i/>
        </w:rPr>
        <w:lastRenderedPageBreak/>
        <w:t xml:space="preserve">Informácia </w:t>
      </w:r>
      <w:r>
        <w:rPr>
          <w:b/>
          <w:i/>
        </w:rPr>
        <w:t xml:space="preserve">o poskytnutých dotáciách </w:t>
      </w:r>
      <w:r>
        <w:rPr>
          <w:i/>
        </w:rPr>
        <w:t xml:space="preserve">a pri dotáciách na obstaranie majetku sa uvedú zložky majetku a ich ocenenie: Bez obsahovej náplne </w:t>
      </w:r>
    </w:p>
    <w:p w:rsidR="00C721B1" w:rsidRDefault="00AA6A59">
      <w:pPr>
        <w:spacing w:after="23" w:line="250" w:lineRule="auto"/>
        <w:ind w:left="252" w:right="515"/>
      </w:pPr>
      <w:r>
        <w:rPr>
          <w:b/>
          <w:i/>
        </w:rPr>
        <w:t xml:space="preserve">5) Informácie o oprave </w:t>
      </w:r>
      <w:r>
        <w:rPr>
          <w:b/>
          <w:i/>
          <w:u w:val="single" w:color="000000"/>
        </w:rPr>
        <w:t>významných chýb</w:t>
      </w:r>
      <w:r>
        <w:rPr>
          <w:b/>
          <w:i/>
        </w:rPr>
        <w:t xml:space="preserve"> </w:t>
      </w:r>
      <w:r>
        <w:rPr>
          <w:i/>
        </w:rPr>
        <w:t xml:space="preserve">minulých účtovných období účtovaných v bežnom účtovnom období       </w:t>
      </w:r>
      <w:r>
        <w:rPr>
          <w:i/>
          <w:u w:val="single" w:color="000000"/>
        </w:rPr>
        <w:t xml:space="preserve"> 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Bez obsahovej náplne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i/>
          <w:sz w:val="10"/>
        </w:rPr>
        <w:t xml:space="preserve"> </w:t>
      </w:r>
    </w:p>
    <w:tbl>
      <w:tblPr>
        <w:tblStyle w:val="TableGrid"/>
        <w:tblW w:w="9624" w:type="dxa"/>
        <w:tblInd w:w="144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3074"/>
        <w:gridCol w:w="1039"/>
        <w:gridCol w:w="1043"/>
        <w:gridCol w:w="1929"/>
        <w:gridCol w:w="2539"/>
      </w:tblGrid>
      <w:tr w:rsidR="00C721B1">
        <w:trPr>
          <w:trHeight w:val="516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Opis účtovného prípadu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16" w:right="0" w:firstLine="0"/>
              <w:jc w:val="left"/>
            </w:pPr>
            <w:r>
              <w:rPr>
                <w:b/>
              </w:rPr>
              <w:t xml:space="preserve">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8" w:right="0" w:firstLine="0"/>
              <w:jc w:val="left"/>
            </w:pPr>
            <w:r>
              <w:rPr>
                <w:b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7" w:right="0" w:hanging="134"/>
              <w:jc w:val="left"/>
            </w:pPr>
            <w:r>
              <w:rPr>
                <w:b/>
              </w:rPr>
              <w:t xml:space="preserve"> Vplyv na výsledok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3" w:right="0" w:firstLine="0"/>
              <w:jc w:val="left"/>
            </w:pPr>
            <w:r>
              <w:rPr>
                <w:b/>
              </w:rPr>
              <w:t xml:space="preserve">Vplyv na vlastné imanie </w:t>
            </w:r>
          </w:p>
        </w:tc>
      </w:tr>
      <w:tr w:rsidR="00C721B1">
        <w:trPr>
          <w:trHeight w:val="379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458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i/>
          <w:sz w:val="24"/>
        </w:rPr>
        <w:t xml:space="preserve"> </w:t>
      </w:r>
    </w:p>
    <w:p w:rsidR="00C721B1" w:rsidRDefault="00AA6A59">
      <w:pPr>
        <w:spacing w:after="9" w:line="259" w:lineRule="auto"/>
        <w:ind w:left="0" w:right="0" w:firstLine="0"/>
        <w:jc w:val="left"/>
      </w:pPr>
      <w:r>
        <w:rPr>
          <w:b/>
          <w:i/>
          <w:sz w:val="19"/>
        </w:rPr>
        <w:t xml:space="preserve"> </w:t>
      </w:r>
    </w:p>
    <w:p w:rsidR="00C721B1" w:rsidRDefault="00AA6A59">
      <w:pPr>
        <w:spacing w:after="145" w:line="249" w:lineRule="auto"/>
        <w:ind w:left="252" w:right="0"/>
        <w:jc w:val="left"/>
      </w:pPr>
      <w:r>
        <w:rPr>
          <w:u w:val="single" w:color="000000"/>
        </w:rPr>
        <w:t>Vysvetlivky k oprave chýb minulých účtovných období ( v prípade, že účtovná jednotka účtuje o oprave chýb minulých</w:t>
      </w:r>
      <w:r>
        <w:t xml:space="preserve"> </w:t>
      </w: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účtovných období):</w:t>
      </w:r>
      <w:r>
        <w:t xml:space="preserve"> </w:t>
      </w:r>
    </w:p>
    <w:p w:rsidR="00C721B1" w:rsidRDefault="00AA6A59">
      <w:pPr>
        <w:numPr>
          <w:ilvl w:val="0"/>
          <w:numId w:val="6"/>
        </w:numPr>
        <w:spacing w:after="135"/>
        <w:ind w:left="497" w:right="400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6"/>
        </w:numPr>
        <w:spacing w:after="130"/>
        <w:ind w:left="497" w:right="400" w:hanging="226"/>
      </w:pPr>
      <w:r>
        <w:t xml:space="preserve">Opravy nevýznamných nákladov a nevýznamných výnosov minulých účtovných období sa účtujú ako výsledkové účtovné prípady bežného účtovného obdobia (§ 5/1 PU). </w:t>
      </w:r>
    </w:p>
    <w:p w:rsidR="00C721B1" w:rsidRDefault="00AA6A59">
      <w:pPr>
        <w:numPr>
          <w:ilvl w:val="0"/>
          <w:numId w:val="6"/>
        </w:numPr>
        <w:spacing w:after="128"/>
        <w:ind w:left="497" w:right="400" w:hanging="226"/>
      </w:pPr>
      <w:r>
        <w:t xml:space="preserve">Významné opravy chýb minulých účtovných období sa účtujú (§ 59/13 PU) - voči minulým výsledkom hospodárenia (voči vlastnému imaniu na účet 428 alebo 429). </w:t>
      </w:r>
    </w:p>
    <w:p w:rsidR="00C721B1" w:rsidRDefault="00AA6A59">
      <w:pPr>
        <w:numPr>
          <w:ilvl w:val="0"/>
          <w:numId w:val="6"/>
        </w:numPr>
        <w:spacing w:after="126"/>
        <w:ind w:left="497" w:right="400" w:hanging="226"/>
      </w:pPr>
      <w:r>
        <w:t xml:space="preserve">Hranicu významnosti si UJ stanoví individuálne v internej účtovnej smernici (napr. 1 tisícina z brutto aktív). </w:t>
      </w:r>
    </w:p>
    <w:p w:rsidR="00C721B1" w:rsidRDefault="00AA6A59">
      <w:pPr>
        <w:numPr>
          <w:ilvl w:val="0"/>
          <w:numId w:val="6"/>
        </w:numPr>
        <w:ind w:left="497" w:right="400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C721B1" w:rsidRDefault="00AA6A59">
      <w:pPr>
        <w:numPr>
          <w:ilvl w:val="0"/>
          <w:numId w:val="6"/>
        </w:numPr>
        <w:spacing w:after="65"/>
        <w:ind w:left="497" w:right="400" w:hanging="226"/>
      </w:pPr>
      <w:r>
        <w:t xml:space="preserve">Opravy chýb minulých účtovných období sa daňovo vysporiadajú podľa pravidiel v zákone o dani z príjmov (§ 17/15,29 ZDP) a pravidiel v daňovom poriadku (§ 16).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:rsidR="00C721B1" w:rsidRDefault="00AA6A59">
      <w:pPr>
        <w:pStyle w:val="Nadpis1"/>
        <w:ind w:left="970"/>
      </w:pPr>
      <w:r>
        <w:rPr>
          <w:rFonts w:ascii="Times New Roman" w:eastAsia="Times New Roman" w:hAnsi="Times New Roman" w:cs="Times New Roman"/>
          <w:b w:val="0"/>
        </w:rPr>
        <w:t xml:space="preserve"> </w:t>
      </w:r>
      <w:r>
        <w:t>Článok IV – INFORMÁCIE, KTORÉ VYSVETĽUJÚ A DOPĹŇAJÚ SÚVAHU A VÝKAZ ZISKOV A STRÁT</w:t>
      </w:r>
      <w:r>
        <w:rPr>
          <w:u w:val="none"/>
        </w:rPr>
        <w:t xml:space="preserve"> </w:t>
      </w:r>
    </w:p>
    <w:p w:rsidR="00C721B1" w:rsidRDefault="00AA6A59">
      <w:pPr>
        <w:spacing w:after="213" w:line="259" w:lineRule="auto"/>
        <w:ind w:left="0" w:right="0" w:firstLine="0"/>
        <w:jc w:val="left"/>
      </w:pPr>
      <w:r>
        <w:rPr>
          <w:b/>
          <w:sz w:val="13"/>
        </w:rPr>
        <w:t xml:space="preserve"> </w:t>
      </w:r>
    </w:p>
    <w:p w:rsidR="00C721B1" w:rsidRDefault="00AA6A59">
      <w:pPr>
        <w:spacing w:after="4" w:line="265" w:lineRule="auto"/>
        <w:ind w:left="252" w:right="33"/>
        <w:jc w:val="left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t xml:space="preserve"> </w:t>
      </w:r>
      <w:r>
        <w:rPr>
          <w:b/>
        </w:rPr>
        <w:t xml:space="preserve">- </w:t>
      </w:r>
      <w:r>
        <w:t xml:space="preserve">dôvod jeho vzniku, spôsob výpočtu a prehodnotenie opodstatnenosti jeho výšky a odpisu jeho hodnoty: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spacing w:after="144" w:line="259" w:lineRule="auto"/>
        <w:ind w:left="252" w:right="0"/>
        <w:jc w:val="left"/>
      </w:pPr>
      <w:r>
        <w:rPr>
          <w:b/>
        </w:rPr>
        <w:t xml:space="preserve">Účtovná jednotka neúčtuje o </w:t>
      </w:r>
      <w:proofErr w:type="spellStart"/>
      <w:r>
        <w:rPr>
          <w:b/>
        </w:rPr>
        <w:t>goodwille</w:t>
      </w:r>
      <w:proofErr w:type="spellEnd"/>
      <w:r>
        <w:rPr>
          <w:b/>
        </w:rPr>
        <w:t xml:space="preserve">. </w:t>
      </w:r>
    </w:p>
    <w:p w:rsidR="00C721B1" w:rsidRDefault="00AA6A59">
      <w:pPr>
        <w:spacing w:after="147" w:line="249" w:lineRule="auto"/>
        <w:ind w:left="252" w:right="0"/>
        <w:jc w:val="left"/>
      </w:pPr>
      <w:r>
        <w:t>2) Informácie o významných</w:t>
      </w:r>
      <w:r>
        <w:rPr>
          <w:u w:val="single" w:color="000000"/>
        </w:rPr>
        <w:t xml:space="preserve"> položkách derivátov, majetku a záväzkoch zabezpečených derivátmi (§ 16 PU):</w:t>
      </w:r>
      <w:r>
        <w:t xml:space="preserve"> </w:t>
      </w:r>
    </w:p>
    <w:p w:rsidR="00C721B1" w:rsidRDefault="00AA6A59">
      <w:pPr>
        <w:spacing w:after="100" w:line="259" w:lineRule="auto"/>
        <w:ind w:left="252" w:right="0"/>
        <w:jc w:val="left"/>
      </w:pPr>
      <w:r>
        <w:rPr>
          <w:b/>
        </w:rPr>
        <w:t xml:space="preserve">Účtovná jednotka nemá záväzky zabezpečené derivátmi. </w:t>
      </w:r>
    </w:p>
    <w:p w:rsidR="00C721B1" w:rsidRDefault="00AA6A59">
      <w:pPr>
        <w:spacing w:after="99" w:line="265" w:lineRule="auto"/>
        <w:ind w:left="252" w:right="482"/>
        <w:jc w:val="left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</w:t>
      </w:r>
    </w:p>
    <w:p w:rsidR="00C721B1" w:rsidRDefault="00AA6A59">
      <w:pPr>
        <w:spacing w:after="4" w:line="265" w:lineRule="auto"/>
        <w:ind w:left="252" w:right="482"/>
        <w:jc w:val="left"/>
      </w:pPr>
      <w:r>
        <w:lastRenderedPageBreak/>
        <w:t xml:space="preserve">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626" w:type="dxa"/>
        <w:tblInd w:w="144" w:type="dxa"/>
        <w:tblCellMar>
          <w:top w:w="7" w:type="dxa"/>
          <w:left w:w="5" w:type="dxa"/>
          <w:right w:w="54" w:type="dxa"/>
        </w:tblCellMar>
        <w:tblLook w:val="04A0" w:firstRow="1" w:lastRow="0" w:firstColumn="1" w:lastColumn="0" w:noHBand="0" w:noVBand="1"/>
      </w:tblPr>
      <w:tblGrid>
        <w:gridCol w:w="3655"/>
        <w:gridCol w:w="1136"/>
        <w:gridCol w:w="1135"/>
        <w:gridCol w:w="1844"/>
        <w:gridCol w:w="1856"/>
      </w:tblGrid>
      <w:tr w:rsidR="00C721B1">
        <w:trPr>
          <w:trHeight w:val="516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410" w:right="0" w:firstLine="0"/>
              <w:jc w:val="left"/>
            </w:pPr>
            <w:r>
              <w:rPr>
                <w:b/>
              </w:rPr>
              <w:t xml:space="preserve">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11" w:right="0" w:firstLine="0"/>
              <w:jc w:val="left"/>
            </w:pPr>
            <w:r>
              <w:rPr>
                <w:b/>
              </w:rPr>
              <w:t xml:space="preserve">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61" w:right="0" w:firstLine="0"/>
              <w:jc w:val="left"/>
            </w:pPr>
            <w:r>
              <w:rPr>
                <w:b/>
              </w:rPr>
              <w:t xml:space="preserve">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09" w:right="0" w:firstLine="0"/>
              <w:jc w:val="left"/>
            </w:pPr>
            <w:r>
              <w:rPr>
                <w:b/>
              </w:rPr>
              <w:t xml:space="preserve">Vplyv na imanie </w:t>
            </w:r>
          </w:p>
        </w:tc>
      </w:tr>
      <w:tr w:rsidR="00C721B1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721B1" w:rsidRDefault="00AA6A59">
      <w:pPr>
        <w:ind w:left="281" w:right="400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:rsidR="00C721B1" w:rsidRDefault="00AA6A59">
      <w:pPr>
        <w:spacing w:after="9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C721B1" w:rsidRDefault="00AA6A59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10" w:line="249" w:lineRule="auto"/>
        <w:ind w:left="252" w:right="0"/>
        <w:jc w:val="left"/>
      </w:pPr>
      <w:r>
        <w:t>3a) Celková suma</w:t>
      </w:r>
      <w:r>
        <w:rPr>
          <w:u w:val="single" w:color="000000"/>
        </w:rPr>
        <w:t xml:space="preserve"> záväzkov so zostatkovou dobou splatnosti dlhšou ako 5 rokov</w:t>
      </w:r>
      <w:r>
        <w:t xml:space="preserve">: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736" w:type="dxa"/>
        <w:tblInd w:w="262" w:type="dxa"/>
        <w:tblCellMar>
          <w:top w:w="7" w:type="dxa"/>
          <w:left w:w="5" w:type="dxa"/>
          <w:right w:w="1" w:type="dxa"/>
        </w:tblCellMar>
        <w:tblLook w:val="04A0" w:firstRow="1" w:lastRow="0" w:firstColumn="1" w:lastColumn="0" w:noHBand="0" w:noVBand="1"/>
      </w:tblPr>
      <w:tblGrid>
        <w:gridCol w:w="4787"/>
        <w:gridCol w:w="2553"/>
        <w:gridCol w:w="2396"/>
      </w:tblGrid>
      <w:tr w:rsidR="00C721B1">
        <w:trPr>
          <w:trHeight w:val="768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1659" w:right="159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28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66" w:firstLine="0"/>
              <w:jc w:val="righ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6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C721B1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:rsidR="00C721B1" w:rsidRDefault="00AA6A59">
      <w:pPr>
        <w:spacing w:after="64"/>
        <w:ind w:left="281" w:right="40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:rsidR="00C721B1" w:rsidRDefault="00AA6A59">
      <w:pPr>
        <w:spacing w:after="4" w:line="265" w:lineRule="auto"/>
        <w:ind w:left="252" w:right="2873"/>
        <w:jc w:val="left"/>
      </w:pPr>
      <w:r>
        <w:t>3b) Celková suma</w:t>
      </w:r>
      <w:r>
        <w:rPr>
          <w:u w:val="single" w:color="000000"/>
        </w:rPr>
        <w:t xml:space="preserve"> zabezpečených záväzkov</w:t>
      </w:r>
      <w:r>
        <w:t xml:space="preserve"> – opis a spôsob zabezpečenia záväzkov: Účtovná jednotka </w:t>
      </w:r>
      <w:r>
        <w:rPr>
          <w:b/>
        </w:rPr>
        <w:t>nemá zabezpečené záväzky</w:t>
      </w:r>
      <w:r>
        <w:t xml:space="preserve">. </w:t>
      </w:r>
    </w:p>
    <w:tbl>
      <w:tblPr>
        <w:tblStyle w:val="TableGrid"/>
        <w:tblW w:w="9660" w:type="dxa"/>
        <w:tblInd w:w="262" w:type="dxa"/>
        <w:tblCellMar>
          <w:top w:w="7" w:type="dxa"/>
          <w:left w:w="5" w:type="dxa"/>
          <w:right w:w="1" w:type="dxa"/>
        </w:tblCellMar>
        <w:tblLook w:val="04A0" w:firstRow="1" w:lastRow="0" w:firstColumn="1" w:lastColumn="0" w:noHBand="0" w:noVBand="1"/>
      </w:tblPr>
      <w:tblGrid>
        <w:gridCol w:w="4398"/>
        <w:gridCol w:w="2830"/>
        <w:gridCol w:w="2432"/>
      </w:tblGrid>
      <w:tr w:rsidR="00C721B1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3" w:line="259" w:lineRule="auto"/>
              <w:ind w:left="0" w:right="0" w:firstLine="0"/>
              <w:jc w:val="left"/>
            </w:pPr>
            <w:r>
              <w:t xml:space="preserve"> </w:t>
            </w:r>
          </w:p>
          <w:p w:rsidR="00C721B1" w:rsidRDefault="00AA6A59">
            <w:pPr>
              <w:spacing w:after="0" w:line="259" w:lineRule="auto"/>
              <w:ind w:left="18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9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C721B1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C721B1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373" w:right="309" w:firstLine="0"/>
              <w:jc w:val="center"/>
            </w:pPr>
            <w:r>
              <w:rPr>
                <w:b/>
              </w:rPr>
              <w:t xml:space="preserve">Spôsob zabezpečenia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721B1" w:rsidRDefault="00AA6A59">
            <w:pPr>
              <w:spacing w:after="0" w:line="259" w:lineRule="auto"/>
              <w:ind w:left="0" w:right="76" w:firstLine="0"/>
              <w:jc w:val="right"/>
            </w:pPr>
            <w:r>
              <w:rPr>
                <w:b/>
              </w:rPr>
              <w:t xml:space="preserve">Hodnota záväzkov </w:t>
            </w:r>
          </w:p>
        </w:tc>
      </w:tr>
      <w:tr w:rsidR="00C721B1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2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386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2" w:right="0" w:firstLine="0"/>
              <w:jc w:val="left"/>
            </w:pPr>
            <w: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>
        <w:trPr>
          <w:trHeight w:val="391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72" w:right="0" w:firstLine="0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3" w:right="0" w:firstLine="0"/>
              <w:jc w:val="center"/>
            </w:pPr>
            <w:r>
              <w:t xml:space="preserve">x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C721B1" w:rsidRDefault="00AA6A59">
      <w:pPr>
        <w:spacing w:after="24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numPr>
          <w:ilvl w:val="0"/>
          <w:numId w:val="7"/>
        </w:numPr>
        <w:spacing w:after="146" w:line="249" w:lineRule="auto"/>
        <w:ind w:right="266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</w:p>
    <w:p w:rsidR="00C721B1" w:rsidRDefault="00AA6A59">
      <w:pPr>
        <w:spacing w:after="3" w:line="259" w:lineRule="auto"/>
        <w:ind w:left="252" w:right="0"/>
        <w:jc w:val="left"/>
      </w:pPr>
      <w:r>
        <w:t xml:space="preserve">Účtovná jednotka </w:t>
      </w:r>
      <w:r>
        <w:rPr>
          <w:b/>
        </w:rPr>
        <w:t xml:space="preserve">nenadobudla vlastné akcie počas účtovného obdobia. </w:t>
      </w:r>
    </w:p>
    <w:p w:rsidR="00C721B1" w:rsidRDefault="00AA6A59">
      <w:pPr>
        <w:spacing w:after="211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C721B1" w:rsidRDefault="00AA6A59">
      <w:pPr>
        <w:numPr>
          <w:ilvl w:val="0"/>
          <w:numId w:val="7"/>
        </w:numPr>
        <w:ind w:right="266" w:hanging="211"/>
        <w:jc w:val="left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>, ktoré majú</w:t>
      </w:r>
      <w:r>
        <w:rPr>
          <w:u w:val="single" w:color="000000"/>
        </w:rPr>
        <w:t xml:space="preserve"> výnimočný rozsah alebo výskyt</w:t>
      </w:r>
      <w:r>
        <w:t xml:space="preserve"> (napr. výnosy z predaja podniku alebo jeho časti, náklady z dôvodu predaja podniku alebo jeho časti, škody z dôvodu živelných pohrôm): </w:t>
      </w:r>
    </w:p>
    <w:p w:rsidR="00C721B1" w:rsidRDefault="00AA6A59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139" w:line="259" w:lineRule="auto"/>
        <w:ind w:left="252" w:right="0"/>
        <w:jc w:val="left"/>
      </w:pPr>
      <w:r>
        <w:rPr>
          <w:b/>
        </w:rPr>
        <w:t xml:space="preserve">Účtovná jednotka neúčtovala o nákladoch alebo výnosoch, ktoré majú výnimočný rozsah alebo výskyt. </w:t>
      </w:r>
    </w:p>
    <w:p w:rsidR="00C721B1" w:rsidRDefault="00AA6A59">
      <w:pPr>
        <w:spacing w:after="135" w:line="259" w:lineRule="auto"/>
        <w:ind w:left="2413" w:right="0"/>
        <w:jc w:val="left"/>
      </w:pPr>
      <w:r>
        <w:rPr>
          <w:b/>
        </w:rPr>
        <w:t xml:space="preserve">Článok V – INFORMÁCIE O INÝCH AKTÍVACH A INÝCH PASÍVACH </w:t>
      </w:r>
    </w:p>
    <w:p w:rsidR="00C721B1" w:rsidRDefault="00AA6A59">
      <w:pPr>
        <w:ind w:left="281" w:right="531"/>
      </w:pPr>
      <w:r>
        <w:t xml:space="preserve">1a) </w:t>
      </w:r>
      <w:r>
        <w:rPr>
          <w:b/>
          <w:u w:val="single" w:color="000000"/>
        </w:rPr>
        <w:t>Podmienený majetok</w:t>
      </w:r>
      <w:r>
        <w:rPr>
          <w:b/>
        </w:rPr>
        <w:t xml:space="preserve"> </w:t>
      </w:r>
      <w:r>
        <w:t xml:space="preserve">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C721B1" w:rsidRDefault="00AA6A59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podmienený majetok. </w:t>
      </w:r>
    </w:p>
    <w:p w:rsidR="00C721B1" w:rsidRDefault="00AA6A59">
      <w:pPr>
        <w:spacing w:after="15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C721B1" w:rsidRDefault="00AA6A59">
      <w:pPr>
        <w:spacing w:after="78"/>
        <w:ind w:left="281" w:right="537"/>
      </w:pPr>
      <w:r>
        <w:t xml:space="preserve">1b) </w:t>
      </w:r>
      <w:r>
        <w:rPr>
          <w:b/>
          <w:u w:val="single" w:color="000000"/>
        </w:rPr>
        <w:t>Podmienené záväzky</w:t>
      </w:r>
      <w:r>
        <w:rPr>
          <w:b/>
        </w:rPr>
        <w:t xml:space="preserve"> </w:t>
      </w:r>
      <w:r>
        <w:t xml:space="preserve">– opis  a hodnota podmienených záväzkov  vyplývajúcich napr. zo súdnych rozhodnutí,      z poskytnutých záruk, zo všeobecne záväzných právnych predpisov, z ručenia podľa jednotlivých druhov ručenia; takými podmienenými záväzkami sú: </w:t>
      </w:r>
    </w:p>
    <w:p w:rsidR="00C721B1" w:rsidRDefault="00AA6A59">
      <w:pPr>
        <w:numPr>
          <w:ilvl w:val="0"/>
          <w:numId w:val="8"/>
        </w:numPr>
        <w:spacing w:after="126"/>
        <w:ind w:right="470" w:hanging="360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C721B1" w:rsidRDefault="00AA6A59">
      <w:pPr>
        <w:numPr>
          <w:ilvl w:val="0"/>
          <w:numId w:val="8"/>
        </w:numPr>
        <w:ind w:right="470" w:hanging="360"/>
      </w:pPr>
      <w:r>
        <w:t xml:space="preserve">povinnosť, ktorá vznikla ako dôsledok minulej udalosti, ale  ktorá  sa  nevykazuje  v súvahe, pretože nie  je pravdepodobné, že na splnenie tejto povinnosti bude potrebný úbytok ekonomických úžitkov, alebo výška tejto povinnosti sa nedá spoľahlivo oceniť: </w:t>
      </w:r>
    </w:p>
    <w:p w:rsidR="00C721B1" w:rsidRDefault="00AA6A59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v bežnom období podmienené záväzky. </w:t>
      </w:r>
    </w:p>
    <w:p w:rsidR="00C721B1" w:rsidRDefault="00AA6A59">
      <w:pPr>
        <w:spacing w:after="13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:rsidR="00C721B1" w:rsidRDefault="00AA6A59">
      <w:pPr>
        <w:numPr>
          <w:ilvl w:val="0"/>
          <w:numId w:val="9"/>
        </w:numPr>
        <w:ind w:right="104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C721B1" w:rsidRDefault="00AA6A59">
      <w:pPr>
        <w:spacing w:after="24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v bežnom období ostatné finančné povinnosti. </w:t>
      </w:r>
    </w:p>
    <w:p w:rsidR="00C721B1" w:rsidRDefault="00AA6A59">
      <w:pPr>
        <w:spacing w:after="1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721B1" w:rsidRDefault="00AA6A59">
      <w:pPr>
        <w:numPr>
          <w:ilvl w:val="0"/>
          <w:numId w:val="9"/>
        </w:numPr>
        <w:spacing w:after="130"/>
        <w:ind w:right="1040"/>
      </w:pPr>
      <w:r>
        <w:rPr>
          <w:b/>
          <w:u w:val="single" w:color="000000"/>
        </w:rPr>
        <w:t>Podsúvahové účty</w:t>
      </w:r>
      <w:r>
        <w:rPr>
          <w:b/>
        </w:rPr>
        <w:t xml:space="preserve"> </w:t>
      </w:r>
      <w:r>
        <w:t xml:space="preserve">– uvádzajú sa informácie o významných položkách sledovaných na podsúvahových účtoch (§ 85 PU):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neúčtovala v bežnom období na podsúvahových účtoch.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10"/>
        </w:rPr>
        <w:t xml:space="preserve"> </w:t>
      </w:r>
    </w:p>
    <w:tbl>
      <w:tblPr>
        <w:tblStyle w:val="TableGrid"/>
        <w:tblW w:w="9628" w:type="dxa"/>
        <w:tblInd w:w="262" w:type="dxa"/>
        <w:tblCellMar>
          <w:top w:w="8" w:type="dxa"/>
          <w:left w:w="5" w:type="dxa"/>
          <w:right w:w="83" w:type="dxa"/>
        </w:tblCellMar>
        <w:tblLook w:val="04A0" w:firstRow="1" w:lastRow="0" w:firstColumn="1" w:lastColumn="0" w:noHBand="0" w:noVBand="1"/>
      </w:tblPr>
      <w:tblGrid>
        <w:gridCol w:w="6313"/>
        <w:gridCol w:w="1702"/>
        <w:gridCol w:w="1613"/>
      </w:tblGrid>
      <w:tr w:rsidR="00C721B1">
        <w:trPr>
          <w:trHeight w:val="1277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32"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325" w:right="0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15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38" w:lineRule="auto"/>
              <w:ind w:left="37" w:right="0" w:firstLine="0"/>
              <w:jc w:val="center"/>
            </w:pPr>
            <w:proofErr w:type="spellStart"/>
            <w:r>
              <w:rPr>
                <w:b/>
              </w:rPr>
              <w:t>Bezprostred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</w:t>
            </w:r>
            <w:proofErr w:type="spellEnd"/>
            <w:r>
              <w:rPr>
                <w:b/>
              </w:rPr>
              <w:t xml:space="preserve"> </w:t>
            </w:r>
          </w:p>
          <w:p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 </w:t>
            </w:r>
            <w:proofErr w:type="spellStart"/>
            <w:r>
              <w:rPr>
                <w:b/>
              </w:rPr>
              <w:t>úce</w:t>
            </w:r>
            <w:proofErr w:type="spellEnd"/>
            <w:r>
              <w:rPr>
                <w:b/>
              </w:rPr>
              <w:t xml:space="preserve"> účtovné obdobie </w:t>
            </w:r>
          </w:p>
        </w:tc>
      </w:tr>
      <w:tr w:rsidR="00C721B1">
        <w:trPr>
          <w:trHeight w:val="27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C721B1" w:rsidRDefault="00AA6A59">
      <w:pPr>
        <w:spacing w:after="51" w:line="259" w:lineRule="auto"/>
        <w:ind w:left="0" w:right="0" w:firstLine="0"/>
        <w:jc w:val="left"/>
      </w:pPr>
      <w:r>
        <w:rPr>
          <w:b/>
          <w:sz w:val="19"/>
        </w:rPr>
        <w:t xml:space="preserve"> </w:t>
      </w:r>
    </w:p>
    <w:p w:rsidR="00C721B1" w:rsidRDefault="00AA6A59">
      <w:pPr>
        <w:spacing w:after="16" w:line="259" w:lineRule="auto"/>
        <w:ind w:left="197" w:right="11"/>
        <w:jc w:val="center"/>
      </w:pPr>
      <w:r>
        <w:rPr>
          <w:b/>
        </w:rPr>
        <w:t xml:space="preserve">Článok VI – UDALOSTI, KTORÉ NASTALI PO </w:t>
      </w:r>
    </w:p>
    <w:p w:rsidR="00C721B1" w:rsidRDefault="00AA6A59">
      <w:pPr>
        <w:spacing w:after="16" w:line="259" w:lineRule="auto"/>
        <w:ind w:left="197" w:right="5"/>
        <w:jc w:val="center"/>
      </w:pPr>
      <w:r>
        <w:rPr>
          <w:b/>
        </w:rPr>
        <w:t xml:space="preserve">ZÁVIERKOVOM DNI </w:t>
      </w:r>
    </w:p>
    <w:p w:rsidR="00C721B1" w:rsidRDefault="00AA6A59">
      <w:pPr>
        <w:spacing w:after="16" w:line="259" w:lineRule="auto"/>
        <w:ind w:left="197" w:right="0"/>
        <w:jc w:val="center"/>
      </w:pPr>
      <w:r>
        <w:rPr>
          <w:b/>
        </w:rPr>
        <w:t xml:space="preserve">(Následné udalosti) </w:t>
      </w:r>
    </w:p>
    <w:p w:rsidR="00C721B1" w:rsidRDefault="00AA6A59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Po dni, ku ktorému sa zostavuje účtovná závierka nenastali žiadne skutočnosti týkajúce sa účtovného obdobia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2019, za ktoré sa zostavuje táto účtovná závierka.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C721B1" w:rsidRDefault="00AA6A59">
      <w:pPr>
        <w:spacing w:after="179" w:line="259" w:lineRule="auto"/>
        <w:ind w:left="0" w:right="0" w:firstLine="0"/>
        <w:jc w:val="left"/>
      </w:pPr>
      <w:r>
        <w:rPr>
          <w:b/>
          <w:sz w:val="16"/>
        </w:rPr>
        <w:t xml:space="preserve"> </w:t>
      </w:r>
    </w:p>
    <w:p w:rsidR="00C721B1" w:rsidRDefault="00AA6A59">
      <w:pPr>
        <w:spacing w:after="16" w:line="259" w:lineRule="auto"/>
        <w:ind w:left="197" w:right="8"/>
        <w:jc w:val="center"/>
      </w:pPr>
      <w:r>
        <w:rPr>
          <w:b/>
        </w:rPr>
        <w:t xml:space="preserve">Článok VII – OSTATNÉ INFORMÁCIE </w:t>
      </w:r>
    </w:p>
    <w:p w:rsidR="00C721B1" w:rsidRDefault="00AA6A59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Bez obsahovej náplne. </w:t>
      </w:r>
    </w:p>
    <w:p w:rsidR="00C721B1" w:rsidRDefault="00AA6A59">
      <w:pPr>
        <w:numPr>
          <w:ilvl w:val="0"/>
          <w:numId w:val="10"/>
        </w:numPr>
        <w:spacing w:after="125"/>
        <w:ind w:right="400" w:hanging="211"/>
      </w:pPr>
      <w:r>
        <w:lastRenderedPageBreak/>
        <w:t xml:space="preserve">Informácie o výlučnom práve poskytovať služby vo verejnom záujme: </w:t>
      </w:r>
    </w:p>
    <w:p w:rsidR="00C721B1" w:rsidRDefault="00AA6A59">
      <w:pPr>
        <w:numPr>
          <w:ilvl w:val="0"/>
          <w:numId w:val="10"/>
        </w:numPr>
        <w:spacing w:after="125"/>
        <w:ind w:right="400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:rsidR="00C721B1" w:rsidRDefault="00AA6A59">
      <w:pPr>
        <w:numPr>
          <w:ilvl w:val="0"/>
          <w:numId w:val="10"/>
        </w:numPr>
        <w:ind w:right="400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C721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11" w:h="16841"/>
      <w:pgMar w:top="1322" w:right="454" w:bottom="1105" w:left="1160" w:header="475" w:footer="8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397" w:rsidRDefault="00BC6397">
      <w:pPr>
        <w:spacing w:after="0" w:line="240" w:lineRule="auto"/>
      </w:pPr>
      <w:r>
        <w:separator/>
      </w:r>
    </w:p>
  </w:endnote>
  <w:endnote w:type="continuationSeparator" w:id="0">
    <w:p w:rsidR="00BC6397" w:rsidRDefault="00BC63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FD662F" w:rsidRPr="00FD662F">
      <w:rPr>
        <w:rFonts w:ascii="Times New Roman" w:eastAsia="Times New Roman" w:hAnsi="Times New Roman" w:cs="Times New Roman"/>
        <w:noProof/>
        <w:sz w:val="24"/>
      </w:rPr>
      <w:t>8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397" w:rsidRDefault="00BC6397">
      <w:pPr>
        <w:spacing w:after="0" w:line="240" w:lineRule="auto"/>
      </w:pPr>
      <w:r>
        <w:separator/>
      </w:r>
    </w:p>
  </w:footnote>
  <w:footnote w:type="continuationSeparator" w:id="0">
    <w:p w:rsidR="00BC6397" w:rsidRDefault="00BC63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</w:t>
    </w:r>
    <w:proofErr w:type="spellStart"/>
    <w:r>
      <w:t>Úč</w:t>
    </w:r>
    <w:proofErr w:type="spellEnd"/>
    <w:r>
      <w:t xml:space="preserve">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</w:t>
    </w:r>
    <w:proofErr w:type="spellStart"/>
    <w:r>
      <w:t>Úč</w:t>
    </w:r>
    <w:proofErr w:type="spellEnd"/>
    <w:r>
      <w:t xml:space="preserve">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</w:t>
    </w:r>
    <w:proofErr w:type="spellStart"/>
    <w:r>
      <w:t>Úč</w:t>
    </w:r>
    <w:proofErr w:type="spellEnd"/>
    <w:r>
      <w:t xml:space="preserve">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6B9E"/>
    <w:multiLevelType w:val="hybridMultilevel"/>
    <w:tmpl w:val="DB246C94"/>
    <w:lvl w:ilvl="0" w:tplc="C22EE9BC">
      <w:start w:val="4"/>
      <w:numFmt w:val="decimal"/>
      <w:lvlText w:val="%1)"/>
      <w:lvlJc w:val="left"/>
      <w:pPr>
        <w:ind w:left="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ADE5A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A733C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050D2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221100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02E33E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A06CDA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A6B574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74D592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496FE5"/>
    <w:multiLevelType w:val="hybridMultilevel"/>
    <w:tmpl w:val="00260BC2"/>
    <w:lvl w:ilvl="0" w:tplc="7E3AD6AA">
      <w:start w:val="1"/>
      <w:numFmt w:val="decimal"/>
      <w:lvlText w:val="%1)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AEAB5A">
      <w:start w:val="1"/>
      <w:numFmt w:val="bullet"/>
      <w:lvlText w:val=""/>
      <w:lvlJc w:val="left"/>
      <w:pPr>
        <w:ind w:left="82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FE1BAA">
      <w:start w:val="1"/>
      <w:numFmt w:val="bullet"/>
      <w:lvlText w:val="▪"/>
      <w:lvlJc w:val="left"/>
      <w:pPr>
        <w:ind w:left="16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0C2836">
      <w:start w:val="1"/>
      <w:numFmt w:val="bullet"/>
      <w:lvlText w:val="•"/>
      <w:lvlJc w:val="left"/>
      <w:pPr>
        <w:ind w:left="24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04B37C">
      <w:start w:val="1"/>
      <w:numFmt w:val="bullet"/>
      <w:lvlText w:val="o"/>
      <w:lvlJc w:val="left"/>
      <w:pPr>
        <w:ind w:left="31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74017A">
      <w:start w:val="1"/>
      <w:numFmt w:val="bullet"/>
      <w:lvlText w:val="▪"/>
      <w:lvlJc w:val="left"/>
      <w:pPr>
        <w:ind w:left="38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A6577E">
      <w:start w:val="1"/>
      <w:numFmt w:val="bullet"/>
      <w:lvlText w:val="•"/>
      <w:lvlJc w:val="left"/>
      <w:pPr>
        <w:ind w:left="45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8CBC86">
      <w:start w:val="1"/>
      <w:numFmt w:val="bullet"/>
      <w:lvlText w:val="o"/>
      <w:lvlJc w:val="left"/>
      <w:pPr>
        <w:ind w:left="52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12009C">
      <w:start w:val="1"/>
      <w:numFmt w:val="bullet"/>
      <w:lvlText w:val="▪"/>
      <w:lvlJc w:val="left"/>
      <w:pPr>
        <w:ind w:left="60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5608B7"/>
    <w:multiLevelType w:val="hybridMultilevel"/>
    <w:tmpl w:val="EAC4205C"/>
    <w:lvl w:ilvl="0" w:tplc="EB5E1660">
      <w:start w:val="1"/>
      <w:numFmt w:val="decimal"/>
      <w:lvlText w:val="%1)"/>
      <w:lvlJc w:val="left"/>
      <w:pPr>
        <w:ind w:left="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C690C4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0274C4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5CC212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F6C0EC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12CE18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64D1C0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C6C6C6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324BAA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760A3D"/>
    <w:multiLevelType w:val="hybridMultilevel"/>
    <w:tmpl w:val="FC722746"/>
    <w:lvl w:ilvl="0" w:tplc="1FD82AA6">
      <w:start w:val="1"/>
      <w:numFmt w:val="bullet"/>
      <w:lvlText w:val=""/>
      <w:lvlJc w:val="left"/>
      <w:pPr>
        <w:ind w:left="4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38A34E">
      <w:start w:val="1"/>
      <w:numFmt w:val="bullet"/>
      <w:lvlText w:val="o"/>
      <w:lvlJc w:val="left"/>
      <w:pPr>
        <w:ind w:left="13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286BD8">
      <w:start w:val="1"/>
      <w:numFmt w:val="bullet"/>
      <w:lvlText w:val="▪"/>
      <w:lvlJc w:val="left"/>
      <w:pPr>
        <w:ind w:left="20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82E1E6">
      <w:start w:val="1"/>
      <w:numFmt w:val="bullet"/>
      <w:lvlText w:val="•"/>
      <w:lvlJc w:val="left"/>
      <w:pPr>
        <w:ind w:left="27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CE17E2">
      <w:start w:val="1"/>
      <w:numFmt w:val="bullet"/>
      <w:lvlText w:val="o"/>
      <w:lvlJc w:val="left"/>
      <w:pPr>
        <w:ind w:left="34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23C2056">
      <w:start w:val="1"/>
      <w:numFmt w:val="bullet"/>
      <w:lvlText w:val="▪"/>
      <w:lvlJc w:val="left"/>
      <w:pPr>
        <w:ind w:left="42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4E1C00">
      <w:start w:val="1"/>
      <w:numFmt w:val="bullet"/>
      <w:lvlText w:val="•"/>
      <w:lvlJc w:val="left"/>
      <w:pPr>
        <w:ind w:left="49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B88688">
      <w:start w:val="1"/>
      <w:numFmt w:val="bullet"/>
      <w:lvlText w:val="o"/>
      <w:lvlJc w:val="left"/>
      <w:pPr>
        <w:ind w:left="56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1CFCB0">
      <w:start w:val="1"/>
      <w:numFmt w:val="bullet"/>
      <w:lvlText w:val="▪"/>
      <w:lvlJc w:val="left"/>
      <w:pPr>
        <w:ind w:left="63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5576A1"/>
    <w:multiLevelType w:val="hybridMultilevel"/>
    <w:tmpl w:val="942CFF00"/>
    <w:lvl w:ilvl="0" w:tplc="686683A6">
      <w:start w:val="1"/>
      <w:numFmt w:val="decimal"/>
      <w:lvlText w:val="%1)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7489B50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80A94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6B6C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4AE8FE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21A9C06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6DAB876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DC6D08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B725ECC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E91308"/>
    <w:multiLevelType w:val="hybridMultilevel"/>
    <w:tmpl w:val="A3209626"/>
    <w:lvl w:ilvl="0" w:tplc="A316120C">
      <w:start w:val="2"/>
      <w:numFmt w:val="lowerLetter"/>
      <w:lvlText w:val="%1)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164F96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2AA526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46C060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427CA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9E3CF2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4D0D2E0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C474B4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904994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247471B"/>
    <w:multiLevelType w:val="hybridMultilevel"/>
    <w:tmpl w:val="23B65C2E"/>
    <w:lvl w:ilvl="0" w:tplc="BBA6414E">
      <w:start w:val="6"/>
      <w:numFmt w:val="lowerLetter"/>
      <w:lvlText w:val="%1)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BE1BF2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968B5E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5A51F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266DEA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203098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4A335E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7EE5BBC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B63112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99417AB"/>
    <w:multiLevelType w:val="hybridMultilevel"/>
    <w:tmpl w:val="79D41AC4"/>
    <w:lvl w:ilvl="0" w:tplc="490A6E90">
      <w:start w:val="1"/>
      <w:numFmt w:val="bullet"/>
      <w:lvlText w:val="-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F013F0">
      <w:start w:val="1"/>
      <w:numFmt w:val="bullet"/>
      <w:lvlText w:val="o"/>
      <w:lvlJc w:val="left"/>
      <w:pPr>
        <w:ind w:left="1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8690D0">
      <w:start w:val="1"/>
      <w:numFmt w:val="bullet"/>
      <w:lvlText w:val="▪"/>
      <w:lvlJc w:val="left"/>
      <w:pPr>
        <w:ind w:left="2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BE020C">
      <w:start w:val="1"/>
      <w:numFmt w:val="bullet"/>
      <w:lvlText w:val="•"/>
      <w:lvlJc w:val="left"/>
      <w:pPr>
        <w:ind w:left="2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248E64">
      <w:start w:val="1"/>
      <w:numFmt w:val="bullet"/>
      <w:lvlText w:val="o"/>
      <w:lvlJc w:val="left"/>
      <w:pPr>
        <w:ind w:left="3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3A56AE">
      <w:start w:val="1"/>
      <w:numFmt w:val="bullet"/>
      <w:lvlText w:val="▪"/>
      <w:lvlJc w:val="left"/>
      <w:pPr>
        <w:ind w:left="4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2072BC">
      <w:start w:val="1"/>
      <w:numFmt w:val="bullet"/>
      <w:lvlText w:val="•"/>
      <w:lvlJc w:val="left"/>
      <w:pPr>
        <w:ind w:left="4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FA808C">
      <w:start w:val="1"/>
      <w:numFmt w:val="bullet"/>
      <w:lvlText w:val="o"/>
      <w:lvlJc w:val="left"/>
      <w:pPr>
        <w:ind w:left="5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F61D14">
      <w:start w:val="1"/>
      <w:numFmt w:val="bullet"/>
      <w:lvlText w:val="▪"/>
      <w:lvlJc w:val="left"/>
      <w:pPr>
        <w:ind w:left="6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AF34400"/>
    <w:multiLevelType w:val="hybridMultilevel"/>
    <w:tmpl w:val="FDDEF768"/>
    <w:lvl w:ilvl="0" w:tplc="FD100C94">
      <w:start w:val="1"/>
      <w:numFmt w:val="bullet"/>
      <w:lvlText w:val=""/>
      <w:lvlJc w:val="left"/>
      <w:pPr>
        <w:ind w:left="4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DCFE32">
      <w:start w:val="1"/>
      <w:numFmt w:val="bullet"/>
      <w:lvlText w:val="o"/>
      <w:lvlJc w:val="left"/>
      <w:pPr>
        <w:ind w:left="13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2E1A1E">
      <w:start w:val="1"/>
      <w:numFmt w:val="bullet"/>
      <w:lvlText w:val="▪"/>
      <w:lvlJc w:val="left"/>
      <w:pPr>
        <w:ind w:left="20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9AF6F0">
      <w:start w:val="1"/>
      <w:numFmt w:val="bullet"/>
      <w:lvlText w:val="•"/>
      <w:lvlJc w:val="left"/>
      <w:pPr>
        <w:ind w:left="27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6CEF3E">
      <w:start w:val="1"/>
      <w:numFmt w:val="bullet"/>
      <w:lvlText w:val="o"/>
      <w:lvlJc w:val="left"/>
      <w:pPr>
        <w:ind w:left="34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B06D40">
      <w:start w:val="1"/>
      <w:numFmt w:val="bullet"/>
      <w:lvlText w:val="▪"/>
      <w:lvlJc w:val="left"/>
      <w:pPr>
        <w:ind w:left="42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ECC106">
      <w:start w:val="1"/>
      <w:numFmt w:val="bullet"/>
      <w:lvlText w:val="•"/>
      <w:lvlJc w:val="left"/>
      <w:pPr>
        <w:ind w:left="49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48A0BE">
      <w:start w:val="1"/>
      <w:numFmt w:val="bullet"/>
      <w:lvlText w:val="o"/>
      <w:lvlJc w:val="left"/>
      <w:pPr>
        <w:ind w:left="56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066AD6">
      <w:start w:val="1"/>
      <w:numFmt w:val="bullet"/>
      <w:lvlText w:val="▪"/>
      <w:lvlJc w:val="left"/>
      <w:pPr>
        <w:ind w:left="63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D587C91"/>
    <w:multiLevelType w:val="hybridMultilevel"/>
    <w:tmpl w:val="1EACF5D2"/>
    <w:lvl w:ilvl="0" w:tplc="1F541E86">
      <w:start w:val="2"/>
      <w:numFmt w:val="decimal"/>
      <w:lvlText w:val="%1)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08E728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A2FB08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9C22C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B45708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7074D4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26E79A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3275CA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5EC5228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6"/>
  </w:num>
  <w:num w:numId="6">
    <w:abstractNumId w:val="8"/>
  </w:num>
  <w:num w:numId="7">
    <w:abstractNumId w:val="0"/>
  </w:num>
  <w:num w:numId="8">
    <w:abstractNumId w:val="7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1B1"/>
    <w:rsid w:val="004D5DAC"/>
    <w:rsid w:val="00AA6A59"/>
    <w:rsid w:val="00BC6397"/>
    <w:rsid w:val="00C721B1"/>
    <w:rsid w:val="00DF4C38"/>
    <w:rsid w:val="00F65389"/>
    <w:rsid w:val="00FD6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85475"/>
  <w15:docId w15:val="{7E25F8CA-84B9-42B4-99A9-CD3B9FEA9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267" w:right="529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7" w:lineRule="auto"/>
      <w:ind w:left="34" w:hanging="10"/>
      <w:outlineLvl w:val="0"/>
    </w:pPr>
    <w:rPr>
      <w:rFonts w:ascii="Arial" w:eastAsia="Arial" w:hAnsi="Arial" w:cs="Arial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2308</Words>
  <Characters>13159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Romco</dc:creator>
  <cp:keywords/>
  <cp:lastModifiedBy>Romco</cp:lastModifiedBy>
  <cp:revision>4</cp:revision>
  <dcterms:created xsi:type="dcterms:W3CDTF">2022-03-07T09:34:00Z</dcterms:created>
  <dcterms:modified xsi:type="dcterms:W3CDTF">2023-06-26T11:14:00Z</dcterms:modified>
</cp:coreProperties>
</file>