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  <w:t>A.)  Všeobecná časť</w:t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widowControl/>
        <w:numPr>
          <w:ilvl w:val="0"/>
          <w:numId w:val="4"/>
        </w:numPr>
        <w:tabs>
          <w:tab w:val="clear" w:pos="708"/>
          <w:tab w:val="left" w:pos="284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BABINKA   s.r.o.</w:t>
      </w:r>
    </w:p>
    <w:p>
      <w:pPr>
        <w:pStyle w:val="Standard"/>
        <w:widowControl/>
        <w:tabs>
          <w:tab w:val="clear" w:pos="708"/>
          <w:tab w:val="left" w:pos="284" w:leader="none"/>
        </w:tabs>
        <w:ind w:left="72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Plánkova 40/19</w:t>
      </w:r>
    </w:p>
    <w:p>
      <w:pPr>
        <w:pStyle w:val="Standard"/>
        <w:widowControl/>
        <w:tabs>
          <w:tab w:val="clear" w:pos="708"/>
          <w:tab w:val="left" w:pos="284" w:leader="none"/>
        </w:tabs>
        <w:ind w:left="72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960 01</w:t>
      </w:r>
    </w:p>
    <w:p>
      <w:pPr>
        <w:pStyle w:val="Standard"/>
        <w:ind w:left="42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84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Spoločnosť bola založená a vznikla  28.03.2014</w:t>
      </w:r>
    </w:p>
    <w:p>
      <w:pPr>
        <w:pStyle w:val="Standard"/>
        <w:keepNext w:val="true"/>
        <w:spacing w:before="0" w:after="60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Standard"/>
        <w:numPr>
          <w:ilvl w:val="0"/>
          <w:numId w:val="4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Predmet podnikania:      </w:t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05"/>
        <w:gridCol w:w="132"/>
      </w:tblGrid>
      <w:tr>
        <w:trPr/>
        <w:tc>
          <w:tcPr>
            <w:tcW w:w="9505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  <w:tbl>
            <w:tblPr>
              <w:tblW w:w="9064" w:type="dxa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938"/>
              <w:gridCol w:w="125"/>
            </w:tblGrid>
            <w:tr>
              <w:trPr/>
              <w:tc>
                <w:tcPr>
                  <w:tcW w:w="8938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vanish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vanish/>
                      <w:kern w:val="0"/>
                      <w:lang w:eastAsia="sk-SK" w:bidi="ar-SA"/>
                    </w:rPr>
                  </w:r>
                </w:p>
                <w:tbl>
                  <w:tblPr>
                    <w:tblW w:w="5000" w:type="pct"/>
                    <w:jc w:val="center"/>
                    <w:tblInd w:w="0" w:type="dxa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4a0"/>
                  </w:tblPr>
                  <w:tblGrid>
                    <w:gridCol w:w="1818"/>
                    <w:gridCol w:w="7089"/>
                  </w:tblGrid>
                  <w:tr>
                    <w:trPr/>
                    <w:tc>
                      <w:tcPr>
                        <w:tcW w:w="1818" w:type="dxa"/>
                        <w:tcBorders/>
                        <w:shd w:color="auto" w:fill="FFFFFF" w:val="clear"/>
                      </w:tcPr>
                      <w:p>
                        <w:pPr>
                          <w:pStyle w:val="Normal"/>
                          <w:widowControl w:val="false"/>
                          <w:suppressAutoHyphens w:val="false"/>
                          <w:textAlignment w:val="auto"/>
                          <w:rPr>
                            <w:rFonts w:eastAsia="Times New Roman" w:cs="Times New Roman"/>
                            <w:kern w:val="0"/>
                            <w:lang w:eastAsia="sk-SK" w:bidi="ar-SA"/>
                          </w:rPr>
                        </w:pPr>
                        <w:r>
                          <w:rPr>
                            <w:rFonts w:eastAsia="Times New Roman" w:cs="Times New Roman"/>
                            <w:kern w:val="0"/>
                            <w:lang w:eastAsia="sk-SK" w:bidi="ar-SA"/>
                          </w:rPr>
                        </w:r>
                      </w:p>
                    </w:tc>
                    <w:tc>
                      <w:tcPr>
                        <w:tcW w:w="7089" w:type="dxa"/>
                        <w:tcBorders/>
                        <w:shd w:color="auto" w:fill="FFFFFF" w:val="clear"/>
                        <w:vAlign w:val="center"/>
                      </w:tcPr>
                      <w:p>
                        <w:pPr>
                          <w:pStyle w:val="Normal"/>
                          <w:widowControl w:val="false"/>
                          <w:suppressAutoHyphens w:val="false"/>
                          <w:textAlignment w:val="auto"/>
                          <w:rPr>
                            <w:rFonts w:eastAsia="Times New Roman" w:cs="Times New Roman"/>
                            <w:kern w:val="0"/>
                            <w:lang w:eastAsia="sk-SK" w:bidi="ar-SA"/>
                          </w:rPr>
                        </w:pPr>
                        <w:r>
                          <w:rPr>
                            <w:rFonts w:eastAsia="Times New Roman" w:cs="Times New Roman"/>
                            <w:kern w:val="0"/>
                            <w:lang w:eastAsia="sk-SK" w:bidi="ar-SA"/>
                          </w:rPr>
                        </w:r>
                      </w:p>
                    </w:tc>
                  </w:tr>
                </w:tbl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vanish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vanish/>
                      <w:kern w:val="0"/>
                      <w:lang w:eastAsia="sk-SK" w:bidi="ar-SA"/>
                    </w:rPr>
                  </w:r>
                </w:p>
                <w:tbl>
                  <w:tblPr>
                    <w:tblW w:w="4216" w:type="dxa"/>
                    <w:jc w:val="left"/>
                    <w:tblInd w:w="945" w:type="dxa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4a0"/>
                  </w:tblPr>
                  <w:tblGrid>
                    <w:gridCol w:w="35"/>
                    <w:gridCol w:w="4180"/>
                  </w:tblGrid>
                  <w:tr>
                    <w:trPr/>
                    <w:tc>
                      <w:tcPr>
                        <w:tcW w:w="35" w:type="dxa"/>
                        <w:tcBorders/>
                        <w:shd w:color="auto" w:fill="FFFFFF" w:val="clear"/>
                      </w:tcPr>
                      <w:p>
                        <w:pPr>
                          <w:pStyle w:val="Normal"/>
                          <w:widowControl w:val="false"/>
                          <w:suppressAutoHyphens w:val="false"/>
                          <w:textAlignment w:val="auto"/>
                          <w:rPr>
                            <w:rFonts w:eastAsia="Times New Roman" w:cs="Times New Roman"/>
                            <w:kern w:val="0"/>
                            <w:lang w:eastAsia="sk-SK" w:bidi="ar-SA"/>
                          </w:rPr>
                        </w:pPr>
                        <w:r>
                          <w:rPr>
                            <w:rFonts w:eastAsia="Times New Roman" w:cs="Times New Roman"/>
                            <w:kern w:val="0"/>
                            <w:lang w:eastAsia="sk-SK" w:bidi="ar-SA"/>
                          </w:rPr>
                        </w:r>
                      </w:p>
                    </w:tc>
                    <w:tc>
                      <w:tcPr>
                        <w:tcW w:w="4180" w:type="dxa"/>
                        <w:tcBorders/>
                        <w:shd w:color="auto" w:fill="FFFFFF" w:val="clear"/>
                        <w:vAlign w:val="center"/>
                      </w:tcPr>
                      <w:tbl>
                        <w:tblPr>
                          <w:tblW w:w="8575" w:type="dxa"/>
                          <w:jc w:val="left"/>
                          <w:tblInd w:w="0" w:type="dxa"/>
                          <w:tblLayout w:type="fixed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4302"/>
                          <w:gridCol w:w="4272"/>
                        </w:tblGrid>
                        <w:tr>
                          <w:trPr/>
                          <w:tc>
                            <w:tcPr>
                              <w:tcW w:w="4302" w:type="dxa"/>
                              <w:tcBorders/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suppressAutoHyphens w:val="false"/>
                                <w:jc w:val="both"/>
                                <w:textAlignment w:val="auto"/>
                                <w:rPr>
                                  <w:rFonts w:eastAsia="Times New Roman" w:cs="Times New Roman"/>
                                  <w:kern w:val="0"/>
                                  <w:lang w:eastAsia="sk-SK" w:bidi="ar-SA"/>
                                </w:rPr>
                              </w:pPr>
                              <w:r>
                                <w:rPr>
                                  <w:rFonts w:eastAsia="Times New Roman" w:cs="Arial" w:ascii="Arial" w:hAnsi="Arial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lang w:eastAsia="sk-SK" w:bidi="ar-SA"/>
                                </w:rPr>
                                <w:t>kúpa tovaru na účely jeho predaja konečnému spotrebiteľovi (maloobchod) alebo iným prevádzkovateľom živnosti (veľkoobchod)</w:t>
                              </w:r>
                            </w:p>
                          </w:tc>
                          <w:tc>
                            <w:tcPr>
                              <w:tcW w:w="4272" w:type="dxa"/>
                              <w:tcBorders/>
                            </w:tcPr>
                            <w:p>
                              <w:pPr>
                                <w:pStyle w:val="Normal"/>
                                <w:widowControl w:val="false"/>
                                <w:suppressAutoHyphens w:val="false"/>
                                <w:ind w:right="-2113" w:hanging="0"/>
                                <w:textAlignment w:val="auto"/>
                                <w:rPr>
                                  <w:rFonts w:eastAsia="Times New Roman" w:cs="Times New Roman"/>
                                  <w:kern w:val="0"/>
                                  <w:lang w:eastAsia="sk-SK" w:bidi="ar-SA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kern w:val="0"/>
                                  <w:lang w:eastAsia="sk-SK" w:bidi="ar-SA"/>
                                </w:rPr>
                                <w:t xml:space="preserve">                     </w:t>
                              </w:r>
                              <w:r>
                                <w:rPr>
                                  <w:rFonts w:eastAsia="Times New Roman" w:cs="Arial" w:ascii="Arial" w:hAnsi="Arial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lang w:eastAsia="sk-SK" w:bidi="ar-SA"/>
                                </w:rPr>
                                <w:t>(od: 28.03.2014)</w:t>
                              </w:r>
                            </w:p>
                          </w:tc>
                        </w:tr>
                      </w:tbl>
                      <w:p>
                        <w:pPr>
                          <w:pStyle w:val="Normal"/>
                          <w:widowControl w:val="false"/>
                          <w:suppressAutoHyphens w:val="false"/>
                          <w:textAlignment w:val="auto"/>
                          <w:rPr>
                            <w:rFonts w:eastAsia="Times New Roman" w:cs="Times New Roman"/>
                            <w:vanish/>
                            <w:kern w:val="0"/>
                            <w:lang w:eastAsia="sk-SK" w:bidi="ar-SA"/>
                          </w:rPr>
                        </w:pPr>
                        <w:r>
                          <w:rPr>
                            <w:rFonts w:eastAsia="Times New Roman" w:cs="Times New Roman"/>
                            <w:vanish/>
                            <w:kern w:val="0"/>
                            <w:lang w:eastAsia="sk-SK" w:bidi="ar-SA"/>
                          </w:rPr>
                        </w:r>
                      </w:p>
                      <w:tbl>
                        <w:tblPr>
                          <w:tblW w:w="5000" w:type="pct"/>
                          <w:jc w:val="left"/>
                          <w:tblInd w:w="0" w:type="dxa"/>
                          <w:tblLayout w:type="fixed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2793"/>
                          <w:gridCol w:w="1387"/>
                        </w:tblGrid>
                        <w:tr>
                          <w:trPr/>
                          <w:tc>
                            <w:tcPr>
                              <w:tcW w:w="2793" w:type="dxa"/>
                              <w:tcBorders/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suppressAutoHyphens w:val="false"/>
                                <w:textAlignment w:val="auto"/>
                                <w:rPr>
                                  <w:rFonts w:eastAsia="Times New Roman" w:cs="Times New Roman"/>
                                  <w:kern w:val="0"/>
                                  <w:lang w:eastAsia="sk-SK" w:bidi="ar-SA"/>
                                </w:rPr>
                              </w:pPr>
                              <w:r>
                                <w:rPr>
                                  <w:rFonts w:eastAsia="Times New Roman" w:cs="Arial" w:ascii="Arial" w:hAnsi="Arial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lang w:eastAsia="sk-SK" w:bidi="ar-SA"/>
                                </w:rPr>
                                <w:t>sprostredkovateľská činnosť v oblasti obchodu</w:t>
                              </w:r>
                            </w:p>
                          </w:tc>
                          <w:tc>
                            <w:tcPr>
                              <w:tcW w:w="1387" w:type="dxa"/>
                              <w:tcBorders/>
                            </w:tcPr>
                            <w:p>
                              <w:pPr>
                                <w:pStyle w:val="Normal"/>
                                <w:widowControl w:val="false"/>
                                <w:suppressAutoHyphens w:val="false"/>
                                <w:textAlignment w:val="auto"/>
                                <w:rPr>
                                  <w:rFonts w:eastAsia="Times New Roman" w:cs="Times New Roman"/>
                                  <w:kern w:val="0"/>
                                  <w:lang w:eastAsia="sk-SK" w:bidi="ar-SA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kern w:val="0"/>
                                  <w:lang w:eastAsia="sk-SK" w:bidi="ar-SA"/>
                                </w:rPr>
                                <w:t>  </w:t>
                              </w:r>
                              <w:r>
                                <w:rPr>
                                  <w:rFonts w:eastAsia="Times New Roman" w:cs="Arial" w:ascii="Arial" w:hAnsi="Arial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lang w:eastAsia="sk-SK" w:bidi="ar-SA"/>
                                </w:rPr>
                                <w:t>(od: 28.03.2014)</w:t>
                              </w:r>
                            </w:p>
                          </w:tc>
                        </w:tr>
                      </w:tbl>
                      <w:p>
                        <w:pPr>
                          <w:pStyle w:val="Normal"/>
                          <w:widowControl w:val="false"/>
                          <w:suppressAutoHyphens w:val="false"/>
                          <w:textAlignment w:val="auto"/>
                          <w:rPr>
                            <w:rFonts w:eastAsia="Times New Roman" w:cs="Times New Roman"/>
                            <w:vanish/>
                            <w:kern w:val="0"/>
                            <w:lang w:eastAsia="sk-SK" w:bidi="ar-SA"/>
                          </w:rPr>
                        </w:pPr>
                        <w:r>
                          <w:rPr>
                            <w:rFonts w:eastAsia="Times New Roman" w:cs="Times New Roman"/>
                            <w:vanish/>
                            <w:kern w:val="0"/>
                            <w:lang w:eastAsia="sk-SK" w:bidi="ar-SA"/>
                          </w:rPr>
                        </w:r>
                      </w:p>
                      <w:tbl>
                        <w:tblPr>
                          <w:tblW w:w="5000" w:type="pct"/>
                          <w:jc w:val="left"/>
                          <w:tblInd w:w="0" w:type="dxa"/>
                          <w:tblLayout w:type="fixed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2793"/>
                          <w:gridCol w:w="1387"/>
                        </w:tblGrid>
                        <w:tr>
                          <w:trPr/>
                          <w:tc>
                            <w:tcPr>
                              <w:tcW w:w="2793" w:type="dxa"/>
                              <w:tcBorders/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suppressAutoHyphens w:val="false"/>
                                <w:textAlignment w:val="auto"/>
                                <w:rPr>
                                  <w:rFonts w:eastAsia="Times New Roman" w:cs="Times New Roman"/>
                                  <w:kern w:val="0"/>
                                  <w:lang w:eastAsia="sk-SK" w:bidi="ar-SA"/>
                                </w:rPr>
                              </w:pPr>
                              <w:r>
                                <w:rPr>
                                  <w:rFonts w:eastAsia="Times New Roman" w:cs="Arial" w:ascii="Arial" w:hAnsi="Arial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lang w:eastAsia="sk-SK" w:bidi="ar-SA"/>
                                </w:rPr>
                                <w:t>sprostredkovateľská činnosť v oblasti služieb</w:t>
                              </w:r>
                            </w:p>
                          </w:tc>
                          <w:tc>
                            <w:tcPr>
                              <w:tcW w:w="1387" w:type="dxa"/>
                              <w:tcBorders/>
                            </w:tcPr>
                            <w:p>
                              <w:pPr>
                                <w:pStyle w:val="Normal"/>
                                <w:widowControl w:val="false"/>
                                <w:suppressAutoHyphens w:val="false"/>
                                <w:textAlignment w:val="auto"/>
                                <w:rPr>
                                  <w:rFonts w:eastAsia="Times New Roman" w:cs="Times New Roman"/>
                                  <w:kern w:val="0"/>
                                  <w:lang w:eastAsia="sk-SK" w:bidi="ar-SA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kern w:val="0"/>
                                  <w:lang w:eastAsia="sk-SK" w:bidi="ar-SA"/>
                                </w:rPr>
                                <w:t>  </w:t>
                              </w:r>
                              <w:r>
                                <w:rPr>
                                  <w:rFonts w:eastAsia="Times New Roman" w:cs="Arial" w:ascii="Arial" w:hAnsi="Arial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lang w:eastAsia="sk-SK" w:bidi="ar-SA"/>
                                </w:rPr>
                                <w:t>(od: 28.03.2014)</w:t>
                              </w:r>
                            </w:p>
                          </w:tc>
                        </w:tr>
                      </w:tbl>
                      <w:p>
                        <w:pPr>
                          <w:pStyle w:val="Normal"/>
                          <w:widowControl w:val="false"/>
                          <w:suppressAutoHyphens w:val="false"/>
                          <w:textAlignment w:val="auto"/>
                          <w:rPr>
                            <w:rFonts w:eastAsia="Times New Roman" w:cs="Times New Roman"/>
                            <w:vanish/>
                            <w:kern w:val="0"/>
                            <w:lang w:eastAsia="sk-SK" w:bidi="ar-SA"/>
                          </w:rPr>
                        </w:pPr>
                        <w:r>
                          <w:rPr>
                            <w:rFonts w:eastAsia="Times New Roman" w:cs="Times New Roman"/>
                            <w:vanish/>
                            <w:kern w:val="0"/>
                            <w:lang w:eastAsia="sk-SK" w:bidi="ar-SA"/>
                          </w:rPr>
                        </w:r>
                      </w:p>
                      <w:tbl>
                        <w:tblPr>
                          <w:tblW w:w="5000" w:type="pct"/>
                          <w:jc w:val="left"/>
                          <w:tblInd w:w="0" w:type="dxa"/>
                          <w:tblLayout w:type="fixed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2793"/>
                          <w:gridCol w:w="1387"/>
                        </w:tblGrid>
                        <w:tr>
                          <w:trPr/>
                          <w:tc>
                            <w:tcPr>
                              <w:tcW w:w="2793" w:type="dxa"/>
                              <w:tcBorders/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suppressAutoHyphens w:val="false"/>
                                <w:textAlignment w:val="auto"/>
                                <w:rPr>
                                  <w:rFonts w:eastAsia="Times New Roman" w:cs="Times New Roman"/>
                                  <w:kern w:val="0"/>
                                  <w:lang w:eastAsia="sk-SK" w:bidi="ar-SA"/>
                                </w:rPr>
                              </w:pPr>
                              <w:r>
                                <w:rPr>
                                  <w:rFonts w:eastAsia="Times New Roman" w:cs="Arial" w:ascii="Arial" w:hAnsi="Arial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lang w:eastAsia="sk-SK" w:bidi="ar-SA"/>
                                </w:rPr>
                                <w:t>organizovanie kultúrnych a iných spoločenských podujatí</w:t>
                              </w:r>
                            </w:p>
                          </w:tc>
                          <w:tc>
                            <w:tcPr>
                              <w:tcW w:w="1387" w:type="dxa"/>
                              <w:tcBorders/>
                            </w:tcPr>
                            <w:p>
                              <w:pPr>
                                <w:pStyle w:val="Normal"/>
                                <w:widowControl w:val="false"/>
                                <w:suppressAutoHyphens w:val="false"/>
                                <w:textAlignment w:val="auto"/>
                                <w:rPr>
                                  <w:rFonts w:eastAsia="Times New Roman" w:cs="Times New Roman"/>
                                  <w:kern w:val="0"/>
                                  <w:lang w:eastAsia="sk-SK" w:bidi="ar-SA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kern w:val="0"/>
                                  <w:lang w:eastAsia="sk-SK" w:bidi="ar-SA"/>
                                </w:rPr>
                                <w:t>  </w:t>
                              </w:r>
                              <w:r>
                                <w:rPr>
                                  <w:rFonts w:eastAsia="Times New Roman" w:cs="Arial" w:ascii="Arial" w:hAnsi="Arial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lang w:eastAsia="sk-SK" w:bidi="ar-SA"/>
                                </w:rPr>
                                <w:t>(od: 28.03.2014)</w:t>
                              </w:r>
                            </w:p>
                          </w:tc>
                        </w:tr>
                      </w:tbl>
                      <w:p>
                        <w:pPr>
                          <w:pStyle w:val="Normal"/>
                          <w:widowControl w:val="false"/>
                          <w:suppressAutoHyphens w:val="false"/>
                          <w:textAlignment w:val="auto"/>
                          <w:rPr>
                            <w:rFonts w:eastAsia="Times New Roman" w:cs="Times New Roman"/>
                            <w:kern w:val="0"/>
                            <w:lang w:eastAsia="sk-SK" w:bidi="ar-SA"/>
                          </w:rPr>
                        </w:pPr>
                        <w:r>
                          <w:rPr>
                            <w:rFonts w:eastAsia="Times New Roman" w:cs="Times New Roman"/>
                            <w:kern w:val="0"/>
                            <w:lang w:eastAsia="sk-SK" w:bidi="ar-SA"/>
                          </w:rPr>
                        </w:r>
                      </w:p>
                    </w:tc>
                  </w:tr>
                </w:tbl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</w:r>
                </w:p>
              </w:tc>
              <w:tc>
                <w:tcPr>
                  <w:tcW w:w="125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9064" w:type="dxa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064"/>
            </w:tblGrid>
            <w:tr>
              <w:trPr/>
              <w:tc>
                <w:tcPr>
                  <w:tcW w:w="9064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</w:r>
                </w:p>
              </w:tc>
            </w:tr>
            <w:tr>
              <w:trPr/>
              <w:tc>
                <w:tcPr>
                  <w:tcW w:w="9064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</w:tc>
        <w:tc>
          <w:tcPr>
            <w:tcW w:w="132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</w:tc>
      </w:tr>
    </w:tbl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38"/>
      </w:tblGrid>
      <w:tr>
        <w:trPr/>
        <w:tc>
          <w:tcPr>
            <w:tcW w:w="9638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</w:tc>
      </w:tr>
    </w:tbl>
    <w:p>
      <w:pPr>
        <w:pStyle w:val="Standard"/>
        <w:ind w:left="72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    </w:t>
      </w:r>
    </w:p>
    <w:p>
      <w:pPr>
        <w:pStyle w:val="Nzov"/>
        <w:numPr>
          <w:ilvl w:val="0"/>
          <w:numId w:val="52"/>
        </w:numPr>
        <w:ind w:left="360" w:hanging="360"/>
        <w:jc w:val="left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>Informácie k prílohe č. 3 časti A. písm. c) o počte zamestnancov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665"/>
        <w:gridCol w:w="2622"/>
        <w:gridCol w:w="2855"/>
      </w:tblGrid>
      <w:tr>
        <w:trPr/>
        <w:tc>
          <w:tcPr>
            <w:tcW w:w="366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2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5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6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Priemerný prepočítaný počet zamestnancov</w:t>
            </w:r>
          </w:p>
        </w:tc>
        <w:tc>
          <w:tcPr>
            <w:tcW w:w="262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85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85" w:hRule="atLeast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Stav zamestnancov ku dňu, ku ktorému sa zostavuje účtovná závierka, z toho:</w:t>
            </w:r>
          </w:p>
        </w:tc>
        <w:tc>
          <w:tcPr>
            <w:tcW w:w="262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85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počet vedúcich zamestnancov</w:t>
            </w:r>
          </w:p>
        </w:tc>
        <w:tc>
          <w:tcPr>
            <w:tcW w:w="262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85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tabs>
          <w:tab w:val="clear" w:pos="708"/>
          <w:tab w:val="left" w:pos="142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42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d)   Spoločnosť  nevlastnila a nevlastní žiadne majetkové podiely v iných firmách.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e)  Babinka s.r.o. predkladá riadnu účtovnú závierku za rok 202</w:t>
      </w:r>
      <w:r>
        <w:rPr>
          <w:rFonts w:cs="Arial Narrow" w:ascii="Arial Narrow" w:hAnsi="Arial Narrow"/>
          <w:sz w:val="22"/>
          <w:szCs w:val="22"/>
        </w:rPr>
        <w:t>2</w:t>
      </w:r>
      <w:r>
        <w:rPr>
          <w:rFonts w:cs="Arial Narrow" w:ascii="Arial Narrow" w:hAnsi="Arial Narrow"/>
          <w:sz w:val="22"/>
          <w:szCs w:val="22"/>
        </w:rPr>
        <w:t xml:space="preserve"> v zmysle zákona č.431/2002 Z. z. o účtovníctve v znení neskorších predpisov.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993" w:leader="none"/>
        </w:tabs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/>
      </w:r>
    </w:p>
    <w:p>
      <w:pPr>
        <w:pStyle w:val="Standard"/>
        <w:ind w:left="36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1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05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  <w:t>B.)   Ďalšie informácie</w:t>
      </w:r>
    </w:p>
    <w:p>
      <w:pPr>
        <w:pStyle w:val="Standard"/>
        <w:jc w:val="both"/>
        <w:rPr>
          <w:rFonts w:ascii="Arial Narrow" w:hAnsi="Arial Narrow" w:cs="Arial Narrow"/>
          <w:i/>
          <w:i/>
          <w:iCs/>
          <w:sz w:val="22"/>
          <w:szCs w:val="22"/>
        </w:rPr>
      </w:pPr>
      <w:r>
        <w:rPr>
          <w:rFonts w:cs="Arial Narrow" w:ascii="Arial Narrow" w:hAnsi="Arial Narrow"/>
          <w:i/>
          <w:iCs/>
          <w:sz w:val="22"/>
          <w:szCs w:val="22"/>
        </w:rPr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a)</w:t>
        <w:tab/>
        <w:t>V priebehu účtovného obdobia za rok 202</w:t>
      </w:r>
      <w:r>
        <w:rPr>
          <w:rFonts w:cs="Arial Narrow" w:ascii="Arial Narrow" w:hAnsi="Arial Narrow"/>
          <w:sz w:val="22"/>
          <w:szCs w:val="22"/>
        </w:rPr>
        <w:t>2</w:t>
      </w:r>
      <w:r>
        <w:rPr>
          <w:rFonts w:cs="Arial Narrow" w:ascii="Arial Narrow" w:hAnsi="Arial Narrow"/>
          <w:sz w:val="22"/>
          <w:szCs w:val="22"/>
        </w:rPr>
        <w:t xml:space="preserve"> účtovníctvo spoločnosti bolo vedené v zmysle zákona o účtovníctve č.431/2002 Z. z. v plnom znení, účtovnej osnovy a postupov účtovníctva pre podnikateľov platnými od 01.01.2003 v plnom znení .</w:t>
      </w:r>
    </w:p>
    <w:p>
      <w:pPr>
        <w:pStyle w:val="Standard"/>
        <w:ind w:left="993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 rámci uvedených predpisov hlavný dôraz bol kladený na základné účtovné zásady, a to najmä na: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časovú a vecnú súvislosť účtovných prípadov,</w:t>
      </w:r>
    </w:p>
    <w:p>
      <w:pPr>
        <w:pStyle w:val="Standard"/>
        <w:numPr>
          <w:ilvl w:val="0"/>
          <w:numId w:val="1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nepretržitosť vedenia účtovníctva,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zásadu vecného a pravdivého obrazu účtovnej závierky,</w:t>
      </w:r>
    </w:p>
    <w:p>
      <w:pPr>
        <w:pStyle w:val="Standard"/>
        <w:numPr>
          <w:ilvl w:val="0"/>
          <w:numId w:val="1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celistvosť účtovníctva – vedenie účtovníctva za firmu ako celok,</w:t>
      </w:r>
    </w:p>
    <w:p>
      <w:pPr>
        <w:pStyle w:val="Standard"/>
        <w:numPr>
          <w:ilvl w:val="0"/>
          <w:numId w:val="1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vedenie účtovníctva formou sústavy účtovných zápisov, podložených účtovnými dokladmi,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vedenie účtovníctva a  zostavenie účtovnej závierky v peňažných jednotkách v mene euro a v štátnom jazyku,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povinnosť inventarizovania majetku, záväzkov a rozdielu majetku a záväzkov,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povinnosť viesť účtovníctvo správne, úplne, preukázateľne, zrozumiteľne a spôsobom  zaručujúcim trvanlivosť účtovných záznamov.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b) - l) Ďalšie informácie o údajoch vykázaných v súvahe, o výnosoch, nákladoch, daniach z príjmov, o údajoch na podsúvahových účtoch, iných aktívach a pasívach, spriaznených osobách, o skutočnostiach, ktoré nastali medzi dňom, ku ktorému sa zostavuje účtovná závierka a dňom jej zostavenia, o prehľade zmien vlastného imania a prehľade peňažných tokov sú postupne uvádzané v nasledujúcich bodoch.</w:t>
      </w:r>
    </w:p>
    <w:p>
      <w:pPr>
        <w:pStyle w:val="Nadpis1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  <w:t xml:space="preserve">C.)    Konkretizácia použitých účtovných zásad a účtovných metód  </w:t>
      </w:r>
    </w:p>
    <w:p>
      <w:pPr>
        <w:pStyle w:val="Nadpis1"/>
        <w:numPr>
          <w:ilvl w:val="0"/>
          <w:numId w:val="53"/>
        </w:numPr>
        <w:ind w:left="426" w:hanging="426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Spoločnosť nepretržite pokračuje vo svojej činnosti a  súčasne má vytvorené všetky predpoklady nepretržite pokračovať v podnikaní aj v budúcich rokoch.</w:t>
      </w:r>
    </w:p>
    <w:p>
      <w:pPr>
        <w:pStyle w:val="Nadpis1"/>
        <w:numPr>
          <w:ilvl w:val="0"/>
          <w:numId w:val="54"/>
        </w:numPr>
        <w:tabs>
          <w:tab w:val="clear" w:pos="708"/>
          <w:tab w:val="left" w:pos="1135" w:leader="none"/>
        </w:tabs>
        <w:ind w:left="426" w:hanging="426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V  roku 202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>2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nenastali zmeny účtovných zásad a účtovných metód.</w:t>
      </w:r>
    </w:p>
    <w:p>
      <w:pPr>
        <w:pStyle w:val="Nadpis1"/>
        <w:numPr>
          <w:ilvl w:val="0"/>
          <w:numId w:val="55"/>
        </w:numPr>
        <w:tabs>
          <w:tab w:val="clear" w:pos="708"/>
          <w:tab w:val="left" w:pos="720" w:leader="none"/>
        </w:tabs>
        <w:ind w:left="360" w:hanging="360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Spôsob oceňovania jednotlivých zložiek majetku :</w:t>
      </w:r>
    </w:p>
    <w:p>
      <w:pPr>
        <w:pStyle w:val="Nadpis1"/>
        <w:tabs>
          <w:tab w:val="clear" w:pos="708"/>
          <w:tab w:val="left" w:pos="1560" w:leader="none"/>
        </w:tabs>
        <w:ind w:left="780" w:hanging="360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1.</w:t>
        <w:tab/>
        <w:t>Dlhodobý nehmotný majetok spoločnosť v roku 202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>2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nebol obstaraný.</w:t>
      </w:r>
    </w:p>
    <w:p>
      <w:pPr>
        <w:pStyle w:val="Standard"/>
        <w:tabs>
          <w:tab w:val="clear" w:pos="708"/>
          <w:tab w:val="left" w:pos="5786" w:leader="none"/>
        </w:tabs>
        <w:jc w:val="both"/>
        <w:rPr/>
      </w:pPr>
      <w:r>
        <w:rPr>
          <w:rFonts w:cs="Arial Narrow" w:ascii="Arial Narrow" w:hAnsi="Arial Narrow"/>
          <w:sz w:val="22"/>
          <w:szCs w:val="22"/>
        </w:rPr>
        <w:tab/>
      </w:r>
    </w:p>
    <w:p>
      <w:pPr>
        <w:pStyle w:val="Standard"/>
        <w:tabs>
          <w:tab w:val="clear" w:pos="708"/>
          <w:tab w:val="left" w:pos="360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104" w:leader="none"/>
        </w:tabs>
        <w:ind w:left="544" w:hanging="99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805" w:leader="none"/>
        </w:tabs>
        <w:ind w:left="445" w:hanging="0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1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  <w:t>F.)    Údaje vykázané na strane aktív súvahy</w:t>
      </w:r>
    </w:p>
    <w:p>
      <w:pPr>
        <w:pStyle w:val="Standard"/>
        <w:keepNext w:val="true"/>
        <w:tabs>
          <w:tab w:val="clear" w:pos="708"/>
          <w:tab w:val="left" w:pos="360" w:leader="none"/>
        </w:tabs>
        <w:rPr/>
      </w:pPr>
      <w:r>
        <w:rPr>
          <w:rFonts w:cs="Arial Narrow" w:ascii="Arial Narrow" w:hAnsi="Arial Narrow"/>
          <w:bCs/>
          <w:sz w:val="22"/>
          <w:szCs w:val="22"/>
        </w:rPr>
        <w:t>a)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o dlhodobom nehmotnom majetku</w:t>
      </w:r>
    </w:p>
    <w:p>
      <w:pPr>
        <w:pStyle w:val="Standard"/>
        <w:numPr>
          <w:ilvl w:val="0"/>
          <w:numId w:val="56"/>
        </w:numPr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Prehľad o pohybe dlhodobého majetku v €</w:t>
      </w:r>
    </w:p>
    <w:p>
      <w:pPr>
        <w:pStyle w:val="Standard"/>
        <w:numPr>
          <w:ilvl w:val="0"/>
          <w:numId w:val="57"/>
        </w:numPr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Prehľad oprávok a opravných položiek  dlhodobého majetku v  €</w:t>
      </w:r>
    </w:p>
    <w:p>
      <w:pPr>
        <w:pStyle w:val="Standard"/>
        <w:numPr>
          <w:ilvl w:val="0"/>
          <w:numId w:val="58"/>
        </w:numPr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Prehľad o zostatkových hodnotách dlhodobého majetku v  €</w:t>
      </w:r>
    </w:p>
    <w:p>
      <w:pPr>
        <w:pStyle w:val="Nzov"/>
        <w:numPr>
          <w:ilvl w:val="0"/>
          <w:numId w:val="59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05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853"/>
        <w:gridCol w:w="996"/>
        <w:gridCol w:w="850"/>
        <w:gridCol w:w="862"/>
        <w:gridCol w:w="975"/>
        <w:gridCol w:w="706"/>
        <w:gridCol w:w="848"/>
        <w:gridCol w:w="1069"/>
        <w:gridCol w:w="945"/>
      </w:tblGrid>
      <w:tr>
        <w:trPr>
          <w:trHeight w:val="334" w:hRule="atLeast"/>
        </w:trPr>
        <w:tc>
          <w:tcPr>
            <w:tcW w:w="1853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1" w:type="dxa"/>
            <w:gridSpan w:val="8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53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6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5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6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5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5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5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50" w:hRule="atLeast"/>
        </w:trPr>
        <w:tc>
          <w:tcPr>
            <w:tcW w:w="185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5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zov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105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853"/>
        <w:gridCol w:w="996"/>
        <w:gridCol w:w="850"/>
        <w:gridCol w:w="862"/>
        <w:gridCol w:w="975"/>
        <w:gridCol w:w="669"/>
        <w:gridCol w:w="37"/>
        <w:gridCol w:w="848"/>
        <w:gridCol w:w="1069"/>
        <w:gridCol w:w="945"/>
      </w:tblGrid>
      <w:tr>
        <w:trPr>
          <w:trHeight w:val="334" w:hRule="atLeast"/>
        </w:trPr>
        <w:tc>
          <w:tcPr>
            <w:tcW w:w="1853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1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53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6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5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6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6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5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5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5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50" w:hRule="atLeast"/>
        </w:trPr>
        <w:tc>
          <w:tcPr>
            <w:tcW w:w="185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5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zov"/>
        <w:jc w:val="left"/>
        <w:rPr>
          <w:szCs w:val="22"/>
        </w:rPr>
      </w:pPr>
      <w:r>
        <w:rPr>
          <w:szCs w:val="22"/>
        </w:rPr>
      </w:r>
    </w:p>
    <w:p>
      <w:pPr>
        <w:pStyle w:val="Standard"/>
        <w:spacing w:lineRule="auto" w:line="276"/>
        <w:rPr>
          <w:szCs w:val="36"/>
        </w:rPr>
      </w:pPr>
      <w:r>
        <w:rPr>
          <w:szCs w:val="36"/>
        </w:rPr>
      </w:r>
    </w:p>
    <w:p>
      <w:pPr>
        <w:pStyle w:val="Standard"/>
        <w:spacing w:lineRule="auto" w:line="276"/>
        <w:rPr>
          <w:szCs w:val="36"/>
        </w:rPr>
      </w:pPr>
      <w:r>
        <w:rPr>
          <w:szCs w:val="36"/>
        </w:rPr>
      </w:r>
    </w:p>
    <w:p>
      <w:pPr>
        <w:pStyle w:val="Standard"/>
        <w:spacing w:lineRule="auto" w:line="276"/>
        <w:rPr>
          <w:szCs w:val="36"/>
        </w:rPr>
      </w:pPr>
      <w:r>
        <w:rPr>
          <w:szCs w:val="36"/>
        </w:rPr>
      </w:r>
    </w:p>
    <w:p>
      <w:pPr>
        <w:pStyle w:val="Nzov"/>
        <w:numPr>
          <w:ilvl w:val="0"/>
          <w:numId w:val="60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F. písm. c) o dlhodobom nehmotnom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399"/>
        <w:gridCol w:w="2742"/>
      </w:tblGrid>
      <w:tr>
        <w:trPr>
          <w:trHeight w:val="340" w:hRule="atLeast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4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Dlhodobý nehmotný majetok, na ktorý je zriadené záložné právo</w:t>
            </w:r>
          </w:p>
        </w:tc>
        <w:tc>
          <w:tcPr>
            <w:tcW w:w="274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 xml:space="preserve">                           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455" w:leader="none"/>
        </w:tabs>
        <w:spacing w:before="0" w:after="200"/>
        <w:ind w:left="15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55" w:leader="none"/>
        </w:tabs>
        <w:spacing w:lineRule="auto" w:line="276" w:before="0" w:after="200"/>
        <w:ind w:left="15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Na dlhodobý nehmotný majetok vykazovaný v účtovníctve v bezprostredne predchádzajúcom účtovnom období nebolo zriadené záložné právo ani obmedzené právo s nim nakladať.</w:t>
      </w:r>
    </w:p>
    <w:p>
      <w:pPr>
        <w:pStyle w:val="Nadpis1"/>
        <w:tabs>
          <w:tab w:val="clear" w:pos="708"/>
          <w:tab w:val="left" w:pos="360" w:leader="none"/>
        </w:tabs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  <w:t>F.)</w:t>
      </w:r>
    </w:p>
    <w:p>
      <w:pPr>
        <w:pStyle w:val="Standard"/>
        <w:tabs>
          <w:tab w:val="clear" w:pos="708"/>
          <w:tab w:val="left" w:pos="360" w:leader="none"/>
        </w:tabs>
        <w:rPr/>
      </w:pPr>
      <w:r>
        <w:rPr>
          <w:rFonts w:cs="Arial Narrow" w:ascii="Arial Narrow" w:hAnsi="Arial Narrow"/>
          <w:bCs/>
          <w:sz w:val="22"/>
          <w:szCs w:val="22"/>
        </w:rPr>
        <w:t>a)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o dlhodobom hmotnom majetku</w:t>
      </w:r>
    </w:p>
    <w:p>
      <w:pPr>
        <w:pStyle w:val="Standard"/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1) Prehľad o pohybe dlhodobého majetku v €</w:t>
      </w:r>
    </w:p>
    <w:p>
      <w:pPr>
        <w:pStyle w:val="Standard"/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2) Prehľad oprávok a opravných položiek  dlhodobého majetku v  €</w:t>
      </w:r>
    </w:p>
    <w:p>
      <w:pPr>
        <w:pStyle w:val="Standard"/>
        <w:tabs>
          <w:tab w:val="clear" w:pos="708"/>
          <w:tab w:val="left" w:pos="1680" w:leader="none"/>
        </w:tabs>
        <w:spacing w:lineRule="auto" w:line="276" w:before="0" w:after="200"/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3) Prehľad o zostatkových hodnotách dlhodobého majetku v  €</w:t>
      </w:r>
    </w:p>
    <w:p>
      <w:pPr>
        <w:pStyle w:val="Nzov"/>
        <w:numPr>
          <w:ilvl w:val="0"/>
          <w:numId w:val="61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tbl>
      <w:tblPr>
        <w:tblW w:w="9213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0" w:type="dxa"/>
        </w:tblCellMar>
        <w:tblLook w:val="0000"/>
      </w:tblPr>
      <w:tblGrid>
        <w:gridCol w:w="1536"/>
        <w:gridCol w:w="1035"/>
        <w:gridCol w:w="846"/>
        <w:gridCol w:w="847"/>
        <w:gridCol w:w="25"/>
        <w:gridCol w:w="856"/>
        <w:gridCol w:w="965"/>
        <w:gridCol w:w="745"/>
        <w:gridCol w:w="690"/>
        <w:gridCol w:w="779"/>
        <w:gridCol w:w="888"/>
      </w:tblGrid>
      <w:tr>
        <w:trPr>
          <w:trHeight w:val="278" w:hRule="atLeast"/>
        </w:trPr>
        <w:tc>
          <w:tcPr>
            <w:tcW w:w="1536" w:type="dxa"/>
            <w:vMerge w:val="restart"/>
            <w:tcBorders>
              <w:top w:val="single" w:sz="6" w:space="0" w:color="000001"/>
              <w:lef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Dlhodobý hmotný majetok</w:t>
            </w:r>
          </w:p>
        </w:tc>
        <w:tc>
          <w:tcPr>
            <w:tcW w:w="7676" w:type="dxa"/>
            <w:gridSpan w:val="10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278" w:hRule="atLeast"/>
        </w:trPr>
        <w:tc>
          <w:tcPr>
            <w:tcW w:w="1536" w:type="dxa"/>
            <w:vMerge w:val="continue"/>
            <w:tcBorders>
              <w:top w:val="single" w:sz="6" w:space="0" w:color="000001"/>
              <w:lef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35" w:type="dxa"/>
            <w:tcBorders>
              <w:lef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6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847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Samos-tatné hnuteľné veci a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881" w:type="dxa"/>
            <w:gridSpan w:val="2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965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45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Os-tatný DHM</w:t>
            </w:r>
          </w:p>
        </w:tc>
        <w:tc>
          <w:tcPr>
            <w:tcW w:w="690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779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Poskyt-nuté pred-davky na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888" w:type="dxa"/>
            <w:tcBorders>
              <w:left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278" w:hRule="atLeast"/>
        </w:trPr>
        <w:tc>
          <w:tcPr>
            <w:tcW w:w="153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5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6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47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881" w:type="dxa"/>
            <w:gridSpan w:val="2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965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45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690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779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888" w:type="dxa"/>
            <w:tcBorders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153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1035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7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1" w:type="dxa"/>
            <w:gridSpan w:val="2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153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2</w:t>
      </w:r>
    </w:p>
    <w:p>
      <w:pPr>
        <w:pStyle w:val="Textbody"/>
        <w:rPr/>
      </w:pPr>
      <w:r>
        <w:rPr/>
      </w:r>
    </w:p>
    <w:p>
      <w:pPr>
        <w:pStyle w:val="ListParagraph"/>
        <w:numPr>
          <w:ilvl w:val="0"/>
          <w:numId w:val="62"/>
        </w:numPr>
        <w:ind w:left="360" w:hanging="360"/>
        <w:rPr>
          <w:b/>
          <w:b/>
          <w:szCs w:val="22"/>
        </w:rPr>
      </w:pPr>
      <w:r>
        <w:rPr>
          <w:b/>
          <w:szCs w:val="22"/>
        </w:rPr>
        <w:t>Informácie k prílohe č. 3 časti F. písm. c) o dlhodobom hmotnom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117"/>
        <w:gridCol w:w="3024"/>
      </w:tblGrid>
      <w:tr>
        <w:trPr/>
        <w:tc>
          <w:tcPr>
            <w:tcW w:w="61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1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Dlhodobý hmotný majetok, na ktorý je zriadené záložné právo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ind w:left="284" w:hanging="45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  <w:r>
        <w:br w:type="page"/>
      </w:r>
    </w:p>
    <w:p>
      <w:pPr>
        <w:pStyle w:val="Textbody"/>
        <w:rPr/>
      </w:pPr>
      <w:r>
        <w:rPr/>
      </w:r>
    </w:p>
    <w:p>
      <w:pPr>
        <w:pStyle w:val="Standard"/>
        <w:ind w:hanging="142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Nzov"/>
        <w:numPr>
          <w:ilvl w:val="0"/>
          <w:numId w:val="63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213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299"/>
        <w:gridCol w:w="1129"/>
        <w:gridCol w:w="1085"/>
        <w:gridCol w:w="45"/>
        <w:gridCol w:w="885"/>
        <w:gridCol w:w="103"/>
        <w:gridCol w:w="849"/>
        <w:gridCol w:w="705"/>
        <w:gridCol w:w="848"/>
        <w:gridCol w:w="660"/>
        <w:gridCol w:w="884"/>
        <w:gridCol w:w="720"/>
      </w:tblGrid>
      <w:tr>
        <w:trPr>
          <w:trHeight w:val="277" w:hRule="atLeast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>
        <w:trPr>
          <w:trHeight w:val="1393" w:hRule="atLeast"/>
        </w:trPr>
        <w:tc>
          <w:tcPr>
            <w:tcW w:w="129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  <w:br/>
              <w:t>v kons. celku</w:t>
            </w:r>
          </w:p>
        </w:tc>
        <w:tc>
          <w:tcPr>
            <w:tcW w:w="7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Ob-stará-vaný</w:t>
              <w:br/>
              <w:t>DFM</w:t>
            </w:r>
          </w:p>
        </w:tc>
        <w:tc>
          <w:tcPr>
            <w:tcW w:w="8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Poskyt-nuté pred-davky na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>
        <w:trPr>
          <w:trHeight w:val="195" w:hRule="atLeast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1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8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g</w:t>
            </w:r>
          </w:p>
        </w:tc>
        <w:tc>
          <w:tcPr>
            <w:tcW w:w="6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h</w:t>
            </w:r>
          </w:p>
        </w:tc>
        <w:tc>
          <w:tcPr>
            <w:tcW w:w="88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Účtovná hodnota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90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  <w:r>
        <w:br w:type="page"/>
      </w:r>
    </w:p>
    <w:p>
      <w:pPr>
        <w:pStyle w:val="Standard"/>
        <w:rPr/>
      </w:pPr>
      <w:r>
        <w:rPr/>
        <w:t>Tabuľka č. 2</w:t>
      </w:r>
    </w:p>
    <w:tbl>
      <w:tblPr>
        <w:tblW w:w="9213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299"/>
        <w:gridCol w:w="1129"/>
        <w:gridCol w:w="1085"/>
        <w:gridCol w:w="45"/>
        <w:gridCol w:w="885"/>
        <w:gridCol w:w="103"/>
        <w:gridCol w:w="849"/>
        <w:gridCol w:w="705"/>
        <w:gridCol w:w="848"/>
        <w:gridCol w:w="660"/>
        <w:gridCol w:w="884"/>
        <w:gridCol w:w="720"/>
      </w:tblGrid>
      <w:tr>
        <w:trPr>
          <w:trHeight w:val="277" w:hRule="atLeast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Bezprostredne predchádzajúce účtovné obdobie</w:t>
            </w:r>
          </w:p>
        </w:tc>
      </w:tr>
      <w:tr>
        <w:trPr>
          <w:trHeight w:val="1393" w:hRule="atLeast"/>
        </w:trPr>
        <w:tc>
          <w:tcPr>
            <w:tcW w:w="129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  <w:br/>
              <w:t>v kons. celku</w:t>
            </w:r>
          </w:p>
        </w:tc>
        <w:tc>
          <w:tcPr>
            <w:tcW w:w="7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Ob-stará-vaný</w:t>
              <w:br/>
              <w:t>DFM</w:t>
            </w:r>
          </w:p>
        </w:tc>
        <w:tc>
          <w:tcPr>
            <w:tcW w:w="8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Poskyt-nuté pred-davky na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>
        <w:trPr>
          <w:trHeight w:val="195" w:hRule="atLeast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1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8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g</w:t>
            </w:r>
          </w:p>
        </w:tc>
        <w:tc>
          <w:tcPr>
            <w:tcW w:w="6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h</w:t>
            </w:r>
          </w:p>
        </w:tc>
        <w:tc>
          <w:tcPr>
            <w:tcW w:w="88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Účtovná hodnota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90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Nzov"/>
        <w:widowControl w:val="false"/>
        <w:numPr>
          <w:ilvl w:val="0"/>
          <w:numId w:val="64"/>
        </w:numPr>
        <w:ind w:left="360" w:hanging="360"/>
        <w:jc w:val="left"/>
        <w:rPr/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>časti F. písm. m) o dlhodobom finančnom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257"/>
        <w:gridCol w:w="2884"/>
      </w:tblGrid>
      <w:tr>
        <w:trPr>
          <w:trHeight w:val="340" w:hRule="atLeast"/>
        </w:trPr>
        <w:tc>
          <w:tcPr>
            <w:tcW w:w="62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>
                <w:color w:val="666666"/>
              </w:rPr>
              <w:t xml:space="preserve">Hodnota </w:t>
            </w:r>
            <w:r>
              <w:rPr>
                <w:bCs w:val="false"/>
                <w:color w:val="666666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5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Dlhodobý finančný majetok, na ktorý je zriadené záložné právo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Nzov"/>
        <w:numPr>
          <w:ilvl w:val="0"/>
          <w:numId w:val="65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907"/>
        <w:gridCol w:w="1116"/>
        <w:gridCol w:w="1686"/>
        <w:gridCol w:w="1441"/>
        <w:gridCol w:w="1655"/>
        <w:gridCol w:w="1336"/>
      </w:tblGrid>
      <w:tr>
        <w:trPr/>
        <w:tc>
          <w:tcPr>
            <w:tcW w:w="190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Obchodné meno a sídlo spoločnosti, v ktorej má ÚJ umiestnený DFM</w:t>
            </w:r>
          </w:p>
        </w:tc>
        <w:tc>
          <w:tcPr>
            <w:tcW w:w="7234" w:type="dxa"/>
            <w:gridSpan w:val="5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>
        <w:trPr>
          <w:trHeight w:val="1394" w:hRule="atLeast"/>
        </w:trPr>
        <w:tc>
          <w:tcPr>
            <w:tcW w:w="1907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 ÚJ na ZI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  %</w:t>
            </w:r>
          </w:p>
        </w:tc>
        <w:tc>
          <w:tcPr>
            <w:tcW w:w="16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 ÚJ na hlasovacích právach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 %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  vlastného imania ÚJ, v ktorej má ÚJ umiestnený DFM</w:t>
            </w:r>
          </w:p>
        </w:tc>
        <w:tc>
          <w:tcPr>
            <w:tcW w:w="165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Výsledok hospodárenia ÚJ, v ktorej má ÚJ umiestnený DFM</w:t>
            </w:r>
          </w:p>
        </w:tc>
        <w:tc>
          <w:tcPr>
            <w:tcW w:w="133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9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1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6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4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6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33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2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Ostatné realizovateľné CP a podiely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DFM spolu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Nzov"/>
        <w:widowControl w:val="false"/>
        <w:numPr>
          <w:ilvl w:val="0"/>
          <w:numId w:val="66"/>
        </w:numPr>
        <w:ind w:left="357" w:hanging="357"/>
        <w:jc w:val="left"/>
        <w:rPr>
          <w:szCs w:val="22"/>
        </w:rPr>
      </w:pPr>
      <w:r>
        <w:rPr>
          <w:szCs w:val="22"/>
        </w:rPr>
        <w:t>Informácie k prílohe č. 3 časti F. písm. j) a l) o dlhových CP držaných do splatnosti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439"/>
        <w:gridCol w:w="725"/>
        <w:gridCol w:w="1266"/>
        <w:gridCol w:w="1123"/>
        <w:gridCol w:w="1127"/>
        <w:gridCol w:w="1406"/>
        <w:gridCol w:w="1055"/>
      </w:tblGrid>
      <w:tr>
        <w:trPr>
          <w:trHeight w:val="644" w:hRule="atLeast"/>
        </w:trPr>
        <w:tc>
          <w:tcPr>
            <w:tcW w:w="243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Dlhové CP</w:t>
              <w:br/>
              <w:t xml:space="preserve"> držané do splatnosti</w:t>
            </w:r>
          </w:p>
        </w:tc>
        <w:tc>
          <w:tcPr>
            <w:tcW w:w="72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Druh CP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na začiatku účtovného obdobia</w:t>
            </w:r>
          </w:p>
        </w:tc>
        <w:tc>
          <w:tcPr>
            <w:tcW w:w="11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4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Vyradenie dlhového CP z účtovníctva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 účtovnom období</w:t>
            </w:r>
          </w:p>
        </w:tc>
        <w:tc>
          <w:tcPr>
            <w:tcW w:w="105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3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7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1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12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4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  <w:tc>
          <w:tcPr>
            <w:tcW w:w="10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3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72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3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 viac ako tri roky a najviac päť rokov vrátane</w:t>
            </w:r>
          </w:p>
        </w:tc>
        <w:tc>
          <w:tcPr>
            <w:tcW w:w="7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3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7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3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7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3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Dlhové CP držané do splatnosti spolu</w:t>
            </w:r>
          </w:p>
        </w:tc>
        <w:tc>
          <w:tcPr>
            <w:tcW w:w="72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spacing w:before="0" w:after="120"/>
        <w:rPr/>
      </w:pPr>
      <w:r>
        <w:rPr/>
      </w:r>
    </w:p>
    <w:p>
      <w:pPr>
        <w:pStyle w:val="Nzov"/>
        <w:widowControl w:val="false"/>
        <w:numPr>
          <w:ilvl w:val="0"/>
          <w:numId w:val="67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9156" w:type="dxa"/>
        <w:jc w:val="left"/>
        <w:tblInd w:w="-71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759"/>
        <w:gridCol w:w="1449"/>
        <w:gridCol w:w="1131"/>
        <w:gridCol w:w="1104"/>
        <w:gridCol w:w="1512"/>
        <w:gridCol w:w="1200"/>
      </w:tblGrid>
      <w:tr>
        <w:trPr>
          <w:trHeight w:val="996" w:hRule="atLeast"/>
        </w:trPr>
        <w:tc>
          <w:tcPr>
            <w:tcW w:w="27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Dlhodobé pôžičky</w:t>
            </w:r>
          </w:p>
        </w:tc>
        <w:tc>
          <w:tcPr>
            <w:tcW w:w="14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</w:t>
              <w:br/>
              <w:t>na začiatku účtovného obdobia</w:t>
            </w:r>
          </w:p>
        </w:tc>
        <w:tc>
          <w:tcPr>
            <w:tcW w:w="113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0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5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Vyradenie pôžičky z účtovníctva v účtovnom období</w:t>
            </w:r>
          </w:p>
        </w:tc>
        <w:tc>
          <w:tcPr>
            <w:tcW w:w="12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4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13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10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5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20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5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144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tri roky a najviac päť rokov vrátane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Dlhodobé pôžičky spolu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40" w:leader="none"/>
        </w:tabs>
        <w:ind w:hanging="142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 xml:space="preserve"> o)</w:t>
        <w:tab/>
      </w:r>
    </w:p>
    <w:p>
      <w:pPr>
        <w:pStyle w:val="Nzov"/>
        <w:numPr>
          <w:ilvl w:val="0"/>
          <w:numId w:val="68"/>
        </w:numPr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330"/>
        <w:gridCol w:w="1396"/>
        <w:gridCol w:w="983"/>
        <w:gridCol w:w="1687"/>
        <w:gridCol w:w="1558"/>
        <w:gridCol w:w="1187"/>
      </w:tblGrid>
      <w:tr>
        <w:trPr/>
        <w:tc>
          <w:tcPr>
            <w:tcW w:w="233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6811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>
        <w:trPr/>
        <w:tc>
          <w:tcPr>
            <w:tcW w:w="2330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 OP na začiatku účtovného obdobia</w:t>
            </w:r>
          </w:p>
        </w:tc>
        <w:tc>
          <w:tcPr>
            <w:tcW w:w="9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Tvorba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OP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6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Zúčtovanie OP z dôvodu zániku opodstatnenosti</w:t>
            </w:r>
          </w:p>
        </w:tc>
        <w:tc>
          <w:tcPr>
            <w:tcW w:w="15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Zúčtovanie OP z dôvodu vyradenia majetku </w:t>
              <w:br/>
              <w:t>z účtovníctva</w:t>
            </w:r>
          </w:p>
        </w:tc>
        <w:tc>
          <w:tcPr>
            <w:tcW w:w="11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3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9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6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55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Materiál</w:t>
            </w:r>
          </w:p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Nedokončená výroba a polotovary vlastnej výroby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Tovar</w:t>
            </w:r>
          </w:p>
        </w:tc>
        <w:tc>
          <w:tcPr>
            <w:tcW w:w="139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Nehnuteľnosť na predaj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Poskytnuté preddavky  na zásoby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Zásoby spolu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440" w:leader="none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40" w:leader="none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Účtovná jednotka k 31.12.</w:t>
      </w:r>
      <w:r>
        <w:rPr>
          <w:rFonts w:cs="Arial Narrow" w:ascii="Arial Narrow" w:hAnsi="Arial Narrow"/>
          <w:sz w:val="22"/>
          <w:szCs w:val="22"/>
        </w:rPr>
        <w:t xml:space="preserve">2022 </w:t>
      </w:r>
      <w:r>
        <w:rPr>
          <w:rFonts w:cs="Arial Narrow" w:ascii="Arial Narrow" w:hAnsi="Arial Narrow"/>
          <w:sz w:val="22"/>
          <w:szCs w:val="22"/>
        </w:rPr>
        <w:t>nevytvárala opravné položky k zásobám.</w:t>
      </w:r>
    </w:p>
    <w:p>
      <w:pPr>
        <w:pStyle w:val="Standard"/>
        <w:tabs>
          <w:tab w:val="clear" w:pos="708"/>
          <w:tab w:val="left" w:pos="440" w:leader="none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rPr/>
      </w:pPr>
      <w:r>
        <w:rPr/>
        <w:t>Tabuľka č. 2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960"/>
        <w:gridCol w:w="2181"/>
      </w:tblGrid>
      <w:tr>
        <w:trPr/>
        <w:tc>
          <w:tcPr>
            <w:tcW w:w="6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Nehnuteľnosť na predaj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</w:t>
            </w:r>
          </w:p>
        </w:tc>
      </w:tr>
      <w:tr>
        <w:trPr>
          <w:trHeight w:val="340" w:hRule="atLeast"/>
        </w:trPr>
        <w:tc>
          <w:tcPr>
            <w:tcW w:w="69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obstarávanie nehnuteľnosti  na predaj za účtovné obdobie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696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obstaranie nehnuteľnosti na predaj od začiatku obstarávania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  <w:r>
        <w:br w:type="page"/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 xml:space="preserve"> p)</w:t>
        <w:tab/>
      </w:r>
    </w:p>
    <w:p>
      <w:pPr>
        <w:pStyle w:val="Nzov"/>
        <w:numPr>
          <w:ilvl w:val="0"/>
          <w:numId w:val="69"/>
        </w:numPr>
        <w:ind w:left="357" w:hanging="357"/>
        <w:jc w:val="both"/>
        <w:rPr>
          <w:szCs w:val="22"/>
        </w:rPr>
      </w:pPr>
      <w:r>
        <w:rPr>
          <w:szCs w:val="22"/>
        </w:rPr>
        <w:t>Informácie k prílohe č. 3  časti F. písm. p) o zásobách, na ktoré je zriadené záložné právo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960"/>
        <w:gridCol w:w="2181"/>
      </w:tblGrid>
      <w:tr>
        <w:trPr/>
        <w:tc>
          <w:tcPr>
            <w:tcW w:w="6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Zásoby, na ktoré je zriadené záložné právo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-15" w:hanging="15"/>
        <w:jc w:val="both"/>
        <w:rPr>
          <w:rFonts w:ascii="Arial Narrow" w:hAnsi="Arial Narrow" w:eastAsia="SimSun" w:cs="Arial Narrow"/>
          <w:color w:val="auto"/>
          <w:kern w:val="2"/>
          <w:sz w:val="22"/>
          <w:szCs w:val="22"/>
          <w:lang w:val="sk-SK" w:eastAsia="zh-CN" w:bidi="hi-IN"/>
        </w:rPr>
      </w:pPr>
      <w:r>
        <w:rPr>
          <w:rFonts w:eastAsia="SimSun" w:cs="Arial Narrow" w:ascii="Arial Narrow" w:hAnsi="Arial Narrow"/>
          <w:color w:val="auto"/>
          <w:kern w:val="2"/>
          <w:sz w:val="22"/>
          <w:szCs w:val="22"/>
          <w:lang w:val="sk-SK" w:eastAsia="zh-CN" w:bidi="hi-IN"/>
        </w:rPr>
        <w:t>Neboli obstarané žiadne zásoby</w:t>
      </w:r>
    </w:p>
    <w:p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50" w:hanging="465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 xml:space="preserve"> q)</w:t>
        <w:tab/>
      </w:r>
    </w:p>
    <w:p>
      <w:pPr>
        <w:pStyle w:val="Nzov"/>
        <w:numPr>
          <w:ilvl w:val="0"/>
          <w:numId w:val="70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189"/>
        <w:gridCol w:w="1680"/>
        <w:gridCol w:w="2135"/>
        <w:gridCol w:w="2175"/>
      </w:tblGrid>
      <w:tr>
        <w:trPr/>
        <w:tc>
          <w:tcPr>
            <w:tcW w:w="318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1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8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1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8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Výnosy zo zákazkovej výroby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zákazkovú výrobu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029"/>
        <w:gridCol w:w="2381"/>
        <w:gridCol w:w="2770"/>
      </w:tblGrid>
      <w:tr>
        <w:trPr/>
        <w:tc>
          <w:tcPr>
            <w:tcW w:w="40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Hodnota zákazkovej výroby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40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7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výrobe</w:t>
            </w: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3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766"/>
        <w:gridCol w:w="1962"/>
        <w:gridCol w:w="1821"/>
        <w:gridCol w:w="2630"/>
      </w:tblGrid>
      <w:tr>
        <w:trPr/>
        <w:tc>
          <w:tcPr>
            <w:tcW w:w="27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96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6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>
        <w:trPr/>
        <w:tc>
          <w:tcPr>
            <w:tcW w:w="276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Výnosy zo zákazkovej výstavby nehnuteľnosti určenej na predaj</w:t>
            </w:r>
          </w:p>
        </w:tc>
        <w:tc>
          <w:tcPr>
            <w:tcW w:w="196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/>
        <w:tc>
          <w:tcPr>
            <w:tcW w:w="276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zákazkovú výstavbu nehnuteľnosti určenej na predaj</w:t>
            </w:r>
          </w:p>
        </w:tc>
        <w:tc>
          <w:tcPr>
            <w:tcW w:w="196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276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96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  <w:r>
        <w:br w:type="page"/>
      </w:r>
    </w:p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4</w:t>
      </w:r>
    </w:p>
    <w:tbl>
      <w:tblPr>
        <w:tblW w:w="9165" w:type="dxa"/>
        <w:jc w:val="left"/>
        <w:tblInd w:w="-112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290"/>
        <w:gridCol w:w="2383"/>
        <w:gridCol w:w="2492"/>
      </w:tblGrid>
      <w:tr>
        <w:trPr/>
        <w:tc>
          <w:tcPr>
            <w:tcW w:w="42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Hodnota zákazkovej výstavby nehnuteľnosti určenej na predaj</w:t>
            </w:r>
          </w:p>
        </w:tc>
        <w:tc>
          <w:tcPr>
            <w:tcW w:w="23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49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49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>
        <w:trPr/>
        <w:tc>
          <w:tcPr>
            <w:tcW w:w="42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výstavbe nehnuteľnosti určenej na predaj</w:t>
            </w:r>
          </w:p>
        </w:tc>
        <w:tc>
          <w:tcPr>
            <w:tcW w:w="238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/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450" w:hanging="46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30" w:hanging="3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Spoločnosť v roku </w:t>
      </w:r>
      <w:r>
        <w:rPr>
          <w:rFonts w:cs="Arial Narrow" w:ascii="Arial Narrow" w:hAnsi="Arial Narrow"/>
          <w:sz w:val="22"/>
          <w:szCs w:val="22"/>
        </w:rPr>
        <w:t>2022</w:t>
      </w:r>
      <w:r>
        <w:rPr>
          <w:rFonts w:cs="Arial Narrow" w:ascii="Arial Narrow" w:hAnsi="Arial Narrow"/>
          <w:sz w:val="22"/>
          <w:szCs w:val="22"/>
        </w:rPr>
        <w:t xml:space="preserve"> nerealizovala zákazkovú výrobu ani zákazkovú  výstavbu nehnuteľnosti určenej na predaj.</w:t>
      </w:r>
    </w:p>
    <w:p>
      <w:pPr>
        <w:pStyle w:val="Standard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r)</w:t>
      </w:r>
    </w:p>
    <w:p>
      <w:pPr>
        <w:pStyle w:val="Nzov"/>
        <w:numPr>
          <w:ilvl w:val="0"/>
          <w:numId w:val="71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r) o vývoji opravnej položky k pohľadávkam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036"/>
        <w:gridCol w:w="1267"/>
        <w:gridCol w:w="1211"/>
        <w:gridCol w:w="1678"/>
        <w:gridCol w:w="1650"/>
        <w:gridCol w:w="1299"/>
      </w:tblGrid>
      <w:tr>
        <w:trPr/>
        <w:tc>
          <w:tcPr>
            <w:tcW w:w="2036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105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36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6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3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6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1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5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3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26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DÚJ a MÚJ</w:t>
            </w:r>
          </w:p>
        </w:tc>
        <w:tc>
          <w:tcPr>
            <w:tcW w:w="1267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kons. celku</w:t>
            </w:r>
          </w:p>
        </w:tc>
        <w:tc>
          <w:tcPr>
            <w:tcW w:w="1267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26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203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267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03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Pohľadávky spolu</w:t>
            </w:r>
          </w:p>
        </w:tc>
        <w:tc>
          <w:tcPr>
            <w:tcW w:w="126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zov"/>
        <w:widowControl w:val="false"/>
        <w:jc w:val="left"/>
        <w:rPr>
          <w:szCs w:val="22"/>
        </w:rPr>
      </w:pPr>
      <w:r>
        <w:rPr>
          <w:szCs w:val="22"/>
        </w:rPr>
      </w:r>
    </w:p>
    <w:p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rPr>
          <w:rFonts w:ascii="Arial Narrow" w:hAnsi="Arial Narrow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s) Veková štruktúra pohľadávok rok 202</w:t>
      </w:r>
      <w:r>
        <w:rPr>
          <w:rFonts w:ascii="Arial Narrow" w:hAnsi="Arial Narrow"/>
          <w:szCs w:val="22"/>
        </w:rPr>
        <w:t>2</w:t>
      </w:r>
    </w:p>
    <w:p>
      <w:pPr>
        <w:pStyle w:val="Standard"/>
        <w:rPr/>
      </w:pPr>
      <w:r>
        <w:rPr/>
      </w:r>
    </w:p>
    <w:p>
      <w:pPr>
        <w:pStyle w:val="Nzov"/>
        <w:widowControl w:val="false"/>
        <w:numPr>
          <w:ilvl w:val="0"/>
          <w:numId w:val="72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F. písm. s) o vekovej štruktúre pohľadávok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468"/>
        <w:gridCol w:w="1961"/>
        <w:gridCol w:w="1821"/>
        <w:gridCol w:w="1929"/>
      </w:tblGrid>
      <w:tr>
        <w:trPr/>
        <w:tc>
          <w:tcPr>
            <w:tcW w:w="34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179" w:type="dxa"/>
            <w:gridSpan w:val="4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Dlhodobé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9179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Sociálne poistenie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Daňové pohľadávky a dotácie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Krátkodobé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jc w:val="both"/>
        <w:rPr/>
      </w:pPr>
      <w:r>
        <w:rPr/>
      </w:r>
    </w:p>
    <w:p>
      <w:pPr>
        <w:pStyle w:val="Nzov"/>
        <w:numPr>
          <w:ilvl w:val="0"/>
          <w:numId w:val="73"/>
        </w:numPr>
        <w:ind w:left="360" w:hanging="360"/>
        <w:jc w:val="both"/>
        <w:rPr>
          <w:i/>
          <w:i/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</w:t>
      </w:r>
      <w:r>
        <w:rPr>
          <w:i/>
          <w:szCs w:val="22"/>
        </w:rPr>
        <w:t>formou zabezpečenia </w:t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Pohľadávky, zabezpečené záložným právom alebo inou formou zabezpečenia v roku 202</w:t>
      </w:r>
      <w:r>
        <w:rPr>
          <w:rFonts w:cs="Arial Narrow" w:ascii="Arial Narrow" w:hAnsi="Arial Narrow"/>
          <w:b/>
          <w:bCs/>
          <w:sz w:val="22"/>
          <w:szCs w:val="22"/>
        </w:rPr>
        <w:t>2</w:t>
      </w:r>
    </w:p>
    <w:p>
      <w:pPr>
        <w:pStyle w:val="Standard"/>
        <w:ind w:left="220" w:hanging="22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709"/>
        <w:gridCol w:w="2250"/>
        <w:gridCol w:w="2183"/>
      </w:tblGrid>
      <w:tr>
        <w:trPr/>
        <w:tc>
          <w:tcPr>
            <w:tcW w:w="470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Opis predmetu záložného práva</w:t>
            </w:r>
          </w:p>
        </w:tc>
        <w:tc>
          <w:tcPr>
            <w:tcW w:w="4433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>
        <w:trPr/>
        <w:tc>
          <w:tcPr>
            <w:tcW w:w="470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Hodnota predmetu záložného práva</w:t>
            </w:r>
          </w:p>
        </w:tc>
        <w:tc>
          <w:tcPr>
            <w:tcW w:w="21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0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218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470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25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-</w:t>
            </w:r>
          </w:p>
        </w:tc>
      </w:tr>
    </w:tbl>
    <w:p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  <w:r>
        <w:br w:type="page"/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Pohľadávky, zabezpečené záložným právom alebo inou formou zabezpečenia v roku 202</w:t>
      </w:r>
      <w:r>
        <w:rPr>
          <w:rFonts w:cs="Arial Narrow" w:ascii="Arial Narrow" w:hAnsi="Arial Narrow"/>
          <w:sz w:val="22"/>
          <w:szCs w:val="22"/>
        </w:rPr>
        <w:t>2</w:t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709"/>
        <w:gridCol w:w="2250"/>
        <w:gridCol w:w="2183"/>
      </w:tblGrid>
      <w:tr>
        <w:trPr/>
        <w:tc>
          <w:tcPr>
            <w:tcW w:w="470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433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470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0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kryté záložným právom alebo inou formou zabezpečenia</w:t>
            </w: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8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470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Hodnota pohľadávok, na ktoré sa zriadilo záložné právo</w:t>
            </w:r>
          </w:p>
        </w:tc>
        <w:tc>
          <w:tcPr>
            <w:tcW w:w="225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600" w:hanging="63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zov"/>
        <w:numPr>
          <w:ilvl w:val="0"/>
          <w:numId w:val="74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w) o krátkodobom finančnom majetku</w:t>
      </w:r>
    </w:p>
    <w:p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188"/>
        <w:gridCol w:w="2614"/>
        <w:gridCol w:w="2378"/>
      </w:tblGrid>
      <w:tr>
        <w:trPr/>
        <w:tc>
          <w:tcPr>
            <w:tcW w:w="41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8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Pokladnica, ceniny</w:t>
            </w:r>
          </w:p>
        </w:tc>
        <w:tc>
          <w:tcPr>
            <w:tcW w:w="261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37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526" w:hRule="exact"/>
        </w:trPr>
        <w:tc>
          <w:tcPr>
            <w:tcW w:w="418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Bežné účty v banke alebo v pobočke zahraničnej banky</w:t>
            </w:r>
          </w:p>
        </w:tc>
        <w:tc>
          <w:tcPr>
            <w:tcW w:w="261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  <w:t>0</w:t>
            </w:r>
          </w:p>
        </w:tc>
      </w:tr>
      <w:tr>
        <w:trPr>
          <w:trHeight w:val="576" w:hRule="exact"/>
        </w:trPr>
        <w:tc>
          <w:tcPr>
            <w:tcW w:w="418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Vkladové účty v banke alebo v pobočke zahraničnej banky termínované</w:t>
            </w:r>
          </w:p>
        </w:tc>
        <w:tc>
          <w:tcPr>
            <w:tcW w:w="261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8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Peniaze na ceste</w:t>
            </w:r>
          </w:p>
        </w:tc>
        <w:tc>
          <w:tcPr>
            <w:tcW w:w="261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</w:tr>
      <w:tr>
        <w:trPr>
          <w:trHeight w:val="397" w:hRule="exact"/>
        </w:trPr>
        <w:tc>
          <w:tcPr>
            <w:tcW w:w="418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61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</w:tr>
    </w:tbl>
    <w:p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Tabuľka č. 2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803"/>
        <w:gridCol w:w="1454"/>
        <w:gridCol w:w="1152"/>
        <w:gridCol w:w="930"/>
        <w:gridCol w:w="1204"/>
        <w:gridCol w:w="1598"/>
      </w:tblGrid>
      <w:tr>
        <w:trPr/>
        <w:tc>
          <w:tcPr>
            <w:tcW w:w="2803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Krátkodobý finančný majetok</w:t>
            </w:r>
          </w:p>
        </w:tc>
        <w:tc>
          <w:tcPr>
            <w:tcW w:w="6338" w:type="dxa"/>
            <w:gridSpan w:val="5"/>
            <w:tcBorders>
              <w:top w:val="single" w:sz="12" w:space="0" w:color="000001"/>
              <w:left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Bežné účtovné obdobie</w:t>
            </w:r>
          </w:p>
        </w:tc>
      </w:tr>
      <w:tr>
        <w:trPr/>
        <w:tc>
          <w:tcPr>
            <w:tcW w:w="2803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5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Stav</w:t>
              <w:br/>
              <w:t> na začiatku účtovného obdobia</w:t>
            </w:r>
          </w:p>
        </w:tc>
        <w:tc>
          <w:tcPr>
            <w:tcW w:w="11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Prírastky</w:t>
            </w:r>
          </w:p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Úbytky</w:t>
            </w:r>
          </w:p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0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Presuny</w:t>
            </w:r>
          </w:p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80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a</w:t>
            </w:r>
          </w:p>
        </w:tc>
        <w:tc>
          <w:tcPr>
            <w:tcW w:w="145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b</w:t>
            </w:r>
          </w:p>
        </w:tc>
        <w:tc>
          <w:tcPr>
            <w:tcW w:w="11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c</w:t>
            </w:r>
          </w:p>
        </w:tc>
        <w:tc>
          <w:tcPr>
            <w:tcW w:w="9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d</w:t>
            </w:r>
          </w:p>
        </w:tc>
        <w:tc>
          <w:tcPr>
            <w:tcW w:w="120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e</w:t>
            </w:r>
          </w:p>
        </w:tc>
        <w:tc>
          <w:tcPr>
            <w:tcW w:w="15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80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45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80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45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2803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Emisné kvóty</w:t>
            </w:r>
          </w:p>
        </w:tc>
        <w:tc>
          <w:tcPr>
            <w:tcW w:w="145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803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Dlhové CP so splatnosťou do  jedného roka držané</w:t>
            </w:r>
            <w:r>
              <w:rPr>
                <w:color w:val="000000"/>
              </w:rPr>
              <w:br/>
            </w: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do splatnosti</w:t>
            </w:r>
          </w:p>
        </w:tc>
        <w:tc>
          <w:tcPr>
            <w:tcW w:w="145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280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5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80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5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80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000000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5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lang w:eastAsia="sk-SK"/>
        </w:rPr>
      </w:r>
    </w:p>
    <w:p>
      <w:pPr>
        <w:pStyle w:val="Textbody"/>
        <w:widowControl w:val="false"/>
        <w:jc w:val="left"/>
        <w:rPr/>
      </w:pPr>
      <w:r>
        <w:rPr>
          <w:rFonts w:cs="Arial Narrow" w:ascii="Arial Narrow" w:hAnsi="Arial Narrow"/>
          <w:i/>
          <w:sz w:val="22"/>
          <w:szCs w:val="22"/>
          <w:lang w:eastAsia="sk-SK"/>
        </w:rPr>
        <w:t xml:space="preserve">F .) </w:t>
      </w:r>
      <w:r>
        <w:rPr>
          <w:b w:val="false"/>
          <w:bCs w:val="false"/>
          <w:szCs w:val="22"/>
          <w:lang w:eastAsia="sk-SK"/>
        </w:rPr>
        <w:t>x)</w:t>
      </w:r>
    </w:p>
    <w:p>
      <w:pPr>
        <w:pStyle w:val="Nzov"/>
        <w:widowControl w:val="false"/>
        <w:numPr>
          <w:ilvl w:val="0"/>
          <w:numId w:val="75"/>
        </w:numPr>
        <w:ind w:left="360" w:hanging="360"/>
        <w:jc w:val="both"/>
        <w:rPr/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721"/>
        <w:gridCol w:w="1426"/>
        <w:gridCol w:w="985"/>
        <w:gridCol w:w="1407"/>
        <w:gridCol w:w="1406"/>
        <w:gridCol w:w="1196"/>
      </w:tblGrid>
      <w:tr>
        <w:trPr/>
        <w:tc>
          <w:tcPr>
            <w:tcW w:w="27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Krátkodobý finančný majetok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OP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na začiatku účtovného obdobia</w:t>
            </w:r>
          </w:p>
        </w:tc>
        <w:tc>
          <w:tcPr>
            <w:tcW w:w="9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Tvorba </w:t>
              <w:br/>
              <w:t>OP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4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Zúčtovanie OP z dôvodu zániku opodstatne-nosti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4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Zúčtovanie OP z dôvodu vyradenia majetku z účtovníctva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1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 OP na konci účtovného obdobia</w:t>
            </w:r>
          </w:p>
        </w:tc>
      </w:tr>
      <w:tr>
        <w:trPr/>
        <w:tc>
          <w:tcPr>
            <w:tcW w:w="27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9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4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4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1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2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5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6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6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6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6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6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6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4"/>
        <w:rPr/>
      </w:pPr>
      <w:r>
        <w:rPr>
          <w:rFonts w:cs="Arial Narrow"/>
          <w:i/>
          <w:sz w:val="22"/>
          <w:szCs w:val="22"/>
        </w:rPr>
        <w:t xml:space="preserve">F .) </w:t>
      </w:r>
      <w:r>
        <w:rPr>
          <w:b w:val="false"/>
          <w:bCs w:val="false"/>
          <w:sz w:val="22"/>
          <w:szCs w:val="22"/>
        </w:rPr>
        <w:t>y)</w:t>
      </w:r>
    </w:p>
    <w:p>
      <w:pPr>
        <w:pStyle w:val="Nzov"/>
        <w:numPr>
          <w:ilvl w:val="0"/>
          <w:numId w:val="76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 časti F. písm. y) o krátkodobom finančnom majetku, na ktorý bolo zriadené záložné právo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819"/>
        <w:gridCol w:w="2322"/>
      </w:tblGrid>
      <w:tr>
        <w:trPr>
          <w:trHeight w:val="397" w:hRule="atLeast"/>
        </w:trPr>
        <w:tc>
          <w:tcPr>
            <w:tcW w:w="68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81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Krátkodobý  finančný majetok, na ktorý bolo zriadené záložné právo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52" w:leader="none"/>
        </w:tabs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26" w:leader="none"/>
        </w:tabs>
        <w:ind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>z)    a.)</w:t>
      </w:r>
    </w:p>
    <w:p>
      <w:pPr>
        <w:pStyle w:val="Nzov"/>
        <w:numPr>
          <w:ilvl w:val="0"/>
          <w:numId w:val="77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358"/>
        <w:gridCol w:w="1791"/>
        <w:gridCol w:w="2240"/>
        <w:gridCol w:w="1790"/>
      </w:tblGrid>
      <w:tr>
        <w:trPr/>
        <w:tc>
          <w:tcPr>
            <w:tcW w:w="33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Krátkodobý finančný  majetok</w:t>
            </w:r>
          </w:p>
        </w:tc>
        <w:tc>
          <w:tcPr>
            <w:tcW w:w="179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Zvýšenie/ zníženie hodnoty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(+/-)</w:t>
            </w:r>
          </w:p>
        </w:tc>
        <w:tc>
          <w:tcPr>
            <w:tcW w:w="224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Vplyv ocenenia</w:t>
              <w:br/>
              <w:t>na výsledok hospodá-renia bežného účtovného obdobia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Vplyv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ocenenia</w:t>
              <w:br/>
              <w:t>na vlastné imanie</w:t>
            </w:r>
          </w:p>
        </w:tc>
      </w:tr>
      <w:tr>
        <w:trPr/>
        <w:tc>
          <w:tcPr>
            <w:tcW w:w="335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79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224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7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79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7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Emisné kvóty (komodity)</w:t>
            </w:r>
          </w:p>
        </w:tc>
        <w:tc>
          <w:tcPr>
            <w:tcW w:w="17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79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335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7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24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highlight w:val="yellow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1125" w:hanging="117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  <w:highlight w:val="yellow"/>
        </w:rPr>
      </w:pPr>
      <w:r>
        <w:rPr>
          <w:rFonts w:cs="Arial Narrow" w:ascii="Arial Narrow" w:hAnsi="Arial Narrow"/>
          <w:b/>
          <w:bCs/>
          <w:i/>
          <w:sz w:val="22"/>
          <w:szCs w:val="22"/>
          <w:highlight w:val="yellow"/>
        </w:rPr>
      </w:r>
    </w:p>
    <w:p>
      <w:pPr>
        <w:pStyle w:val="Standard"/>
        <w:tabs>
          <w:tab w:val="clear" w:pos="708"/>
          <w:tab w:val="left" w:pos="1572" w:leader="none"/>
        </w:tabs>
        <w:ind w:left="786" w:hanging="360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ind w:left="1125" w:hanging="117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/>
      </w:pPr>
      <w:r>
        <w:rPr>
          <w:rFonts w:eastAsia="Arial Narrow" w:cs="Arial Narrow" w:ascii="Arial Narrow" w:hAnsi="Arial Narrow"/>
          <w:b/>
          <w:bCs/>
          <w:i/>
          <w:sz w:val="22"/>
          <w:szCs w:val="22"/>
        </w:rPr>
        <w:t xml:space="preserve">F .) </w:t>
      </w:r>
    </w:p>
    <w:p>
      <w:pPr>
        <w:pStyle w:val="Nzov"/>
        <w:numPr>
          <w:ilvl w:val="0"/>
          <w:numId w:val="78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zd) o majetku prenajatom formou finančného prenájmu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513"/>
        <w:gridCol w:w="1269"/>
        <w:gridCol w:w="1687"/>
        <w:gridCol w:w="1061"/>
        <w:gridCol w:w="1191"/>
        <w:gridCol w:w="1551"/>
        <w:gridCol w:w="907"/>
      </w:tblGrid>
      <w:tr>
        <w:trPr>
          <w:trHeight w:val="660" w:hRule="atLeast"/>
        </w:trPr>
        <w:tc>
          <w:tcPr>
            <w:tcW w:w="1513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</w:t>
              <w:br/>
              <w:t>položky</w:t>
            </w:r>
          </w:p>
        </w:tc>
        <w:tc>
          <w:tcPr>
            <w:tcW w:w="4017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  <w:tc>
          <w:tcPr>
            <w:tcW w:w="3649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13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17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  <w:tc>
          <w:tcPr>
            <w:tcW w:w="3649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</w:tr>
      <w:tr>
        <w:trPr>
          <w:trHeight w:val="345" w:hRule="atLeast"/>
        </w:trPr>
        <w:tc>
          <w:tcPr>
            <w:tcW w:w="1513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6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6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10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  <w:tc>
          <w:tcPr>
            <w:tcW w:w="119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55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9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</w:tr>
      <w:tr>
        <w:trPr>
          <w:trHeight w:val="74" w:hRule="atLeast"/>
        </w:trPr>
        <w:tc>
          <w:tcPr>
            <w:tcW w:w="1513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69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6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9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5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9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51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6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61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1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0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151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Finančný výnos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61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1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07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151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7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61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91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51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07" w:type="dxa"/>
            <w:tcBorders>
              <w:top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567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jc w:val="both"/>
        <w:rPr/>
      </w:pPr>
      <w:r>
        <w:rPr>
          <w:rFonts w:cs="Arial Narrow" w:ascii="Arial Narrow" w:hAnsi="Arial Narrow"/>
          <w:sz w:val="22"/>
          <w:szCs w:val="22"/>
        </w:rPr>
        <w:t>Účtovná jednotka v roku 20</w:t>
      </w:r>
      <w:r>
        <w:rPr>
          <w:rFonts w:cs="Arial Narrow" w:ascii="Arial Narrow" w:hAnsi="Arial Narrow"/>
          <w:sz w:val="22"/>
          <w:szCs w:val="22"/>
        </w:rPr>
        <w:t>22</w:t>
      </w:r>
      <w:r>
        <w:rPr>
          <w:rFonts w:cs="Arial Narrow" w:ascii="Arial Narrow" w:hAnsi="Arial Narrow"/>
          <w:sz w:val="22"/>
          <w:szCs w:val="22"/>
        </w:rPr>
        <w:t xml:space="preserve"> neevidovala majetok daný do prenájmu</w:t>
      </w:r>
    </w:p>
    <w:p>
      <w:pPr>
        <w:pStyle w:val="Standard"/>
        <w:tabs>
          <w:tab w:val="clear" w:pos="708"/>
          <w:tab w:val="left" w:pos="870" w:leader="none"/>
        </w:tabs>
        <w:ind w:left="435" w:hanging="43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870" w:leader="none"/>
        </w:tabs>
        <w:ind w:left="435" w:hanging="43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  <w:t>G.)   Údaje vykázané na strane pasív súvahy</w:t>
      </w:r>
    </w:p>
    <w:p>
      <w:pPr>
        <w:pStyle w:val="Standard"/>
        <w:numPr>
          <w:ilvl w:val="0"/>
          <w:numId w:val="79"/>
        </w:numPr>
        <w:tabs>
          <w:tab w:val="clear" w:pos="708"/>
          <w:tab w:val="left" w:pos="720" w:leader="none"/>
        </w:tabs>
        <w:ind w:left="360" w:hanging="360"/>
        <w:jc w:val="both"/>
        <w:rPr>
          <w:rFonts w:ascii="Arial Narrow" w:hAnsi="Arial Narrow" w:cs="Arial Narrow"/>
          <w:bCs/>
        </w:rPr>
      </w:pPr>
      <w:r>
        <w:rPr>
          <w:rFonts w:cs="Arial Narrow" w:ascii="Arial Narrow" w:hAnsi="Arial Narrow"/>
          <w:bCs/>
        </w:rPr>
        <w:t>Vlastné imanie</w:t>
      </w:r>
    </w:p>
    <w:p>
      <w:pPr>
        <w:pStyle w:val="Standard"/>
        <w:tabs>
          <w:tab w:val="clear" w:pos="708"/>
          <w:tab w:val="left" w:pos="1572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Stav základného imania k 31.12.202</w:t>
      </w:r>
      <w:r>
        <w:rPr>
          <w:rFonts w:cs="Arial Narrow" w:ascii="Arial Narrow" w:hAnsi="Arial Narrow"/>
          <w:sz w:val="22"/>
          <w:szCs w:val="22"/>
        </w:rPr>
        <w:t>2</w:t>
      </w:r>
      <w:r>
        <w:rPr>
          <w:rFonts w:cs="Arial Narrow" w:ascii="Arial Narrow" w:hAnsi="Arial Narrow"/>
          <w:sz w:val="22"/>
          <w:szCs w:val="22"/>
        </w:rPr>
        <w:t xml:space="preserve">  tvoril 5000,- € </w:t>
      </w:r>
      <w:r>
        <w:br w:type="page"/>
      </w:r>
    </w:p>
    <w:p>
      <w:pPr>
        <w:pStyle w:val="Standard"/>
        <w:tabs>
          <w:tab w:val="clear" w:pos="708"/>
          <w:tab w:val="left" w:pos="1572" w:leader="none"/>
        </w:tabs>
        <w:ind w:left="786" w:hanging="76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1572" w:leader="none"/>
        </w:tabs>
        <w:ind w:left="786" w:hanging="76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1572" w:leader="none"/>
        </w:tabs>
        <w:ind w:left="786" w:hanging="765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>a) 3.</w:t>
      </w:r>
    </w:p>
    <w:p>
      <w:pPr>
        <w:pStyle w:val="Nzov"/>
        <w:numPr>
          <w:ilvl w:val="0"/>
          <w:numId w:val="80"/>
        </w:numPr>
        <w:ind w:left="360" w:hanging="360"/>
        <w:jc w:val="both"/>
        <w:rPr>
          <w:szCs w:val="22"/>
        </w:rPr>
      </w:pPr>
      <w:r>
        <w:rPr>
          <w:szCs w:val="22"/>
        </w:rPr>
        <w:t>Informácie k prílohe č. 3 časti G. písm. a) tretiemu bodu o rozdelení účtovného zisku alebo o vysporiadaní účtovnej straty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691"/>
        <w:gridCol w:w="2488"/>
      </w:tblGrid>
      <w:tr>
        <w:trPr>
          <w:trHeight w:val="765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Účtovný zisk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30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Rozdelenie účtovného zisku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do zákonného rezervného fondu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do štatutárnych a ostatných fondov</w:t>
            </w:r>
          </w:p>
        </w:tc>
        <w:tc>
          <w:tcPr>
            <w:tcW w:w="2488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do sociálneho fondu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na zvýšenie základného imania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Úhrada straty minulých období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Prevod do nerozdeleného zisku minulých rokov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Rozdelenie podielu na zisku spoločníkom, členom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691"/>
        <w:gridCol w:w="2488"/>
      </w:tblGrid>
      <w:tr>
        <w:trPr>
          <w:trHeight w:val="330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Názov položky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Účtovná strata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-14134</w:t>
            </w:r>
          </w:p>
        </w:tc>
      </w:tr>
      <w:tr>
        <w:trPr>
          <w:trHeight w:val="425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Vysporiadanie účtovnej straty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 zákonného rezervného fondu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 štatutárnych a ostatných fondov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 nerozdeleného zisku minulých rokov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Úhrada straty spoločníkmi, členmi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Prevod na účet neuhradenej straty minulých rokov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-25104</w:t>
            </w:r>
          </w:p>
        </w:tc>
      </w:tr>
    </w:tbl>
    <w:p>
      <w:pPr>
        <w:pStyle w:val="Standard"/>
        <w:tabs>
          <w:tab w:val="clear" w:pos="708"/>
          <w:tab w:val="left" w:pos="725" w:leader="none"/>
          <w:tab w:val="left" w:pos="1335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/>
      </w:pPr>
      <w:r>
        <w:rPr/>
      </w:r>
    </w:p>
    <w:p>
      <w:pPr>
        <w:pStyle w:val="Standard"/>
        <w:jc w:val="both"/>
        <w:rPr/>
      </w:pPr>
      <w:r>
        <w:rPr>
          <w:rFonts w:eastAsia="Arial Narrow" w:cs="Arial Narrow" w:ascii="Arial Narrow" w:hAnsi="Arial Narrow"/>
          <w:b/>
          <w:bCs/>
          <w:i/>
          <w:sz w:val="22"/>
          <w:szCs w:val="22"/>
        </w:rPr>
        <w:t xml:space="preserve">G .) </w:t>
      </w:r>
      <w:r>
        <w:rPr>
          <w:rFonts w:eastAsia="Arial Narrow" w:cs="Arial Narrow" w:ascii="Arial Narrow" w:hAnsi="Arial Narrow"/>
          <w:i/>
          <w:sz w:val="22"/>
          <w:szCs w:val="22"/>
        </w:rPr>
        <w:t>b</w:t>
      </w:r>
      <w:r>
        <w:rPr>
          <w:rFonts w:eastAsia="Arial Narrow" w:cs="Arial Narrow" w:ascii="Arial Narrow" w:hAnsi="Arial Narrow"/>
          <w:sz w:val="22"/>
          <w:szCs w:val="22"/>
        </w:rPr>
        <w:t xml:space="preserve">)  </w:t>
      </w:r>
    </w:p>
    <w:p>
      <w:pPr>
        <w:pStyle w:val="Nzov"/>
        <w:numPr>
          <w:ilvl w:val="0"/>
          <w:numId w:val="81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52" w:type="dxa"/>
        <w:jc w:val="left"/>
        <w:tblInd w:w="-97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460"/>
        <w:gridCol w:w="1934"/>
        <w:gridCol w:w="1005"/>
        <w:gridCol w:w="1126"/>
        <w:gridCol w:w="1109"/>
        <w:gridCol w:w="1517"/>
      </w:tblGrid>
      <w:tr>
        <w:trPr>
          <w:trHeight w:val="330" w:hRule="atLeast"/>
        </w:trPr>
        <w:tc>
          <w:tcPr>
            <w:tcW w:w="246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91" w:type="dxa"/>
            <w:gridSpan w:val="5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60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10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5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0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1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Dlhodobé rezervy, z toho: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obch. a ekon. riziká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Dlhodobé rezervy spolu</w:t>
            </w:r>
          </w:p>
        </w:tc>
        <w:tc>
          <w:tcPr>
            <w:tcW w:w="1934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1"/>
              <w:bottom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8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rezervy, z toho: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Nevyčerpané dovolenky vrátane sociálneho poistenia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obchodné a ekonomické riziká</w:t>
            </w:r>
          </w:p>
        </w:tc>
        <w:tc>
          <w:tcPr>
            <w:tcW w:w="19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poradenstvo pre  AUDIT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</w:tbl>
    <w:p>
      <w:pPr>
        <w:pStyle w:val="Standard"/>
        <w:spacing w:before="120" w:after="0"/>
        <w:rPr/>
      </w:pPr>
      <w:r>
        <w:rPr/>
      </w:r>
    </w:p>
    <w:p>
      <w:pPr>
        <w:pStyle w:val="Standard"/>
        <w:spacing w:before="120" w:after="0"/>
        <w:rPr/>
      </w:pPr>
      <w:r>
        <w:rPr/>
      </w:r>
    </w:p>
    <w:p>
      <w:pPr>
        <w:pStyle w:val="Standard"/>
        <w:ind w:left="1125" w:hanging="117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</w:t>
      </w:r>
      <w:r>
        <w:rPr>
          <w:rFonts w:cs="Arial Narrow" w:ascii="Arial Narrow" w:hAnsi="Arial Narrow"/>
          <w:i/>
          <w:sz w:val="22"/>
          <w:szCs w:val="22"/>
        </w:rPr>
        <w:t>c-d</w:t>
      </w:r>
      <w:r>
        <w:rPr>
          <w:rFonts w:cs="Arial Narrow" w:ascii="Arial Narrow" w:hAnsi="Arial Narrow"/>
          <w:sz w:val="22"/>
          <w:szCs w:val="22"/>
        </w:rPr>
        <w:t>)</w:t>
      </w:r>
    </w:p>
    <w:p>
      <w:pPr>
        <w:pStyle w:val="Nzov"/>
        <w:numPr>
          <w:ilvl w:val="0"/>
          <w:numId w:val="82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709"/>
        <w:gridCol w:w="2887"/>
        <w:gridCol w:w="2584"/>
      </w:tblGrid>
      <w:tr>
        <w:trPr>
          <w:trHeight w:val="920" w:hRule="atLeast"/>
        </w:trPr>
        <w:tc>
          <w:tcPr>
            <w:tcW w:w="370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0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Dlhodobé záväzky spolu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584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3709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so zostatkovou dobou splatnosti nad päť rokov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584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3709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so zostatkovou dobou splatnosti jeden rok až päť rokov</w:t>
            </w:r>
          </w:p>
        </w:tc>
        <w:tc>
          <w:tcPr>
            <w:tcW w:w="288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584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70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záväzky spolu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584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3709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so zostatkovou dobou splatnosti do jedného roka vrátane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584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709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po lehote splatnosti</w:t>
            </w:r>
          </w:p>
        </w:tc>
        <w:tc>
          <w:tcPr>
            <w:tcW w:w="288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584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extbody"/>
        <w:rPr/>
      </w:pPr>
      <w:r>
        <w:rPr/>
      </w:r>
    </w:p>
    <w:tbl>
      <w:tblPr>
        <w:tblW w:w="2219" w:type="dxa"/>
        <w:jc w:val="left"/>
        <w:tblInd w:w="12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219"/>
      </w:tblGrid>
      <w:tr>
        <w:trPr>
          <w:trHeight w:val="345" w:hRule="atLeast"/>
        </w:trPr>
        <w:tc>
          <w:tcPr>
            <w:tcW w:w="2219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Textbody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</w:r>
    </w:p>
    <w:p>
      <w:pPr>
        <w:pStyle w:val="Nzov"/>
        <w:widowControl w:val="false"/>
        <w:numPr>
          <w:ilvl w:val="0"/>
          <w:numId w:val="83"/>
        </w:numPr>
        <w:ind w:left="360" w:hanging="36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925"/>
        <w:gridCol w:w="2184"/>
        <w:gridCol w:w="2071"/>
      </w:tblGrid>
      <w:tr>
        <w:trPr>
          <w:trHeight w:val="990" w:hRule="atLeast"/>
        </w:trPr>
        <w:tc>
          <w:tcPr>
            <w:tcW w:w="492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8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7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2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Dočasné rozdiely medzi účtovnou hodnotou majetku a daňovou základňou, z toho:</w:t>
            </w:r>
          </w:p>
        </w:tc>
        <w:tc>
          <w:tcPr>
            <w:tcW w:w="218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720" w:hanging="0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1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4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1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1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63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Dočasné rozdiely medzi účtovnou hodnotou záväzkov a daňovou základňou, z toho:</w:t>
            </w:r>
          </w:p>
        </w:tc>
        <w:tc>
          <w:tcPr>
            <w:tcW w:w="218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1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4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1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1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3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Možnosť umorovať daňovú stratu v budúcnosti</w:t>
            </w:r>
          </w:p>
        </w:tc>
        <w:tc>
          <w:tcPr>
            <w:tcW w:w="218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1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Možnosť previesť nevyužité daňové odpočty</w:t>
            </w:r>
          </w:p>
        </w:tc>
        <w:tc>
          <w:tcPr>
            <w:tcW w:w="2184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1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Sadzba dane z príjmov ( v %)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1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Odložená daňová pohľadávka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1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Uplatnená daňová pohľadávka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1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1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Odložený daňový záväzok</w:t>
            </w:r>
          </w:p>
        </w:tc>
        <w:tc>
          <w:tcPr>
            <w:tcW w:w="218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1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Zmena odloženého daňového záväzku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1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1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071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071" w:type="dxa"/>
            <w:tcBorders>
              <w:top w:val="single" w:sz="4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  <w:r>
        <w:rPr>
          <w:rFonts w:eastAsia="Arial Narrow"/>
          <w:sz w:val="22"/>
          <w:szCs w:val="22"/>
        </w:rPr>
      </w:r>
    </w:p>
    <w:p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  <w:r>
        <w:rPr>
          <w:rFonts w:eastAsia="Arial Narrow"/>
          <w:sz w:val="22"/>
          <w:szCs w:val="22"/>
        </w:rPr>
      </w:r>
    </w:p>
    <w:p>
      <w:pPr>
        <w:pStyle w:val="Standard"/>
        <w:ind w:left="1125" w:hanging="117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>g</w:t>
      </w:r>
      <w:r>
        <w:rPr>
          <w:rFonts w:cs="Arial Narrow" w:ascii="Arial Narrow" w:hAnsi="Arial Narrow"/>
          <w:sz w:val="22"/>
          <w:szCs w:val="22"/>
        </w:rPr>
        <w:t>)</w:t>
      </w:r>
    </w:p>
    <w:p>
      <w:pPr>
        <w:pStyle w:val="Nzov"/>
        <w:numPr>
          <w:ilvl w:val="0"/>
          <w:numId w:val="84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909"/>
        <w:gridCol w:w="2616"/>
        <w:gridCol w:w="2655"/>
      </w:tblGrid>
      <w:tr>
        <w:trPr>
          <w:trHeight w:val="825" w:hRule="atLeast"/>
        </w:trPr>
        <w:tc>
          <w:tcPr>
            <w:tcW w:w="390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5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</w:tbl>
    <w:p>
      <w:pPr>
        <w:pStyle w:val="Standard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>h</w:t>
      </w:r>
      <w:r>
        <w:rPr>
          <w:rFonts w:cs="Arial Narrow" w:ascii="Arial Narrow" w:hAnsi="Arial Narrow"/>
          <w:sz w:val="22"/>
          <w:szCs w:val="22"/>
        </w:rPr>
        <w:t>)</w:t>
      </w:r>
    </w:p>
    <w:p>
      <w:pPr>
        <w:pStyle w:val="Nzov"/>
        <w:widowControl w:val="false"/>
        <w:numPr>
          <w:ilvl w:val="0"/>
          <w:numId w:val="85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164"/>
        <w:gridCol w:w="1405"/>
        <w:gridCol w:w="1401"/>
        <w:gridCol w:w="1401"/>
        <w:gridCol w:w="1402"/>
        <w:gridCol w:w="1406"/>
      </w:tblGrid>
      <w:tr>
        <w:trPr>
          <w:trHeight w:val="345" w:hRule="atLeast"/>
        </w:trPr>
        <w:tc>
          <w:tcPr>
            <w:tcW w:w="216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40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4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40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6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1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1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6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widowControl w:val="false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Dlhopisy spoločnosť v roku 2019 ani v roku 2020 neemitovala.</w:t>
      </w:r>
    </w:p>
    <w:p>
      <w:pPr>
        <w:pStyle w:val="Textbody"/>
        <w:widowControl w:val="false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Standard"/>
        <w:ind w:left="1125" w:hanging="117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ind w:left="1125" w:hanging="117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ind w:left="1125" w:hanging="117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ind w:left="1125" w:hanging="117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ind w:left="1125" w:hanging="117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 </w:t>
      </w:r>
      <w:r>
        <w:rPr>
          <w:rFonts w:cs="Arial Narrow" w:ascii="Arial Narrow" w:hAnsi="Arial Narrow"/>
          <w:sz w:val="22"/>
          <w:szCs w:val="22"/>
        </w:rPr>
        <w:t>i )</w:t>
      </w:r>
    </w:p>
    <w:p>
      <w:pPr>
        <w:pStyle w:val="Nzov"/>
        <w:widowControl w:val="false"/>
        <w:numPr>
          <w:ilvl w:val="0"/>
          <w:numId w:val="86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206"/>
        <w:gridCol w:w="839"/>
        <w:gridCol w:w="842"/>
        <w:gridCol w:w="1253"/>
        <w:gridCol w:w="1399"/>
        <w:gridCol w:w="1561"/>
        <w:gridCol w:w="1079"/>
      </w:tblGrid>
      <w:tr>
        <w:trPr>
          <w:trHeight w:val="990" w:hRule="atLeast"/>
        </w:trPr>
        <w:tc>
          <w:tcPr>
            <w:tcW w:w="22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4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5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>
        <w:trPr>
          <w:trHeight w:val="330" w:hRule="atLeast"/>
        </w:trPr>
        <w:tc>
          <w:tcPr>
            <w:tcW w:w="22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3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0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4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5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left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07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extbody"/>
        <w:ind w:left="284" w:hanging="284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rPr/>
      </w:pPr>
      <w:r>
        <w:rPr/>
      </w:r>
      <w:r>
        <w:br w:type="page"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206"/>
        <w:gridCol w:w="869"/>
        <w:gridCol w:w="812"/>
        <w:gridCol w:w="1261"/>
        <w:gridCol w:w="1401"/>
        <w:gridCol w:w="1119"/>
        <w:gridCol w:w="1511"/>
      </w:tblGrid>
      <w:tr>
        <w:trPr>
          <w:trHeight w:val="990" w:hRule="atLeast"/>
        </w:trPr>
        <w:tc>
          <w:tcPr>
            <w:tcW w:w="22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86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Mena</w:t>
            </w:r>
          </w:p>
        </w:tc>
        <w:tc>
          <w:tcPr>
            <w:tcW w:w="8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 %</w:t>
            </w:r>
          </w:p>
        </w:tc>
        <w:tc>
          <w:tcPr>
            <w:tcW w:w="12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eurách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 </w:t>
            </w:r>
            <w:r>
              <w:rPr>
                <w:color w:val="666666"/>
              </w:rPr>
              <w:t>za bežné účtovné obdobie</w:t>
            </w:r>
          </w:p>
        </w:tc>
        <w:tc>
          <w:tcPr>
            <w:tcW w:w="15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6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51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0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6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0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6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5" w:hRule="atLeast"/>
        </w:trPr>
        <w:tc>
          <w:tcPr>
            <w:tcW w:w="9179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0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6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ind w:left="1125" w:hanging="1170"/>
        <w:jc w:val="both"/>
        <w:rPr/>
      </w:pPr>
      <w:r>
        <w:rPr/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206"/>
        <w:gridCol w:w="839"/>
        <w:gridCol w:w="842"/>
        <w:gridCol w:w="1253"/>
        <w:gridCol w:w="1399"/>
        <w:gridCol w:w="1561"/>
        <w:gridCol w:w="1079"/>
      </w:tblGrid>
      <w:tr>
        <w:trPr>
          <w:trHeight w:val="990" w:hRule="atLeast"/>
        </w:trPr>
        <w:tc>
          <w:tcPr>
            <w:tcW w:w="22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4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5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>
        <w:trPr>
          <w:trHeight w:val="330" w:hRule="atLeast"/>
        </w:trPr>
        <w:tc>
          <w:tcPr>
            <w:tcW w:w="22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3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0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4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5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left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07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extbody"/>
        <w:widowControl w:val="false"/>
        <w:ind w:left="284" w:hanging="284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206"/>
        <w:gridCol w:w="869"/>
        <w:gridCol w:w="812"/>
        <w:gridCol w:w="1261"/>
        <w:gridCol w:w="1401"/>
        <w:gridCol w:w="1119"/>
        <w:gridCol w:w="1511"/>
      </w:tblGrid>
      <w:tr>
        <w:trPr>
          <w:trHeight w:val="990" w:hRule="atLeast"/>
        </w:trPr>
        <w:tc>
          <w:tcPr>
            <w:tcW w:w="22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86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Mena</w:t>
            </w:r>
          </w:p>
        </w:tc>
        <w:tc>
          <w:tcPr>
            <w:tcW w:w="8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 %</w:t>
            </w:r>
          </w:p>
        </w:tc>
        <w:tc>
          <w:tcPr>
            <w:tcW w:w="12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eurách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 </w:t>
            </w:r>
            <w:r>
              <w:rPr>
                <w:color w:val="666666"/>
              </w:rPr>
              <w:t>za bežné účtovné obdobie</w:t>
            </w:r>
          </w:p>
        </w:tc>
        <w:tc>
          <w:tcPr>
            <w:tcW w:w="15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6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51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0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6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0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6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5" w:hRule="atLeast"/>
        </w:trPr>
        <w:tc>
          <w:tcPr>
            <w:tcW w:w="9179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0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6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ind w:left="1125" w:hanging="1170"/>
        <w:jc w:val="both"/>
        <w:rPr/>
      </w:pPr>
      <w:r>
        <w:rPr/>
      </w:r>
    </w:p>
    <w:p>
      <w:pPr>
        <w:pStyle w:val="Standard"/>
        <w:ind w:left="1125" w:hanging="1170"/>
        <w:jc w:val="both"/>
        <w:rPr/>
      </w:pPr>
      <w:r>
        <w:rPr/>
      </w:r>
    </w:p>
    <w:p>
      <w:pPr>
        <w:pStyle w:val="Standard"/>
        <w:spacing w:before="0" w:after="120"/>
        <w:ind w:left="690" w:hanging="69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spacing w:before="0" w:after="120"/>
        <w:ind w:left="690" w:hanging="69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 xml:space="preserve">j </w:t>
      </w:r>
      <w:r>
        <w:rPr>
          <w:rFonts w:cs="Arial Narrow" w:ascii="Arial Narrow" w:hAnsi="Arial Narrow"/>
          <w:sz w:val="22"/>
          <w:szCs w:val="22"/>
        </w:rPr>
        <w:t xml:space="preserve">) </w:t>
      </w:r>
      <w:r>
        <w:rPr>
          <w:rFonts w:cs="Arial Narrow" w:ascii="Arial Narrow" w:hAnsi="Arial Narrow"/>
          <w:b/>
          <w:bCs/>
          <w:sz w:val="22"/>
          <w:szCs w:val="22"/>
        </w:rPr>
        <w:t>Informácie k časti G. písm. j) prílohy č. 3 o významných položkách časového rozlíšenia na strane pasív</w:t>
      </w:r>
    </w:p>
    <w:p>
      <w:pPr>
        <w:pStyle w:val="Nzov"/>
        <w:numPr>
          <w:ilvl w:val="0"/>
          <w:numId w:val="87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 časti  G. písm. k) o významných položkách derivátov za bežné účtovné obdobie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916"/>
        <w:gridCol w:w="1472"/>
        <w:gridCol w:w="1612"/>
        <w:gridCol w:w="2179"/>
      </w:tblGrid>
      <w:tr>
        <w:trPr>
          <w:trHeight w:val="278" w:hRule="atLeast"/>
        </w:trPr>
        <w:tc>
          <w:tcPr>
            <w:tcW w:w="3916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4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7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916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7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pohľadávky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záväzku</w:t>
            </w:r>
          </w:p>
        </w:tc>
        <w:tc>
          <w:tcPr>
            <w:tcW w:w="217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06" w:hRule="atLeast"/>
        </w:trPr>
        <w:tc>
          <w:tcPr>
            <w:tcW w:w="39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47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Deriváty určené na obchodovanie, z toho:</w:t>
            </w:r>
          </w:p>
        </w:tc>
        <w:tc>
          <w:tcPr>
            <w:tcW w:w="147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612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217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Zabezpečovacie deriváty, z toho:</w:t>
            </w:r>
          </w:p>
        </w:tc>
        <w:tc>
          <w:tcPr>
            <w:tcW w:w="1472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907"/>
        <w:gridCol w:w="1664"/>
        <w:gridCol w:w="978"/>
        <w:gridCol w:w="1681"/>
        <w:gridCol w:w="950"/>
      </w:tblGrid>
      <w:tr>
        <w:trPr>
          <w:trHeight w:val="622" w:hRule="atLeast"/>
        </w:trPr>
        <w:tc>
          <w:tcPr>
            <w:tcW w:w="390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4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31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907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4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631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907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9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6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97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5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Deriváty určené na obchodovanie, z toho:</w:t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8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1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50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1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50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Zabezpečovacie deriváty, z toho:</w:t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8" w:type="dxa"/>
            <w:tcBorders>
              <w:top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1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50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78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1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50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widowControl w:val="false"/>
        <w:ind w:left="360" w:hanging="360"/>
        <w:jc w:val="left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ind w:left="360" w:hanging="360"/>
        <w:jc w:val="left"/>
        <w:rPr/>
      </w:pPr>
      <w:r>
        <w:rPr>
          <w:rFonts w:ascii="Arial Narrow" w:hAnsi="Arial Narrow"/>
          <w:b w:val="false"/>
          <w:sz w:val="22"/>
          <w:szCs w:val="22"/>
        </w:rPr>
        <w:t>Spoločnosť v roku 2019 ani v roku 2020  neevidovala deriváty.</w:t>
      </w:r>
    </w:p>
    <w:p>
      <w:pPr>
        <w:pStyle w:val="Textbody"/>
        <w:widowControl w:val="false"/>
        <w:ind w:left="360" w:hanging="360"/>
        <w:jc w:val="left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ind w:left="360" w:hanging="360"/>
        <w:jc w:val="left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</w:r>
    </w:p>
    <w:p>
      <w:pPr>
        <w:pStyle w:val="Textbody"/>
        <w:widowControl w:val="false"/>
        <w:jc w:val="left"/>
        <w:rPr/>
      </w:pPr>
      <w:r>
        <w:rPr>
          <w:rFonts w:cs="Arial Narrow" w:ascii="Arial Narrow" w:hAnsi="Arial Narrow"/>
          <w:i/>
          <w:sz w:val="22"/>
          <w:szCs w:val="22"/>
        </w:rPr>
        <w:t xml:space="preserve">G .)   </w:t>
      </w:r>
      <w:r>
        <w:rPr>
          <w:b w:val="false"/>
          <w:sz w:val="22"/>
          <w:szCs w:val="22"/>
        </w:rPr>
        <w:t xml:space="preserve">l)   </w:t>
      </w:r>
    </w:p>
    <w:p>
      <w:pPr>
        <w:pStyle w:val="Nzov"/>
        <w:widowControl w:val="false"/>
        <w:numPr>
          <w:ilvl w:val="0"/>
          <w:numId w:val="88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5238"/>
        <w:gridCol w:w="1960"/>
        <w:gridCol w:w="1982"/>
      </w:tblGrid>
      <w:tr>
        <w:trPr>
          <w:trHeight w:val="352" w:hRule="atLeast"/>
        </w:trPr>
        <w:tc>
          <w:tcPr>
            <w:tcW w:w="52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942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238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8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2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9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Majetok vykázaný v súvahe</w:t>
            </w:r>
          </w:p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8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Záväzok vykázaný v súvahe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Zmluvy, ktoré sa neúčtujú na súvahových účtoch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Očakávané budúce obchody dosiaľ zmluvne nezabezpečené</w:t>
            </w:r>
          </w:p>
        </w:tc>
        <w:tc>
          <w:tcPr>
            <w:tcW w:w="19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8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ind w:left="709" w:hanging="709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ind w:left="360" w:hanging="360"/>
        <w:jc w:val="left"/>
        <w:rPr>
          <w:rFonts w:ascii="Arial Narrow" w:hAnsi="Arial Narrow"/>
          <w:b w:val="false"/>
          <w:b w:val="false"/>
          <w:sz w:val="22"/>
          <w:szCs w:val="22"/>
        </w:rPr>
      </w:pPr>
      <w:r>
        <w:rPr/>
      </w:r>
    </w:p>
    <w:p>
      <w:pPr>
        <w:pStyle w:val="Textbody"/>
        <w:widowControl w:val="false"/>
        <w:ind w:left="360" w:hanging="360"/>
        <w:jc w:val="left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</w:r>
    </w:p>
    <w:p>
      <w:pPr>
        <w:pStyle w:val="Textbody"/>
        <w:ind w:left="709" w:hanging="709"/>
        <w:rPr/>
      </w:pPr>
      <w:r>
        <w:rPr>
          <w:rFonts w:cs="Arial Narrow" w:ascii="Arial Narrow" w:hAnsi="Arial Narrow"/>
          <w:i/>
          <w:sz w:val="22"/>
          <w:szCs w:val="22"/>
        </w:rPr>
        <w:t xml:space="preserve">G .)   </w:t>
      </w:r>
      <w:r>
        <w:rPr>
          <w:b w:val="false"/>
          <w:sz w:val="22"/>
          <w:szCs w:val="22"/>
        </w:rPr>
        <w:t>m)</w:t>
      </w:r>
    </w:p>
    <w:p>
      <w:pPr>
        <w:pStyle w:val="Nzov"/>
        <w:widowControl w:val="false"/>
        <w:numPr>
          <w:ilvl w:val="0"/>
          <w:numId w:val="89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579"/>
        <w:gridCol w:w="1204"/>
        <w:gridCol w:w="1452"/>
        <w:gridCol w:w="1098"/>
        <w:gridCol w:w="1224"/>
        <w:gridCol w:w="1501"/>
        <w:gridCol w:w="1121"/>
      </w:tblGrid>
      <w:tr>
        <w:trPr>
          <w:trHeight w:val="571" w:hRule="atLeast"/>
        </w:trPr>
        <w:tc>
          <w:tcPr>
            <w:tcW w:w="157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5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7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75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7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0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4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22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1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7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0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45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98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2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01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7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Finančný náklad</w:t>
            </w:r>
          </w:p>
        </w:tc>
        <w:tc>
          <w:tcPr>
            <w:tcW w:w="120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452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24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01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7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0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52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24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01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1" w:type="dxa"/>
            <w:tcBorders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Normal"/>
        <w:rPr>
          <w:vanish/>
        </w:rPr>
      </w:pPr>
      <w:r>
        <w:rPr>
          <w:vanish/>
        </w:rPr>
      </w:r>
    </w:p>
    <w:p>
      <w:pPr>
        <w:pStyle w:val="Standard"/>
        <w:spacing w:before="0" w:after="120"/>
        <w:ind w:left="360" w:hanging="360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120"/>
        <w:ind w:left="360" w:hanging="360"/>
        <w:jc w:val="both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i/>
          <w:sz w:val="22"/>
          <w:szCs w:val="22"/>
        </w:rPr>
        <w:t xml:space="preserve">  b</w:t>
      </w:r>
      <w:r>
        <w:rPr>
          <w:rFonts w:cs="Arial Narrow" w:ascii="Arial Narrow" w:hAnsi="Arial Narrow"/>
          <w:bCs/>
          <w:sz w:val="22"/>
          <w:szCs w:val="22"/>
        </w:rPr>
        <w:t>)</w:t>
      </w:r>
    </w:p>
    <w:p>
      <w:pPr>
        <w:pStyle w:val="Nzov"/>
        <w:widowControl w:val="false"/>
        <w:numPr>
          <w:ilvl w:val="0"/>
          <w:numId w:val="90"/>
        </w:numPr>
        <w:ind w:left="360" w:hanging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286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501"/>
        <w:gridCol w:w="1127"/>
        <w:gridCol w:w="1243"/>
        <w:gridCol w:w="1399"/>
        <w:gridCol w:w="1121"/>
        <w:gridCol w:w="1894"/>
      </w:tblGrid>
      <w:tr>
        <w:trPr>
          <w:trHeight w:val="990" w:hRule="atLeast"/>
        </w:trPr>
        <w:tc>
          <w:tcPr>
            <w:tcW w:w="250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4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301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stavu vnútroorganizačných</w:t>
            </w:r>
          </w:p>
          <w:p>
            <w:pPr>
              <w:pStyle w:val="TopHeader"/>
              <w:widowControl w:val="false"/>
              <w:rPr/>
            </w:pPr>
            <w:r>
              <w:rPr/>
              <w:t>zásob</w:t>
            </w:r>
          </w:p>
        </w:tc>
      </w:tr>
      <w:tr>
        <w:trPr>
          <w:trHeight w:val="930" w:hRule="atLeast"/>
        </w:trPr>
        <w:tc>
          <w:tcPr>
            <w:tcW w:w="2501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4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0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12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243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2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894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50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Nedokončená výroba </w:t>
            </w:r>
            <w:r>
              <w:rPr/>
              <w:br/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 polotovary vlastnej výroby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9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9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6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/>
            </w:r>
          </w:p>
        </w:tc>
        <w:tc>
          <w:tcPr>
            <w:tcW w:w="139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/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Manká a škody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Reprezentačné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Dary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705" w:hRule="atLeast"/>
        </w:trPr>
        <w:tc>
          <w:tcPr>
            <w:tcW w:w="25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Zmena stavu vnútroorganizačných zásob vo výkaze ziskov a strát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  <w:r>
        <w:br w:type="page"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Rok 2017</w:t>
      </w:r>
    </w:p>
    <w:tbl>
      <w:tblPr>
        <w:tblW w:w="9538" w:type="dxa"/>
        <w:jc w:val="left"/>
        <w:tblInd w:w="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555"/>
        <w:gridCol w:w="1202"/>
        <w:gridCol w:w="1254"/>
        <w:gridCol w:w="1302"/>
        <w:gridCol w:w="1268"/>
        <w:gridCol w:w="1956"/>
      </w:tblGrid>
      <w:tr>
        <w:trPr>
          <w:trHeight w:val="729" w:hRule="atLeast"/>
        </w:trPr>
        <w:tc>
          <w:tcPr>
            <w:tcW w:w="25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202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25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32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Zmena stavu vnútroorganizačných zásob</w:t>
            </w:r>
          </w:p>
        </w:tc>
      </w:tr>
      <w:tr>
        <w:trPr>
          <w:trHeight w:val="796" w:hRule="atLeast"/>
        </w:trPr>
        <w:tc>
          <w:tcPr>
            <w:tcW w:w="2555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2" w:type="dxa"/>
            <w:vMerge w:val="continue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54" w:type="dxa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1302" w:type="dxa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Začiatočný stav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55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a</w:t>
            </w:r>
          </w:p>
        </w:tc>
        <w:tc>
          <w:tcPr>
            <w:tcW w:w="1202" w:type="dxa"/>
            <w:tcBorders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b</w:t>
            </w:r>
          </w:p>
        </w:tc>
        <w:tc>
          <w:tcPr>
            <w:tcW w:w="1254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c</w:t>
            </w:r>
          </w:p>
        </w:tc>
        <w:tc>
          <w:tcPr>
            <w:tcW w:w="1302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d</w:t>
            </w:r>
          </w:p>
        </w:tc>
        <w:tc>
          <w:tcPr>
            <w:tcW w:w="1268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e</w:t>
            </w:r>
          </w:p>
        </w:tc>
        <w:tc>
          <w:tcPr>
            <w:tcW w:w="195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f</w:t>
            </w:r>
          </w:p>
        </w:tc>
      </w:tr>
      <w:tr>
        <w:trPr>
          <w:trHeight w:val="349" w:hRule="atLeast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Polotovary vlastnej výroby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5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360" w:hanging="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55" w:type="dxa"/>
            <w:tcBorders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Výrobky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5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5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25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</w:tr>
      <w:tr>
        <w:trPr>
          <w:trHeight w:val="705" w:hRule="atLeast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Manká a škody</w:t>
            </w:r>
          </w:p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Zmena stavu vnútroorga-nizačných zásob vo výkaze ziskov a strát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5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705" w:hRule="atLeast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5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Standard"/>
        <w:spacing w:before="215" w:after="221"/>
        <w:ind w:left="709" w:hanging="709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215" w:after="221"/>
        <w:ind w:left="990" w:hanging="975"/>
        <w:jc w:val="both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sz w:val="22"/>
          <w:szCs w:val="22"/>
        </w:rPr>
        <w:t>c – e)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o výnosoch pri aktivácii nákladov a výnosoch z hospodárskej činnosti, finančnej činnosti a mimoriadnej činnosti</w:t>
      </w:r>
    </w:p>
    <w:p>
      <w:pPr>
        <w:pStyle w:val="Standard"/>
        <w:keepNext w:val="true"/>
        <w:spacing w:before="0" w:after="220"/>
        <w:ind w:left="360" w:hanging="360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220"/>
        <w:ind w:left="360" w:hanging="360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sz w:val="22"/>
          <w:szCs w:val="22"/>
        </w:rPr>
        <w:t xml:space="preserve">f) O výnosoch, ktoré majú výnimočný rozsah alebo výskyt v roku </w:t>
      </w:r>
      <w:r>
        <w:rPr>
          <w:rFonts w:eastAsia="SimSun" w:cs="Arial Narrow" w:ascii="Arial Narrow" w:hAnsi="Arial Narrow"/>
          <w:bCs/>
          <w:color w:val="auto"/>
          <w:kern w:val="2"/>
          <w:sz w:val="22"/>
          <w:szCs w:val="22"/>
          <w:lang w:val="sk-SK" w:eastAsia="zh-CN" w:bidi="hi-IN"/>
        </w:rPr>
        <w:t>2022</w:t>
      </w:r>
      <w:r>
        <w:rPr>
          <w:rFonts w:cs="Arial Narrow" w:ascii="Arial Narrow" w:hAnsi="Arial Narrow"/>
          <w:bCs/>
          <w:sz w:val="22"/>
          <w:szCs w:val="22"/>
        </w:rPr>
        <w:t xml:space="preserve"> účtovná jednotka neúčtovala.</w:t>
      </w:r>
    </w:p>
    <w:p>
      <w:pPr>
        <w:pStyle w:val="Standard"/>
        <w:spacing w:before="0" w:after="120"/>
        <w:ind w:left="360" w:hanging="360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120"/>
        <w:ind w:left="360" w:hanging="360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120"/>
        <w:ind w:left="360" w:hanging="360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i/>
          <w:sz w:val="22"/>
          <w:szCs w:val="22"/>
        </w:rPr>
        <w:t xml:space="preserve">  g</w:t>
      </w:r>
      <w:r>
        <w:rPr>
          <w:rFonts w:cs="Arial Narrow" w:ascii="Arial Narrow" w:hAnsi="Arial Narrow"/>
          <w:bCs/>
          <w:sz w:val="22"/>
          <w:szCs w:val="22"/>
        </w:rPr>
        <w:t>)</w:t>
      </w:r>
    </w:p>
    <w:p>
      <w:pPr>
        <w:pStyle w:val="Nzov"/>
        <w:numPr>
          <w:ilvl w:val="0"/>
          <w:numId w:val="91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5817"/>
        <w:gridCol w:w="1681"/>
        <w:gridCol w:w="1682"/>
      </w:tblGrid>
      <w:tr>
        <w:trPr>
          <w:trHeight w:val="1005" w:hRule="atLeast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Tržby za vlastné výrobky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Tržby z predaja služieb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Tržby za tovar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Výnosy zo zákazky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Výnosy z nehnuteľnosti na predaj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výnosy súvisiace s bežnou činnosťou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Čistý obrat celkom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</w:tbl>
    <w:p>
      <w:pPr>
        <w:pStyle w:val="Textbody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Textbody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I.)   Náklady</w:t>
      </w:r>
    </w:p>
    <w:p>
      <w:pPr>
        <w:pStyle w:val="Textbody"/>
        <w:rPr/>
      </w:pPr>
      <w:r>
        <w:rPr/>
      </w:r>
    </w:p>
    <w:p>
      <w:pPr>
        <w:pStyle w:val="Standard"/>
        <w:keepNext w:val="true"/>
        <w:rPr/>
      </w:pPr>
      <w:r>
        <w:rPr>
          <w:rFonts w:cs="Arial Narrow" w:ascii="Arial Narrow" w:hAnsi="Arial Narrow"/>
          <w:bCs/>
          <w:sz w:val="22"/>
          <w:szCs w:val="22"/>
        </w:rPr>
        <w:t>I)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k časti I. prílohy č. 3 o nákladoch</w:t>
      </w:r>
    </w:p>
    <w:p>
      <w:pPr>
        <w:pStyle w:val="Standard"/>
        <w:keepNext w:val="true"/>
        <w:ind w:left="284" w:hanging="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a) Špecifikácia významných položiek nákladov na poskytnuté služby</w:t>
      </w:r>
    </w:p>
    <w:p>
      <w:pPr>
        <w:pStyle w:val="Standard"/>
        <w:keepNext w:val="true"/>
        <w:ind w:firstLine="284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b) Špecifikácia významných položiek ostatných nákladov z hosp. činností</w:t>
      </w:r>
    </w:p>
    <w:p>
      <w:pPr>
        <w:pStyle w:val="Textbody"/>
        <w:ind w:firstLine="284"/>
        <w:rPr/>
      </w:pPr>
      <w:r>
        <w:rPr>
          <w:b w:val="false"/>
          <w:sz w:val="22"/>
          <w:szCs w:val="22"/>
        </w:rPr>
        <w:t xml:space="preserve">c) </w:t>
      </w:r>
      <w:r>
        <w:rPr>
          <w:rFonts w:ascii="Arial Narrow" w:hAnsi="Arial Narrow"/>
          <w:b w:val="false"/>
          <w:sz w:val="22"/>
          <w:szCs w:val="22"/>
        </w:rPr>
        <w:t>Špecifikácia významných položiek finančných nákladov</w:t>
      </w:r>
    </w:p>
    <w:tbl>
      <w:tblPr>
        <w:tblW w:w="9571" w:type="dxa"/>
        <w:jc w:val="left"/>
        <w:tblInd w:w="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289"/>
        <w:gridCol w:w="2178"/>
        <w:gridCol w:w="2104"/>
      </w:tblGrid>
      <w:tr>
        <w:trPr>
          <w:trHeight w:val="857" w:hRule="atLeast"/>
        </w:trPr>
        <w:tc>
          <w:tcPr>
            <w:tcW w:w="5289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78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5289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Náklady za poskytnuté služby spolu</w:t>
            </w:r>
          </w:p>
        </w:tc>
        <w:tc>
          <w:tcPr>
            <w:tcW w:w="2178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eastAsia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377" w:hRule="atLeast"/>
        </w:trPr>
        <w:tc>
          <w:tcPr>
            <w:tcW w:w="5289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ind w:left="551" w:right="7" w:hanging="577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78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9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ind w:left="1046" w:right="7" w:hanging="1055"/>
              <w:rPr/>
            </w:pPr>
            <w:r>
              <w:rPr/>
            </w:r>
          </w:p>
        </w:tc>
        <w:tc>
          <w:tcPr>
            <w:tcW w:w="2178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9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ind w:left="492" w:right="12" w:hanging="510"/>
              <w:rPr/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Ostatné významné položky nákladov za poskytnuté služby spolu</w:t>
            </w:r>
          </w:p>
        </w:tc>
        <w:tc>
          <w:tcPr>
            <w:tcW w:w="2178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9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  <w:t>Spotreba materiálu, energie a nesklad. dodávok</w:t>
            </w:r>
          </w:p>
        </w:tc>
        <w:tc>
          <w:tcPr>
            <w:tcW w:w="2178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89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  <w:t>Nákup tovaru</w:t>
            </w:r>
          </w:p>
        </w:tc>
        <w:tc>
          <w:tcPr>
            <w:tcW w:w="2178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89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  <w:t>odpisy</w:t>
            </w:r>
          </w:p>
        </w:tc>
        <w:tc>
          <w:tcPr>
            <w:tcW w:w="2178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9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  <w:t>Odpísanie zásob</w:t>
            </w:r>
          </w:p>
        </w:tc>
        <w:tc>
          <w:tcPr>
            <w:tcW w:w="2178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9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78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9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78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89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747" w:right="-3" w:hanging="0"/>
              <w:jc w:val="both"/>
              <w:rPr/>
            </w:pPr>
            <w:r>
              <w:rPr/>
            </w:r>
          </w:p>
        </w:tc>
        <w:tc>
          <w:tcPr>
            <w:tcW w:w="2178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9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747" w:right="-3" w:hanging="0"/>
              <w:jc w:val="both"/>
              <w:rPr/>
            </w:pPr>
            <w:r>
              <w:rPr/>
            </w:r>
          </w:p>
        </w:tc>
        <w:tc>
          <w:tcPr>
            <w:tcW w:w="2178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57" w:hRule="atLeast"/>
        </w:trPr>
        <w:tc>
          <w:tcPr>
            <w:tcW w:w="5289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78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89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2178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89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2178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9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2178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Textbody"/>
        <w:numPr>
          <w:ilvl w:val="0"/>
          <w:numId w:val="2"/>
        </w:numPr>
        <w:shd w:val="clear" w:color="auto" w:fill="FFFFFF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Dane z príjmov</w:t>
      </w:r>
    </w:p>
    <w:p>
      <w:pPr>
        <w:pStyle w:val="Textbody"/>
        <w:shd w:val="clear" w:color="auto" w:fill="FFFFFF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Textbody"/>
        <w:shd w:val="clear" w:color="auto" w:fill="FFFFFF"/>
        <w:rPr/>
      </w:pPr>
      <w:r>
        <w:rPr>
          <w:i/>
          <w:sz w:val="22"/>
          <w:szCs w:val="22"/>
        </w:rPr>
        <w:t xml:space="preserve">J.)  </w:t>
      </w:r>
      <w:r>
        <w:rPr>
          <w:b w:val="false"/>
          <w:sz w:val="22"/>
          <w:szCs w:val="22"/>
        </w:rPr>
        <w:t>a-e)</w:t>
      </w:r>
    </w:p>
    <w:p>
      <w:pPr>
        <w:pStyle w:val="Nzov"/>
        <w:numPr>
          <w:ilvl w:val="0"/>
          <w:numId w:val="92"/>
        </w:numPr>
        <w:shd w:val="clear" w:color="auto" w:fill="FFFFFF"/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5709"/>
        <w:gridCol w:w="1612"/>
        <w:gridCol w:w="34"/>
        <w:gridCol w:w="1825"/>
      </w:tblGrid>
      <w:tr>
        <w:trPr>
          <w:trHeight w:val="840" w:hRule="atLeast"/>
        </w:trPr>
        <w:tc>
          <w:tcPr>
            <w:tcW w:w="570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4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2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5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46" w:type="dxa"/>
            <w:gridSpan w:val="2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46" w:type="dxa"/>
            <w:gridSpan w:val="2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 xml:space="preserve">Suma odloženého daňového záväzku, ktorý vznikol </w:t>
            </w:r>
            <w:r>
              <w:rPr/>
              <w:br/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46" w:type="dxa"/>
            <w:gridSpan w:val="2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4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46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46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shd w:val="clear" w:color="auto" w:fill="FFFFFF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Textbody"/>
        <w:shd w:val="clear" w:color="auto" w:fill="FFFFFF"/>
        <w:rPr/>
      </w:pPr>
      <w:r>
        <w:rPr>
          <w:i/>
          <w:sz w:val="22"/>
          <w:szCs w:val="22"/>
        </w:rPr>
        <w:t>J.)</w:t>
      </w:r>
    </w:p>
    <w:p>
      <w:pPr>
        <w:pStyle w:val="Textbody"/>
        <w:numPr>
          <w:ilvl w:val="0"/>
          <w:numId w:val="3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Spoločnosť v roku 2020 neevidovala odloženú daňovú pohľadávku týkajúcu sa umorenia daňovej straty, nevyužitých daňových odpočtov, iných nárokov ako aj dočasných rozdielov z predchádzajúcich účtovných období neevidovala .</w:t>
      </w:r>
    </w:p>
    <w:p>
      <w:pPr>
        <w:pStyle w:val="Textbody"/>
        <w:numPr>
          <w:ilvl w:val="0"/>
          <w:numId w:val="3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Účtovná jednotka v roku 2020 evidovala  daňový záväzok, z dôvodu straty spoločnosti a nevykazovania obchodnej činnosti /pandémia – zatvorenie prevádzky /</w:t>
      </w:r>
    </w:p>
    <w:p>
      <w:pPr>
        <w:pStyle w:val="Textbody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</w:r>
    </w:p>
    <w:p>
      <w:pPr>
        <w:pStyle w:val="Textbody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/>
      </w:pPr>
      <w:r>
        <w:rPr>
          <w:rFonts w:ascii="Arial Narrow" w:hAnsi="Arial Narrow"/>
          <w:i/>
          <w:sz w:val="22"/>
          <w:szCs w:val="22"/>
        </w:rPr>
        <w:t xml:space="preserve">J.)  </w:t>
      </w:r>
      <w:r>
        <w:rPr>
          <w:rFonts w:ascii="Arial Narrow" w:hAnsi="Arial Narrow"/>
          <w:b w:val="false"/>
          <w:bCs w:val="false"/>
          <w:i/>
          <w:sz w:val="22"/>
          <w:szCs w:val="22"/>
        </w:rPr>
        <w:t>f ) a  g )</w:t>
      </w:r>
    </w:p>
    <w:p>
      <w:pPr>
        <w:pStyle w:val="Nzov"/>
        <w:widowControl w:val="false"/>
        <w:numPr>
          <w:ilvl w:val="0"/>
          <w:numId w:val="93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766"/>
        <w:gridCol w:w="1682"/>
        <w:gridCol w:w="786"/>
        <w:gridCol w:w="657"/>
        <w:gridCol w:w="1920"/>
        <w:gridCol w:w="708"/>
        <w:gridCol w:w="660"/>
      </w:tblGrid>
      <w:tr>
        <w:trPr>
          <w:trHeight w:val="642" w:hRule="atLeast"/>
        </w:trPr>
        <w:tc>
          <w:tcPr>
            <w:tcW w:w="2766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125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88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66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9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7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65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9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6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6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Výsledok hospodárenia </w:t>
            </w:r>
            <w:r>
              <w:rPr/>
              <w:br/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pred zdanením, z toho:</w:t>
            </w: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65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92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8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660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66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teoretická daň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6" w:type="dxa"/>
            <w:tcBorders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0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8" w:type="dxa"/>
            <w:tcBorders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Daňovo neuznané náklady</w:t>
            </w:r>
          </w:p>
        </w:tc>
        <w:tc>
          <w:tcPr>
            <w:tcW w:w="168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8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Výnosy nepodliehajúce dani</w:t>
            </w:r>
          </w:p>
        </w:tc>
        <w:tc>
          <w:tcPr>
            <w:tcW w:w="168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8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Vplyv nevykázanej odloženej daňovej pohľadávky</w:t>
            </w:r>
          </w:p>
        </w:tc>
        <w:tc>
          <w:tcPr>
            <w:tcW w:w="168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8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Umorenie daňovej straty</w:t>
            </w:r>
          </w:p>
        </w:tc>
        <w:tc>
          <w:tcPr>
            <w:tcW w:w="168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786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65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660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276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Zmena sadzby dane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0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8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0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8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0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8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Splatná daň z príjmov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0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8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Odložená daň z príjmov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6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8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Celková daň z príjmov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6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0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8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jc w:val="both"/>
        <w:rPr/>
      </w:pPr>
      <w:r>
        <w:rPr/>
        <w:tab/>
      </w:r>
    </w:p>
    <w:p>
      <w:pPr>
        <w:pStyle w:val="Standard"/>
        <w:ind w:left="284" w:hanging="284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ind w:hanging="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N.) Ekonomické vzťahy účtovnej jednotky a spriaznených osôb.</w:t>
      </w:r>
    </w:p>
    <w:p>
      <w:pPr>
        <w:pStyle w:val="Standard"/>
        <w:jc w:val="both"/>
        <w:rPr/>
      </w:pPr>
      <w:r>
        <w:rPr>
          <w:rFonts w:cs="Arial Narrow" w:ascii="Arial Narrow" w:hAnsi="Arial Narrow"/>
          <w:sz w:val="22"/>
          <w:szCs w:val="22"/>
        </w:rPr>
        <w:t>a – c)   Účtovná jednotka  v roku 202</w:t>
      </w:r>
      <w:r>
        <w:rPr>
          <w:rFonts w:cs="Arial Narrow" w:ascii="Arial Narrow" w:hAnsi="Arial Narrow"/>
          <w:sz w:val="22"/>
          <w:szCs w:val="22"/>
        </w:rPr>
        <w:t>2</w:t>
      </w:r>
      <w:r>
        <w:rPr>
          <w:rFonts w:cs="Arial Narrow" w:ascii="Arial Narrow" w:hAnsi="Arial Narrow"/>
          <w:sz w:val="22"/>
          <w:szCs w:val="22"/>
        </w:rPr>
        <w:t>neevidovala  vo svojej činnosti spriaznené osoby.</w:t>
      </w:r>
    </w:p>
    <w:p>
      <w:pPr>
        <w:pStyle w:val="Standard"/>
        <w:jc w:val="both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O.) Skutočnosti, ktoré nastali po dni, ku ktorému  sa zostavuje účtovná závierka do dňa</w:t>
      </w:r>
    </w:p>
    <w:p>
      <w:pPr>
        <w:pStyle w:val="Standard"/>
        <w:jc w:val="both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zostavenia účtovnej závierky.</w:t>
      </w:r>
    </w:p>
    <w:p>
      <w:pPr>
        <w:pStyle w:val="Standard"/>
        <w:ind w:left="709" w:hanging="709"/>
        <w:jc w:val="both"/>
        <w:rPr/>
      </w:pPr>
      <w:r>
        <w:rPr>
          <w:rFonts w:cs="Arial Narrow" w:ascii="Arial Narrow" w:hAnsi="Arial Narrow"/>
          <w:sz w:val="22"/>
          <w:szCs w:val="22"/>
        </w:rPr>
        <w:t>a– j) Od 01.01.2020 sa spoločnosť dostala do opätovnej straty, ktorá má významný dopad na  ekonomickú a finančnú situáciu spoločnosti.</w:t>
      </w:r>
    </w:p>
    <w:p>
      <w:pPr>
        <w:pStyle w:val="Textbody"/>
        <w:rPr>
          <w:lang w:eastAsia="en-US"/>
        </w:rPr>
      </w:pPr>
      <w:r>
        <w:rPr>
          <w:lang w:eastAsia="en-US"/>
        </w:rPr>
      </w:r>
    </w:p>
    <w:p>
      <w:pPr>
        <w:pStyle w:val="Textbody"/>
        <w:rPr>
          <w:lang w:eastAsia="en-US"/>
        </w:rPr>
      </w:pPr>
      <w:r>
        <w:rPr>
          <w:lang w:eastAsia="en-US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R.) Informácie o prehľade peňažných tokov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26" w:hanging="426"/>
        <w:jc w:val="both"/>
        <w:rPr/>
      </w:pPr>
      <w:r>
        <w:rPr>
          <w:rFonts w:cs="Arial Narrow" w:ascii="Arial Narrow" w:hAnsi="Arial Narrow"/>
          <w:sz w:val="22"/>
          <w:szCs w:val="22"/>
        </w:rPr>
        <w:t>a)</w:t>
        <w:tab/>
        <w:t>1 – 2 Účtovná jednotka v roku 202</w:t>
      </w:r>
      <w:r>
        <w:rPr>
          <w:rFonts w:cs="Arial Narrow" w:ascii="Arial Narrow" w:hAnsi="Arial Narrow"/>
          <w:sz w:val="22"/>
          <w:szCs w:val="22"/>
        </w:rPr>
        <w:t>2</w:t>
      </w:r>
      <w:r>
        <w:rPr>
          <w:rFonts w:cs="Arial Narrow" w:ascii="Arial Narrow" w:hAnsi="Arial Narrow"/>
          <w:sz w:val="22"/>
          <w:szCs w:val="22"/>
        </w:rPr>
        <w:t xml:space="preserve">  neevidovala len pohyb peňažných prostriedkov bezpeňažných  ekvivalentov.</w:t>
      </w:r>
    </w:p>
    <w:p>
      <w:pPr>
        <w:pStyle w:val="Standard"/>
        <w:ind w:left="426" w:hanging="426"/>
        <w:jc w:val="both"/>
        <w:rPr/>
      </w:pPr>
      <w:r>
        <w:rPr/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b)</w:t>
        <w:tab/>
        <w:t>Prehľad  o peňažných tokoch bol spracovaný v členení:</w:t>
      </w:r>
    </w:p>
    <w:p>
      <w:pPr>
        <w:pStyle w:val="Standard"/>
        <w:tabs>
          <w:tab w:val="clear" w:pos="708"/>
          <w:tab w:val="left" w:pos="6186" w:leader="none"/>
        </w:tabs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1. peňažné toky z prevádzkových činností</w:t>
      </w:r>
    </w:p>
    <w:p>
      <w:pPr>
        <w:pStyle w:val="Standard"/>
        <w:tabs>
          <w:tab w:val="clear" w:pos="708"/>
          <w:tab w:val="left" w:pos="6186" w:leader="none"/>
        </w:tabs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2. peňažné toky z investičnej činnosti</w:t>
      </w:r>
    </w:p>
    <w:p>
      <w:pPr>
        <w:pStyle w:val="Standard"/>
        <w:tabs>
          <w:tab w:val="clear" w:pos="708"/>
          <w:tab w:val="left" w:pos="6186" w:leader="none"/>
        </w:tabs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3. peňažné toky z finančnej činnosti</w:t>
      </w:r>
    </w:p>
    <w:p>
      <w:pPr>
        <w:pStyle w:val="Standard"/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c)   Stav, pohyb a štruktúra peňažných prostriedkov je totožná s položkami vykázanými      </w:t>
      </w:r>
    </w:p>
    <w:p>
      <w:pPr>
        <w:pStyle w:val="Standard"/>
        <w:ind w:left="426" w:hanging="426"/>
        <w:jc w:val="both"/>
        <w:rPr/>
      </w:pPr>
      <w:r>
        <w:rPr>
          <w:rFonts w:cs="Arial Narrow" w:ascii="Arial Narrow" w:hAnsi="Arial Narrow"/>
          <w:sz w:val="22"/>
          <w:szCs w:val="22"/>
        </w:rPr>
        <w:t>v súvahe.</w:t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ab/>
        <w:tab/>
        <w:t xml:space="preserve">  </w:t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rPr/>
      </w:pPr>
      <w:r>
        <w:rPr/>
        <w:t>Vysvetlivky k poznámkam:</w:t>
      </w:r>
    </w:p>
    <w:p>
      <w:pPr>
        <w:pStyle w:val="ListParagraph"/>
        <w:numPr>
          <w:ilvl w:val="0"/>
          <w:numId w:val="94"/>
        </w:numPr>
        <w:ind w:left="308" w:hanging="308"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>
      <w:pPr>
        <w:pStyle w:val="ListParagraph"/>
        <w:numPr>
          <w:ilvl w:val="0"/>
          <w:numId w:val="95"/>
        </w:numPr>
        <w:ind w:left="308" w:hanging="308"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ListParagraph"/>
        <w:numPr>
          <w:ilvl w:val="0"/>
          <w:numId w:val="96"/>
        </w:numPr>
        <w:tabs>
          <w:tab w:val="clear" w:pos="708"/>
          <w:tab w:val="left" w:pos="588" w:leader="none"/>
        </w:tabs>
        <w:ind w:left="294" w:hanging="308"/>
        <w:jc w:val="both"/>
        <w:rPr/>
      </w:pPr>
      <w:r>
        <w:rPr>
          <w:szCs w:val="22"/>
        </w:rPr>
        <w:t xml:space="preserve">Kód SK NACE sa vypĺňa podľa vyhlášky Štatistického úradu Slovenskej republiky </w:t>
      </w:r>
      <w:r>
        <w:rPr/>
        <w:br/>
      </w:r>
      <w:r>
        <w:rPr>
          <w:szCs w:val="22"/>
        </w:rPr>
        <w:t>č. 306/2007 Z. z., ktorou sa vydáva Štatistická klasifikácia ekonomických činností.</w:t>
      </w:r>
    </w:p>
    <w:p>
      <w:pPr>
        <w:pStyle w:val="ListParagraph"/>
        <w:numPr>
          <w:ilvl w:val="0"/>
          <w:numId w:val="97"/>
        </w:numPr>
        <w:tabs>
          <w:tab w:val="clear" w:pos="708"/>
          <w:tab w:val="left" w:pos="588" w:leader="none"/>
        </w:tabs>
        <w:ind w:left="294" w:hanging="308"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Standard"/>
        <w:rPr>
          <w:b/>
          <w:b/>
          <w:szCs w:val="22"/>
        </w:rPr>
      </w:pPr>
      <w:r>
        <w:rPr>
          <w:b/>
          <w:szCs w:val="22"/>
        </w:rPr>
      </w:r>
    </w:p>
    <w:p>
      <w:pPr>
        <w:pStyle w:val="Standard"/>
        <w:rPr>
          <w:b/>
          <w:b/>
          <w:szCs w:val="22"/>
        </w:rPr>
      </w:pPr>
      <w:r>
        <w:rPr>
          <w:b/>
          <w:szCs w:val="22"/>
        </w:rPr>
        <w:t>Použité  skratky:</w:t>
      </w:r>
    </w:p>
    <w:p>
      <w:pPr>
        <w:pStyle w:val="Standard"/>
        <w:rPr>
          <w:szCs w:val="22"/>
        </w:rPr>
      </w:pPr>
      <w:r>
        <w:rPr>
          <w:szCs w:val="22"/>
        </w:rPr>
        <w:t>CP  - cenný papier</w:t>
      </w:r>
    </w:p>
    <w:p>
      <w:pPr>
        <w:pStyle w:val="Standard"/>
        <w:rPr>
          <w:szCs w:val="22"/>
        </w:rPr>
      </w:pPr>
      <w:r>
        <w:rPr>
          <w:szCs w:val="22"/>
        </w:rPr>
        <w:t>č. - číslo</w:t>
      </w:r>
    </w:p>
    <w:p>
      <w:pPr>
        <w:pStyle w:val="Standard"/>
        <w:rPr>
          <w:szCs w:val="22"/>
        </w:rPr>
      </w:pPr>
      <w:r>
        <w:rPr>
          <w:szCs w:val="22"/>
        </w:rPr>
        <w:t>DFM – dlhodobý finančný majetok</w:t>
      </w:r>
    </w:p>
    <w:p>
      <w:pPr>
        <w:pStyle w:val="Standard"/>
        <w:rPr>
          <w:szCs w:val="22"/>
        </w:rPr>
      </w:pPr>
      <w:r>
        <w:rPr>
          <w:szCs w:val="22"/>
        </w:rPr>
        <w:t>DHM – dlhodobý hmotný majetok</w:t>
      </w:r>
    </w:p>
    <w:p>
      <w:pPr>
        <w:pStyle w:val="Standard"/>
        <w:rPr>
          <w:szCs w:val="22"/>
        </w:rPr>
      </w:pPr>
      <w:r>
        <w:rPr>
          <w:szCs w:val="22"/>
        </w:rPr>
        <w:t>DIČ – daňové identifikačné číslo</w:t>
      </w:r>
    </w:p>
    <w:p>
      <w:pPr>
        <w:pStyle w:val="Standard"/>
        <w:rPr>
          <w:szCs w:val="22"/>
        </w:rPr>
      </w:pPr>
      <w:r>
        <w:rPr>
          <w:szCs w:val="22"/>
        </w:rPr>
        <w:t>DNM – dlhodobý nehmotný majetok</w:t>
      </w:r>
    </w:p>
    <w:p>
      <w:pPr>
        <w:pStyle w:val="Standard"/>
        <w:rPr>
          <w:szCs w:val="22"/>
        </w:rPr>
      </w:pPr>
      <w:r>
        <w:rPr>
          <w:szCs w:val="22"/>
        </w:rPr>
        <w:t>DÚJ – dcérska účtovná jednotka</w:t>
      </w:r>
    </w:p>
    <w:p>
      <w:pPr>
        <w:pStyle w:val="Standard"/>
        <w:rPr>
          <w:szCs w:val="22"/>
        </w:rPr>
      </w:pPr>
      <w:r>
        <w:rPr>
          <w:szCs w:val="22"/>
        </w:rPr>
        <w:t>IČO – identifikačné číslo organizácie</w:t>
      </w:r>
    </w:p>
    <w:p>
      <w:pPr>
        <w:pStyle w:val="Standard"/>
        <w:rPr>
          <w:szCs w:val="22"/>
        </w:rPr>
      </w:pPr>
      <w:r>
        <w:rPr>
          <w:szCs w:val="22"/>
        </w:rPr>
        <w:t>kons. – konsolidovaný</w:t>
      </w:r>
    </w:p>
    <w:p>
      <w:pPr>
        <w:pStyle w:val="Standard"/>
        <w:rPr>
          <w:szCs w:val="22"/>
        </w:rPr>
      </w:pPr>
      <w:r>
        <w:rPr>
          <w:szCs w:val="22"/>
        </w:rPr>
        <w:t>MÚJ – materská účtovná jednotka</w:t>
      </w:r>
    </w:p>
    <w:p>
      <w:pPr>
        <w:pStyle w:val="Standard"/>
        <w:rPr>
          <w:szCs w:val="22"/>
        </w:rPr>
      </w:pPr>
      <w:r>
        <w:rPr>
          <w:szCs w:val="22"/>
        </w:rPr>
        <w:t>OP – opravná položka</w:t>
      </w:r>
    </w:p>
    <w:p>
      <w:pPr>
        <w:pStyle w:val="Standard"/>
        <w:rPr>
          <w:szCs w:val="22"/>
        </w:rPr>
      </w:pPr>
      <w:r>
        <w:rPr>
          <w:szCs w:val="22"/>
        </w:rPr>
        <w:t>p. a. – per annum</w:t>
      </w:r>
    </w:p>
    <w:p>
      <w:pPr>
        <w:pStyle w:val="Standard"/>
        <w:rPr>
          <w:szCs w:val="22"/>
        </w:rPr>
      </w:pPr>
      <w:r>
        <w:rPr>
          <w:szCs w:val="22"/>
        </w:rPr>
        <w:t>PSČ – poštové smerovacie číslo</w:t>
      </w:r>
    </w:p>
    <w:p>
      <w:pPr>
        <w:pStyle w:val="Standard"/>
        <w:rPr>
          <w:szCs w:val="22"/>
        </w:rPr>
      </w:pPr>
      <w:r>
        <w:rPr>
          <w:szCs w:val="22"/>
        </w:rPr>
        <w:t>ÚJ – účtovná jednotka</w:t>
      </w:r>
    </w:p>
    <w:p>
      <w:pPr>
        <w:pStyle w:val="Standard"/>
        <w:rPr>
          <w:szCs w:val="22"/>
        </w:rPr>
      </w:pPr>
      <w:r>
        <w:rPr>
          <w:szCs w:val="22"/>
        </w:rPr>
        <w:t>VI – vlastné imanie</w:t>
      </w:r>
    </w:p>
    <w:p>
      <w:pPr>
        <w:pStyle w:val="Standard"/>
        <w:rPr>
          <w:szCs w:val="22"/>
        </w:rPr>
      </w:pPr>
      <w:r>
        <w:rPr>
          <w:szCs w:val="22"/>
        </w:rPr>
        <w:t>ZI – základné imanie</w:t>
      </w:r>
      <w:r>
        <w:br w:type="page"/>
      </w:r>
    </w:p>
    <w:p>
      <w:pPr>
        <w:pStyle w:val="Standard"/>
        <w:rPr>
          <w:szCs w:val="22"/>
        </w:rPr>
      </w:pPr>
      <w:r>
        <w:rPr/>
      </w:r>
    </w:p>
    <w:sectPr>
      <w:headerReference w:type="default" r:id="rId2"/>
      <w:headerReference w:type="first" r:id="rId3"/>
      <w:footerReference w:type="first" r:id="rId4"/>
      <w:type w:val="nextPage"/>
      <w:pgSz w:w="11906" w:h="16838"/>
      <w:pgMar w:left="1134" w:right="1134" w:header="630" w:top="1215" w:footer="1135" w:bottom="1583" w:gutter="0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swiss"/>
    <w:pitch w:val="variable"/>
  </w:font>
  <w:font w:name="Arial Narrow">
    <w:charset w:val="ee"/>
    <w:family w:val="swiss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Arial Narrow">
    <w:charset w:val="ee"/>
    <w:family w:val="roman"/>
    <w:pitch w:val="variable"/>
  </w:font>
  <w:font w:name="Symbol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1</w:t>
    </w:r>
    <w:r>
      <w:rPr>
        <w:szCs w:val="22"/>
        <w:lang w:eastAsia="sk-SK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74" w:type="dxa"/>
      <w:jc w:val="left"/>
      <w:tblInd w:w="-25" w:type="dxa"/>
      <w:tblLayout w:type="fixed"/>
      <w:tblCellMar>
        <w:top w:w="0" w:type="dxa"/>
        <w:left w:w="5" w:type="dxa"/>
        <w:bottom w:w="0" w:type="dxa"/>
        <w:right w:w="5" w:type="dxa"/>
      </w:tblCellMar>
      <w:tblLook w:val="0000"/>
    </w:tblPr>
    <w:tblGrid>
      <w:gridCol w:w="2769"/>
      <w:gridCol w:w="3806"/>
      <w:gridCol w:w="389"/>
      <w:gridCol w:w="272"/>
      <w:gridCol w:w="271"/>
      <w:gridCol w:w="269"/>
      <w:gridCol w:w="271"/>
      <w:gridCol w:w="271"/>
      <w:gridCol w:w="271"/>
      <w:gridCol w:w="273"/>
      <w:gridCol w:w="271"/>
      <w:gridCol w:w="271"/>
      <w:gridCol w:w="269"/>
    </w:tblGrid>
    <w:tr>
      <w:trPr>
        <w:trHeight w:val="343" w:hRule="atLeast"/>
      </w:trPr>
      <w:tc>
        <w:tcPr>
          <w:tcW w:w="2769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bottom"/>
        </w:tcPr>
        <w:p>
          <w:pPr>
            <w:pStyle w:val="Normal"/>
            <w:widowControl w:val="false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6" w:type="dxa"/>
          <w:tcBorders/>
          <w:shd w:color="auto" w:fill="auto" w:val="clear"/>
          <w:vAlign w:val="bottom"/>
        </w:tcPr>
        <w:tbl>
          <w:tblPr>
            <w:tblW w:w="2765" w:type="dxa"/>
            <w:jc w:val="left"/>
            <w:tblInd w:w="921" w:type="dxa"/>
            <w:tblLayout w:type="fixed"/>
            <w:tblCellMar>
              <w:top w:w="55" w:type="dxa"/>
              <w:left w:w="55" w:type="dxa"/>
              <w:bottom w:w="55" w:type="dxa"/>
              <w:right w:w="55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5"/>
            <w:gridCol w:w="285"/>
            <w:gridCol w:w="286"/>
            <w:gridCol w:w="285"/>
            <w:gridCol w:w="277"/>
          </w:tblGrid>
          <w:tr>
            <w:trPr>
              <w:trHeight w:val="204" w:hRule="atLeast"/>
            </w:trPr>
            <w:tc>
              <w:tcPr>
                <w:tcW w:w="44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  <w:vAlign w:val="bottom"/>
              </w:tcPr>
              <w:p>
                <w:pPr>
                  <w:pStyle w:val="Normal"/>
                  <w:widowControl w:val="false"/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cs="Times New Roman" w:ascii="Arial Narrow" w:hAnsi="Arial Narrow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4</w:t>
                </w:r>
              </w:p>
            </w:tc>
            <w:tc>
              <w:tcPr>
                <w:tcW w:w="32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7</w:t>
                </w:r>
              </w:p>
            </w:tc>
            <w:tc>
              <w:tcPr>
                <w:tcW w:w="3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7</w:t>
                </w:r>
              </w:p>
            </w:tc>
            <w:tc>
              <w:tcPr>
                <w:tcW w:w="2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0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8</w:t>
                </w:r>
              </w:p>
            </w:tc>
            <w:tc>
              <w:tcPr>
                <w:tcW w:w="28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3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5</w:t>
                </w:r>
              </w:p>
            </w:tc>
            <w:tc>
              <w:tcPr>
                <w:tcW w:w="27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2</w:t>
                </w:r>
              </w:p>
            </w:tc>
          </w:tr>
        </w:tbl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</w:r>
        </w:p>
      </w:tc>
      <w:tc>
        <w:tcPr>
          <w:tcW w:w="389" w:type="dxa"/>
          <w:tcBorders/>
          <w:shd w:color="auto" w:fill="auto" w:val="clear"/>
          <w:vAlign w:val="center"/>
        </w:tcPr>
        <w:p>
          <w:pPr>
            <w:pStyle w:val="Normal"/>
            <w:widowControl w:val="false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272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0</w:t>
          </w:r>
        </w:p>
      </w:tc>
      <w:tc>
        <w:tcPr>
          <w:tcW w:w="269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4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6</w:t>
          </w:r>
        </w:p>
      </w:tc>
      <w:tc>
        <w:tcPr>
          <w:tcW w:w="273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6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9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1</w:t>
          </w:r>
        </w:p>
      </w:tc>
      <w:tc>
        <w:tcPr>
          <w:tcW w:w="269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3</w:t>
          </w:r>
        </w:p>
      </w:tc>
    </w:tr>
  </w:tbl>
  <w:p>
    <w:pPr>
      <w:pStyle w:val="Zhlavie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74" w:type="dxa"/>
      <w:jc w:val="left"/>
      <w:tblInd w:w="-25" w:type="dxa"/>
      <w:tblLayout w:type="fixed"/>
      <w:tblCellMar>
        <w:top w:w="0" w:type="dxa"/>
        <w:left w:w="5" w:type="dxa"/>
        <w:bottom w:w="0" w:type="dxa"/>
        <w:right w:w="5" w:type="dxa"/>
      </w:tblCellMar>
      <w:tblLook w:val="0000"/>
    </w:tblPr>
    <w:tblGrid>
      <w:gridCol w:w="2769"/>
      <w:gridCol w:w="3806"/>
      <w:gridCol w:w="389"/>
      <w:gridCol w:w="272"/>
      <w:gridCol w:w="271"/>
      <w:gridCol w:w="269"/>
      <w:gridCol w:w="271"/>
      <w:gridCol w:w="271"/>
      <w:gridCol w:w="271"/>
      <w:gridCol w:w="273"/>
      <w:gridCol w:w="271"/>
      <w:gridCol w:w="271"/>
      <w:gridCol w:w="269"/>
    </w:tblGrid>
    <w:tr>
      <w:trPr>
        <w:trHeight w:val="343" w:hRule="atLeast"/>
      </w:trPr>
      <w:tc>
        <w:tcPr>
          <w:tcW w:w="2769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bottom"/>
        </w:tcPr>
        <w:p>
          <w:pPr>
            <w:pStyle w:val="Normal"/>
            <w:widowControl w:val="false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6" w:type="dxa"/>
          <w:tcBorders/>
          <w:shd w:color="auto" w:fill="auto" w:val="clear"/>
          <w:vAlign w:val="bottom"/>
        </w:tcPr>
        <w:tbl>
          <w:tblPr>
            <w:tblW w:w="2765" w:type="dxa"/>
            <w:jc w:val="left"/>
            <w:tblInd w:w="921" w:type="dxa"/>
            <w:tblLayout w:type="fixed"/>
            <w:tblCellMar>
              <w:top w:w="55" w:type="dxa"/>
              <w:left w:w="55" w:type="dxa"/>
              <w:bottom w:w="55" w:type="dxa"/>
              <w:right w:w="55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5"/>
            <w:gridCol w:w="285"/>
            <w:gridCol w:w="286"/>
            <w:gridCol w:w="285"/>
            <w:gridCol w:w="277"/>
          </w:tblGrid>
          <w:tr>
            <w:trPr>
              <w:trHeight w:val="204" w:hRule="atLeast"/>
            </w:trPr>
            <w:tc>
              <w:tcPr>
                <w:tcW w:w="44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  <w:vAlign w:val="bottom"/>
              </w:tcPr>
              <w:p>
                <w:pPr>
                  <w:pStyle w:val="Normal"/>
                  <w:widowControl w:val="false"/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cs="Times New Roman" w:ascii="Arial Narrow" w:hAnsi="Arial Narrow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4</w:t>
                </w:r>
              </w:p>
            </w:tc>
            <w:tc>
              <w:tcPr>
                <w:tcW w:w="32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7</w:t>
                </w:r>
              </w:p>
            </w:tc>
            <w:tc>
              <w:tcPr>
                <w:tcW w:w="3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7</w:t>
                </w:r>
              </w:p>
            </w:tc>
            <w:tc>
              <w:tcPr>
                <w:tcW w:w="2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0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8</w:t>
                </w:r>
              </w:p>
            </w:tc>
            <w:tc>
              <w:tcPr>
                <w:tcW w:w="28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3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5</w:t>
                </w:r>
              </w:p>
            </w:tc>
            <w:tc>
              <w:tcPr>
                <w:tcW w:w="27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2</w:t>
                </w:r>
              </w:p>
            </w:tc>
          </w:tr>
        </w:tbl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</w:r>
        </w:p>
      </w:tc>
      <w:tc>
        <w:tcPr>
          <w:tcW w:w="389" w:type="dxa"/>
          <w:tcBorders/>
          <w:shd w:color="auto" w:fill="auto" w:val="clear"/>
          <w:vAlign w:val="center"/>
        </w:tcPr>
        <w:p>
          <w:pPr>
            <w:pStyle w:val="Normal"/>
            <w:widowControl w:val="false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272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0</w:t>
          </w:r>
        </w:p>
      </w:tc>
      <w:tc>
        <w:tcPr>
          <w:tcW w:w="269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4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6</w:t>
          </w:r>
        </w:p>
      </w:tc>
      <w:tc>
        <w:tcPr>
          <w:tcW w:w="273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6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9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1</w:t>
          </w:r>
        </w:p>
      </w:tc>
      <w:tc>
        <w:tcPr>
          <w:tcW w:w="269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3</w:t>
          </w:r>
        </w:p>
      </w:tc>
    </w:tr>
  </w:tbl>
  <w:p>
    <w:pPr>
      <w:pStyle w:val="Standard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22"/>
        <w:b w:val="false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">
    <w:lvl w:ilvl="0">
      <w:start w:val="10"/>
      <w:numFmt w:val="upperLetter"/>
      <w:lvlText w:val="%1.)"/>
      <w:lvlJc w:val="left"/>
      <w:pPr>
        <w:tabs>
          <w:tab w:val="num" w:pos="0"/>
        </w:tabs>
        <w:ind w:left="720" w:hanging="360"/>
      </w:pPr>
      <w:rPr>
        <w:rFonts w:ascii="Arial Narrow" w:hAnsi="Arial Narrow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kern w:val="2"/>
        <w:szCs w:val="22"/>
        <w:rFonts w:ascii="Arial Narrow" w:hAnsi="Arial Narrow" w:eastAsia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kern w:val="2"/>
        <w:szCs w:val="22"/>
        <w:rFonts w:ascii="Arial Narrow" w:hAnsi="Arial Narrow" w:eastAsia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8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kern w:val="2"/>
        <w:szCs w:val="22"/>
        <w:rFonts w:ascii="Arial Narrow" w:hAnsi="Arial Narrow" w:eastAsia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9">
    <w:lvl w:ilvl="0">
      <w:start w:val="1"/>
      <w:numFmt w:val="decimal"/>
      <w:lvlText w:val="%1)"/>
      <w:lvlJc w:val="left"/>
      <w:pPr>
        <w:tabs>
          <w:tab w:val="num" w:pos="0"/>
        </w:tabs>
        <w:ind w:left="0" w:hanging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0">
    <w:lvl w:ilvl="0">
      <w:start w:val="1"/>
      <w:numFmt w:val="decimal"/>
      <w:lvlText w:val="%1)"/>
      <w:lvlJc w:val="left"/>
      <w:pPr>
        <w:tabs>
          <w:tab w:val="num" w:pos="0"/>
        </w:tabs>
        <w:ind w:left="0" w:hanging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1">
    <w:lvl w:ilvl="0">
      <w:start w:val="1"/>
      <w:numFmt w:val="decimal"/>
      <w:lvlText w:val="%1)"/>
      <w:lvlJc w:val="left"/>
      <w:pPr>
        <w:tabs>
          <w:tab w:val="num" w:pos="0"/>
        </w:tabs>
        <w:ind w:left="0" w:hanging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2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b w:val="false"/>
        <w:kern w:val="2"/>
        <w:szCs w:val="22"/>
        <w:bCs w:val="false"/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5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5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"/>
    <w:lvlOverride w:ilvl="0">
      <w:startOverride w:val="1"/>
    </w:lvlOverride>
  </w:num>
  <w:num w:numId="53">
    <w:abstractNumId w:val="6"/>
    <w:lvlOverride w:ilvl="0">
      <w:startOverride w:val="1"/>
    </w:lvlOverride>
  </w:num>
  <w:num w:numId="54">
    <w:abstractNumId w:val="6"/>
  </w:num>
  <w:num w:numId="55">
    <w:abstractNumId w:val="6"/>
  </w:num>
  <w:num w:numId="56">
    <w:abstractNumId w:val="9"/>
    <w:lvlOverride w:ilvl="0">
      <w:startOverride w:val="1"/>
    </w:lvlOverride>
  </w:num>
  <w:num w:numId="57">
    <w:abstractNumId w:val="9"/>
  </w:num>
  <w:num w:numId="58">
    <w:abstractNumId w:val="9"/>
  </w:num>
  <w:num w:numId="59">
    <w:abstractNumId w:val="5"/>
  </w:num>
  <w:num w:numId="60">
    <w:abstractNumId w:val="5"/>
  </w:num>
  <w:num w:numId="61">
    <w:abstractNumId w:val="5"/>
  </w:num>
  <w:num w:numId="62">
    <w:abstractNumId w:val="5"/>
  </w:num>
  <w:num w:numId="63">
    <w:abstractNumId w:val="5"/>
  </w:num>
  <w:num w:numId="64">
    <w:abstractNumId w:val="5"/>
  </w:num>
  <w:num w:numId="65">
    <w:abstractNumId w:val="5"/>
  </w:num>
  <w:num w:numId="66">
    <w:abstractNumId w:val="5"/>
  </w:num>
  <w:num w:numId="67">
    <w:abstractNumId w:val="5"/>
  </w:num>
  <w:num w:numId="68">
    <w:abstractNumId w:val="5"/>
  </w:num>
  <w:num w:numId="69">
    <w:abstractNumId w:val="5"/>
  </w:num>
  <w:num w:numId="70">
    <w:abstractNumId w:val="5"/>
  </w:num>
  <w:num w:numId="71">
    <w:abstractNumId w:val="5"/>
  </w:num>
  <w:num w:numId="72">
    <w:abstractNumId w:val="5"/>
  </w:num>
  <w:num w:numId="73">
    <w:abstractNumId w:val="5"/>
  </w:num>
  <w:num w:numId="74">
    <w:abstractNumId w:val="5"/>
  </w:num>
  <w:num w:numId="75">
    <w:abstractNumId w:val="5"/>
  </w:num>
  <w:num w:numId="76">
    <w:abstractNumId w:val="5"/>
  </w:num>
  <w:num w:numId="77">
    <w:abstractNumId w:val="5"/>
  </w:num>
  <w:num w:numId="78">
    <w:abstractNumId w:val="5"/>
  </w:num>
  <w:num w:numId="79">
    <w:abstractNumId w:val="32"/>
    <w:lvlOverride w:ilvl="0">
      <w:startOverride w:val="1"/>
    </w:lvlOverride>
  </w:num>
  <w:num w:numId="80">
    <w:abstractNumId w:val="5"/>
  </w:num>
  <w:num w:numId="81">
    <w:abstractNumId w:val="5"/>
  </w:num>
  <w:num w:numId="82">
    <w:abstractNumId w:val="5"/>
  </w:num>
  <w:num w:numId="83">
    <w:abstractNumId w:val="5"/>
  </w:num>
  <w:num w:numId="84">
    <w:abstractNumId w:val="5"/>
  </w:num>
  <w:num w:numId="85">
    <w:abstractNumId w:val="5"/>
  </w:num>
  <w:num w:numId="86">
    <w:abstractNumId w:val="5"/>
  </w:num>
  <w:num w:numId="87">
    <w:abstractNumId w:val="5"/>
  </w:num>
  <w:num w:numId="88">
    <w:abstractNumId w:val="5"/>
  </w:num>
  <w:num w:numId="89">
    <w:abstractNumId w:val="5"/>
  </w:num>
  <w:num w:numId="90">
    <w:abstractNumId w:val="5"/>
  </w:num>
  <w:num w:numId="91">
    <w:abstractNumId w:val="5"/>
  </w:num>
  <w:num w:numId="92">
    <w:abstractNumId w:val="5"/>
  </w:num>
  <w:num w:numId="93">
    <w:abstractNumId w:val="5"/>
  </w:num>
  <w:num w:numId="94">
    <w:abstractNumId w:val="47"/>
    <w:lvlOverride w:ilvl="0">
      <w:startOverride w:val="1"/>
    </w:lvlOverride>
  </w:num>
  <w:num w:numId="95">
    <w:abstractNumId w:val="47"/>
  </w:num>
  <w:num w:numId="96">
    <w:abstractNumId w:val="47"/>
  </w:num>
  <w:num w:numId="97">
    <w:abstractNumId w:val="47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kern w:val="2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73102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sk-SK" w:eastAsia="zh-CN" w:bidi="hi-IN"/>
    </w:rPr>
  </w:style>
  <w:style w:type="paragraph" w:styleId="Nadpis1">
    <w:name w:val="Heading 1"/>
    <w:basedOn w:val="Nadpis"/>
    <w:next w:val="Textbody"/>
    <w:qFormat/>
    <w:rsid w:val="00b73102"/>
    <w:pPr>
      <w:widowControl/>
      <w:spacing w:before="240" w:after="60"/>
      <w:textAlignment w:val="auto"/>
      <w:outlineLvl w:val="0"/>
    </w:pPr>
    <w:rPr>
      <w:rFonts w:ascii="Cambria" w:hAnsi="Cambria" w:eastAsia="Cambria" w:cs="Times New Roman"/>
      <w:b/>
      <w:bCs/>
      <w:sz w:val="32"/>
      <w:szCs w:val="32"/>
      <w:lang w:eastAsia="en-US" w:bidi="ar-SA"/>
    </w:rPr>
  </w:style>
  <w:style w:type="paragraph" w:styleId="Nadpis2">
    <w:name w:val="Heading 2"/>
    <w:basedOn w:val="Nadpis"/>
    <w:next w:val="Textbody"/>
    <w:qFormat/>
    <w:rsid w:val="00b73102"/>
    <w:pPr>
      <w:widowControl/>
      <w:spacing w:before="240" w:after="60"/>
      <w:textAlignment w:val="auto"/>
      <w:outlineLvl w:val="1"/>
    </w:pPr>
    <w:rPr>
      <w:rFonts w:ascii="Cambria" w:hAnsi="Cambria" w:eastAsia="Cambria" w:cs="Times New Roman"/>
      <w:b/>
      <w:bCs/>
      <w:i/>
      <w:iCs/>
      <w:lang w:eastAsia="en-US" w:bidi="ar-SA"/>
    </w:rPr>
  </w:style>
  <w:style w:type="paragraph" w:styleId="Nadpis3">
    <w:name w:val="Heading 3"/>
    <w:basedOn w:val="Nadpis"/>
    <w:next w:val="Textbody"/>
    <w:qFormat/>
    <w:rsid w:val="00b73102"/>
    <w:pPr>
      <w:widowControl/>
      <w:spacing w:before="240" w:after="60"/>
      <w:textAlignment w:val="auto"/>
      <w:outlineLvl w:val="2"/>
    </w:pPr>
    <w:rPr>
      <w:rFonts w:ascii="Cambria" w:hAnsi="Cambria" w:eastAsia="Cambria" w:cs="Times New Roman"/>
      <w:b/>
      <w:bCs/>
      <w:sz w:val="26"/>
      <w:szCs w:val="26"/>
      <w:lang w:eastAsia="en-US" w:bidi="ar-SA"/>
    </w:rPr>
  </w:style>
  <w:style w:type="paragraph" w:styleId="Nadpis4">
    <w:name w:val="Heading 4"/>
    <w:basedOn w:val="Nadpis"/>
    <w:next w:val="Textbody"/>
    <w:qFormat/>
    <w:rsid w:val="00b73102"/>
    <w:pPr>
      <w:widowControl/>
      <w:spacing w:before="240" w:after="60"/>
      <w:textAlignment w:val="auto"/>
      <w:outlineLvl w:val="3"/>
    </w:pPr>
    <w:rPr>
      <w:rFonts w:ascii="Arial Narrow" w:hAnsi="Arial Narrow" w:eastAsia="Arial Narrow" w:cs="Times New Roman"/>
      <w:b/>
      <w:bCs/>
      <w:lang w:eastAsia="en-US" w:bidi="ar-SA"/>
    </w:rPr>
  </w:style>
  <w:style w:type="paragraph" w:styleId="Nadpis5">
    <w:name w:val="Heading 5"/>
    <w:basedOn w:val="Nadpis"/>
    <w:next w:val="Textbody"/>
    <w:qFormat/>
    <w:rsid w:val="00b73102"/>
    <w:pPr>
      <w:widowControl/>
      <w:spacing w:before="240" w:after="60"/>
      <w:textAlignment w:val="auto"/>
      <w:outlineLvl w:val="4"/>
    </w:pPr>
    <w:rPr>
      <w:rFonts w:ascii="Arial Narrow" w:hAnsi="Arial Narrow" w:eastAsia="Arial Narrow" w:cs="Times New Roman"/>
      <w:b/>
      <w:bCs/>
      <w:i/>
      <w:iCs/>
      <w:sz w:val="26"/>
      <w:szCs w:val="26"/>
      <w:lang w:eastAsia="en-US" w:bidi="ar-SA"/>
    </w:rPr>
  </w:style>
  <w:style w:type="paragraph" w:styleId="Nadpis6">
    <w:name w:val="Heading 6"/>
    <w:basedOn w:val="Nadpis"/>
    <w:next w:val="Textbody"/>
    <w:qFormat/>
    <w:rsid w:val="00b73102"/>
    <w:pPr>
      <w:widowControl/>
      <w:spacing w:before="240" w:after="60"/>
      <w:textAlignment w:val="auto"/>
      <w:outlineLvl w:val="5"/>
    </w:pPr>
    <w:rPr>
      <w:rFonts w:ascii="Arial Narrow" w:hAnsi="Arial Narrow" w:eastAsia="Arial Narrow" w:cs="Times New Roman"/>
      <w:b/>
      <w:bCs/>
      <w:sz w:val="22"/>
      <w:szCs w:val="22"/>
      <w:lang w:eastAsia="en-US" w:bidi="ar-SA"/>
    </w:rPr>
  </w:style>
  <w:style w:type="paragraph" w:styleId="Nadpis7">
    <w:name w:val="Heading 7"/>
    <w:basedOn w:val="Nadpis"/>
    <w:next w:val="Textbody"/>
    <w:qFormat/>
    <w:rsid w:val="00b73102"/>
    <w:pPr>
      <w:widowControl/>
      <w:spacing w:before="240" w:after="60"/>
      <w:textAlignment w:val="auto"/>
      <w:outlineLvl w:val="6"/>
    </w:pPr>
    <w:rPr>
      <w:rFonts w:ascii="Arial Narrow" w:hAnsi="Arial Narrow" w:eastAsia="Arial Narrow" w:cs="Times New Roman"/>
      <w:sz w:val="22"/>
      <w:szCs w:val="24"/>
      <w:lang w:eastAsia="en-US" w:bidi="ar-SA"/>
    </w:rPr>
  </w:style>
  <w:style w:type="paragraph" w:styleId="Nadpis8">
    <w:name w:val="Heading 8"/>
    <w:basedOn w:val="Nadpis"/>
    <w:next w:val="Textbody"/>
    <w:qFormat/>
    <w:rsid w:val="00b73102"/>
    <w:pPr>
      <w:widowControl/>
      <w:spacing w:before="240" w:after="60"/>
      <w:textAlignment w:val="auto"/>
      <w:outlineLvl w:val="7"/>
    </w:pPr>
    <w:rPr>
      <w:rFonts w:ascii="Arial Narrow" w:hAnsi="Arial Narrow" w:eastAsia="Arial Narrow" w:cs="Times New Roman"/>
      <w:i/>
      <w:iCs/>
      <w:sz w:val="22"/>
      <w:szCs w:val="24"/>
      <w:lang w:eastAsia="en-US" w:bidi="ar-SA"/>
    </w:rPr>
  </w:style>
  <w:style w:type="paragraph" w:styleId="Nadpis9">
    <w:name w:val="Heading 9"/>
    <w:basedOn w:val="Nadpis"/>
    <w:next w:val="Textbody"/>
    <w:qFormat/>
    <w:rsid w:val="00b73102"/>
    <w:pPr>
      <w:widowControl/>
      <w:spacing w:before="240" w:after="60"/>
      <w:textAlignment w:val="auto"/>
      <w:outlineLvl w:val="8"/>
    </w:pPr>
    <w:rPr>
      <w:rFonts w:ascii="Cambria" w:hAnsi="Cambria" w:eastAsia="Cambria" w:cs="Times New Roman"/>
      <w:sz w:val="22"/>
      <w:szCs w:val="22"/>
      <w:lang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qFormat/>
    <w:rsid w:val="00b73102"/>
    <w:rPr>
      <w:rFonts w:ascii="Cambria" w:hAnsi="Cambria" w:eastAsia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qFormat/>
    <w:rsid w:val="00b73102"/>
    <w:rPr>
      <w:rFonts w:ascii="Cambria" w:hAnsi="Cambria" w:eastAsia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qFormat/>
    <w:rsid w:val="00b73102"/>
    <w:rPr>
      <w:rFonts w:ascii="Cambria" w:hAnsi="Cambria" w:eastAsia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qFormat/>
    <w:rsid w:val="00b73102"/>
    <w:rPr>
      <w:rFonts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qFormat/>
    <w:rsid w:val="00b73102"/>
    <w:rPr>
      <w:rFonts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qFormat/>
    <w:rsid w:val="00b73102"/>
    <w:rPr>
      <w:rFonts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qFormat/>
    <w:rsid w:val="00b73102"/>
    <w:rPr>
      <w:rFonts w:cs="Times New Roman"/>
      <w:sz w:val="24"/>
      <w:szCs w:val="24"/>
    </w:rPr>
  </w:style>
  <w:style w:type="character" w:styleId="Nadpis8Char" w:customStyle="1">
    <w:name w:val="Nadpis 8 Char"/>
    <w:basedOn w:val="DefaultParagraphFont"/>
    <w:qFormat/>
    <w:rsid w:val="00b73102"/>
    <w:rPr>
      <w:rFonts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qFormat/>
    <w:rsid w:val="00b73102"/>
    <w:rPr>
      <w:rFonts w:ascii="Cambria" w:hAnsi="Cambria" w:eastAsia="Cambria" w:cs="Times New Roman"/>
      <w:sz w:val="22"/>
      <w:szCs w:val="22"/>
    </w:rPr>
  </w:style>
  <w:style w:type="character" w:styleId="HlavikaChar" w:customStyle="1">
    <w:name w:val="Hlavička Char"/>
    <w:basedOn w:val="DefaultParagraphFont"/>
    <w:qFormat/>
    <w:rsid w:val="00b73102"/>
    <w:rPr>
      <w:rFonts w:cs="Times New Roman"/>
    </w:rPr>
  </w:style>
  <w:style w:type="character" w:styleId="PtaChar" w:customStyle="1">
    <w:name w:val="Päta Char"/>
    <w:basedOn w:val="DefaultParagraphFont"/>
    <w:qFormat/>
    <w:rsid w:val="00b73102"/>
    <w:rPr>
      <w:rFonts w:cs="Times New Roman"/>
    </w:rPr>
  </w:style>
  <w:style w:type="character" w:styleId="TextpoznmkypodiarouChar" w:customStyle="1">
    <w:name w:val="Text poznámky pod čiarou Char"/>
    <w:basedOn w:val="DefaultParagraphFont"/>
    <w:qFormat/>
    <w:rsid w:val="00b73102"/>
    <w:rPr>
      <w:rFonts w:ascii="Times New Roman" w:hAnsi="Times New Roman" w:eastAsia="Times New Roman" w:cs="Times New Roman"/>
      <w:sz w:val="20"/>
      <w:szCs w:val="20"/>
      <w:lang w:val="sk-SK" w:eastAsia="cs-CZ"/>
    </w:rPr>
  </w:style>
  <w:style w:type="character" w:styleId="TextpoznmkypodiarouChar1" w:customStyle="1">
    <w:name w:val="Text poznámky pod čiarou Char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qFormat/>
    <w:rsid w:val="00b73102"/>
    <w:rPr>
      <w:rFonts w:cs="Times New Roman"/>
      <w:sz w:val="20"/>
      <w:szCs w:val="20"/>
    </w:rPr>
  </w:style>
  <w:style w:type="character" w:styleId="NzovChar" w:customStyle="1">
    <w:name w:val="Názov Char"/>
    <w:basedOn w:val="DefaultParagraphFont"/>
    <w:qFormat/>
    <w:rsid w:val="00b73102"/>
    <w:rPr>
      <w:rFonts w:cs="Times New Roman"/>
      <w:b/>
      <w:bCs/>
      <w:kern w:val="2"/>
      <w:sz w:val="32"/>
      <w:szCs w:val="32"/>
    </w:rPr>
  </w:style>
  <w:style w:type="character" w:styleId="NzovChar1" w:customStyle="1">
    <w:name w:val="Názov Char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ZkladntextChar" w:customStyle="1">
    <w:name w:val="Základný text Char"/>
    <w:basedOn w:val="DefaultParagraphFont"/>
    <w:qFormat/>
    <w:rsid w:val="00b73102"/>
    <w:rPr>
      <w:rFonts w:ascii="Times New Roman" w:hAnsi="Times New Roman" w:eastAsia="Times New Roman" w:cs="Times New Roman"/>
      <w:b/>
      <w:bCs/>
      <w:sz w:val="24"/>
      <w:szCs w:val="24"/>
      <w:lang w:val="sk-SK" w:eastAsia="cs-CZ"/>
    </w:rPr>
  </w:style>
  <w:style w:type="character" w:styleId="ZkladntextChar1" w:customStyle="1">
    <w:name w:val="Základný text Char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qFormat/>
    <w:rsid w:val="00b73102"/>
    <w:rPr>
      <w:rFonts w:cs="Times New Roman"/>
      <w:sz w:val="36"/>
      <w:szCs w:val="36"/>
    </w:rPr>
  </w:style>
  <w:style w:type="character" w:styleId="PodtitulChar" w:customStyle="1">
    <w:name w:val="Podtitul Char"/>
    <w:basedOn w:val="DefaultParagraphFont"/>
    <w:qFormat/>
    <w:rsid w:val="00b73102"/>
    <w:rPr>
      <w:rFonts w:ascii="Cambria" w:hAnsi="Cambria" w:eastAsia="Cambria" w:cs="Times New Roman"/>
      <w:sz w:val="24"/>
      <w:szCs w:val="24"/>
    </w:rPr>
  </w:style>
  <w:style w:type="character" w:styleId="PodtitulChar1" w:customStyle="1">
    <w:name w:val="Podtitul Char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5" w:customStyle="1">
    <w:name w:val="Podtitul Char13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4" w:customStyle="1">
    <w:name w:val="Podtitul Char13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3" w:customStyle="1">
    <w:name w:val="Podtitul Char13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2" w:customStyle="1">
    <w:name w:val="Podtitul Char13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1" w:customStyle="1">
    <w:name w:val="Podtitul Char13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0" w:customStyle="1">
    <w:name w:val="Podtitul Char130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9" w:customStyle="1">
    <w:name w:val="Podtitul Char129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8" w:customStyle="1">
    <w:name w:val="Podtitul Char128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7" w:customStyle="1">
    <w:name w:val="Podtitul Char127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6" w:customStyle="1">
    <w:name w:val="Podtitul Char126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5" w:customStyle="1">
    <w:name w:val="Podtitul Char12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4" w:customStyle="1">
    <w:name w:val="Podtitul Char12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3" w:customStyle="1">
    <w:name w:val="Podtitul Char12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2" w:customStyle="1">
    <w:name w:val="Podtitul Char12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1" w:customStyle="1">
    <w:name w:val="Podtitul Char12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0" w:customStyle="1">
    <w:name w:val="Podtitul Char120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9" w:customStyle="1">
    <w:name w:val="Podtitul Char119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8" w:customStyle="1">
    <w:name w:val="Podtitul Char118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7" w:customStyle="1">
    <w:name w:val="Podtitul Char117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6" w:customStyle="1">
    <w:name w:val="Podtitul Char116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5" w:customStyle="1">
    <w:name w:val="Podtitul Char11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4" w:customStyle="1">
    <w:name w:val="Podtitul Char11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3" w:customStyle="1">
    <w:name w:val="Podtitul Char11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2" w:customStyle="1">
    <w:name w:val="Podtitul Char11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1" w:customStyle="1">
    <w:name w:val="Podtitul Char11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0" w:customStyle="1">
    <w:name w:val="Podtitul Char110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9" w:customStyle="1">
    <w:name w:val="Podtitul Char19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8" w:customStyle="1">
    <w:name w:val="Podtitul Char18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7" w:customStyle="1">
    <w:name w:val="Podtitul Char17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6" w:customStyle="1">
    <w:name w:val="Podtitul Char16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5" w:customStyle="1">
    <w:name w:val="Podtitul Char1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4" w:customStyle="1">
    <w:name w:val="Podtitul Char1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" w:customStyle="1">
    <w:name w:val="Podtitul Char1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" w:customStyle="1">
    <w:name w:val="Podtitul Char1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" w:customStyle="1">
    <w:name w:val="Podtitul Char1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Zkladntext2Char" w:customStyle="1">
    <w:name w:val="Základný text 2 Char"/>
    <w:basedOn w:val="DefaultParagraphFont"/>
    <w:qFormat/>
    <w:rsid w:val="00b73102"/>
    <w:rPr>
      <w:rFonts w:ascii="Times New Roman" w:hAnsi="Times New Roman" w:eastAsia="Times New Roman" w:cs="Times New Roman"/>
      <w:sz w:val="24"/>
      <w:szCs w:val="24"/>
      <w:lang w:val="sk-SK" w:eastAsia="cs-CZ"/>
    </w:rPr>
  </w:style>
  <w:style w:type="character" w:styleId="Zkladntext2Char1" w:customStyle="1">
    <w:name w:val="Základný text 2 Char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" w:customStyle="1">
    <w:name w:val="Zarážka základného textu 2 Char"/>
    <w:basedOn w:val="DefaultParagraphFont"/>
    <w:qFormat/>
    <w:rsid w:val="00b73102"/>
    <w:rPr>
      <w:rFonts w:ascii="Times New Roman" w:hAnsi="Times New Roman" w:eastAsia="Times New Roman" w:cs="Times New Roman"/>
      <w:sz w:val="24"/>
      <w:szCs w:val="24"/>
      <w:lang w:val="sk-SK" w:eastAsia="cs-CZ"/>
    </w:rPr>
  </w:style>
  <w:style w:type="character" w:styleId="Zarkazkladnhotextu2Char1" w:customStyle="1">
    <w:name w:val="Zarážka základného textu 2 Char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3Char" w:customStyle="1">
    <w:name w:val="Zarážka základného textu 3 Char"/>
    <w:basedOn w:val="DefaultParagraphFont"/>
    <w:qFormat/>
    <w:rsid w:val="00b73102"/>
    <w:rPr>
      <w:rFonts w:ascii="Times New Roman" w:hAnsi="Times New Roman" w:eastAsia="Times New Roman" w:cs="Times New Roman"/>
      <w:sz w:val="24"/>
      <w:szCs w:val="24"/>
      <w:lang w:val="sk-SK" w:eastAsia="cs-CZ"/>
    </w:rPr>
  </w:style>
  <w:style w:type="character" w:styleId="Zarkazkladnhotextu3Char1" w:customStyle="1">
    <w:name w:val="Zarážka základného textu 3 Char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qFormat/>
    <w:rsid w:val="00b73102"/>
    <w:rPr>
      <w:rFonts w:cs="Times New Roman"/>
      <w:sz w:val="16"/>
      <w:szCs w:val="16"/>
    </w:rPr>
  </w:style>
  <w:style w:type="character" w:styleId="TextbublinyChar" w:customStyle="1">
    <w:name w:val="Text bubliny Char"/>
    <w:basedOn w:val="DefaultParagraphFont"/>
    <w:qFormat/>
    <w:rsid w:val="00b73102"/>
    <w:rPr>
      <w:rFonts w:ascii="Tahoma" w:hAnsi="Tahoma" w:eastAsia="Tahoma" w:cs="Cambria"/>
      <w:sz w:val="16"/>
      <w:szCs w:val="16"/>
      <w:lang w:val="sk-SK" w:eastAsia="cs-CZ"/>
    </w:rPr>
  </w:style>
  <w:style w:type="character" w:styleId="TextbublinyChar1" w:customStyle="1">
    <w:name w:val="Text bubliny Char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5" w:customStyle="1">
    <w:name w:val="Text bubliny Char135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4" w:customStyle="1">
    <w:name w:val="Text bubliny Char134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3" w:customStyle="1">
    <w:name w:val="Text bubliny Char13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2" w:customStyle="1">
    <w:name w:val="Text bubliny Char13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1" w:customStyle="1">
    <w:name w:val="Text bubliny Char13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0" w:customStyle="1">
    <w:name w:val="Text bubliny Char130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9" w:customStyle="1">
    <w:name w:val="Text bubliny Char129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8" w:customStyle="1">
    <w:name w:val="Text bubliny Char128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7" w:customStyle="1">
    <w:name w:val="Text bubliny Char127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6" w:customStyle="1">
    <w:name w:val="Text bubliny Char126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5" w:customStyle="1">
    <w:name w:val="Text bubliny Char125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4" w:customStyle="1">
    <w:name w:val="Text bubliny Char124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3" w:customStyle="1">
    <w:name w:val="Text bubliny Char12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2" w:customStyle="1">
    <w:name w:val="Text bubliny Char12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1" w:customStyle="1">
    <w:name w:val="Text bubliny Char12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0" w:customStyle="1">
    <w:name w:val="Text bubliny Char120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9" w:customStyle="1">
    <w:name w:val="Text bubliny Char119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8" w:customStyle="1">
    <w:name w:val="Text bubliny Char118"/>
    <w:basedOn w:val="DefaultParagraphFont"/>
    <w:qFormat/>
    <w:rsid w:val="00b73102"/>
    <w:rPr>
      <w:rFonts w:ascii="Segoe UI" w:hAnsi="Segoe UI" w:eastAsia="Segoe UI" w:cs="Cambria Cyr"/>
      <w:sz w:val="18"/>
      <w:szCs w:val="18"/>
    </w:rPr>
  </w:style>
  <w:style w:type="character" w:styleId="TextbublinyChar117" w:customStyle="1">
    <w:name w:val="Text bubliny Char117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6" w:customStyle="1">
    <w:name w:val="Text bubliny Char116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5" w:customStyle="1">
    <w:name w:val="Text bubliny Char115"/>
    <w:basedOn w:val="DefaultParagraphFont"/>
    <w:qFormat/>
    <w:rsid w:val="00b73102"/>
    <w:rPr>
      <w:rFonts w:ascii="Segoe UI" w:hAnsi="Segoe UI" w:eastAsia="Segoe UI" w:cs="Cambria Cyr"/>
      <w:sz w:val="18"/>
      <w:szCs w:val="18"/>
    </w:rPr>
  </w:style>
  <w:style w:type="character" w:styleId="TextbublinyChar114" w:customStyle="1">
    <w:name w:val="Text bubliny Char114"/>
    <w:basedOn w:val="DefaultParagraphFont"/>
    <w:qFormat/>
    <w:rsid w:val="00b73102"/>
    <w:rPr>
      <w:rFonts w:ascii="Segoe UI" w:hAnsi="Segoe UI" w:eastAsia="Segoe UI" w:cs="Cambria Cyr"/>
      <w:sz w:val="18"/>
      <w:szCs w:val="18"/>
    </w:rPr>
  </w:style>
  <w:style w:type="character" w:styleId="TextbublinyChar113" w:customStyle="1">
    <w:name w:val="Text bubliny Char11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2" w:customStyle="1">
    <w:name w:val="Text bubliny Char11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1" w:customStyle="1">
    <w:name w:val="Text bubliny Char11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0" w:customStyle="1">
    <w:name w:val="Text bubliny Char110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9" w:customStyle="1">
    <w:name w:val="Text bubliny Char19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8" w:customStyle="1">
    <w:name w:val="Text bubliny Char18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7" w:customStyle="1">
    <w:name w:val="Text bubliny Char17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6" w:customStyle="1">
    <w:name w:val="Text bubliny Char16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5" w:customStyle="1">
    <w:name w:val="Text bubliny Char15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4" w:customStyle="1">
    <w:name w:val="Text bubliny Char14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" w:customStyle="1">
    <w:name w:val="Text bubliny Char1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" w:customStyle="1">
    <w:name w:val="Text bubliny Char1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" w:customStyle="1">
    <w:name w:val="Text bubliny Char1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WW8Num12z0" w:customStyle="1">
    <w:name w:val="WW8Num12z0"/>
    <w:qFormat/>
    <w:rsid w:val="00b73102"/>
    <w:rPr>
      <w:rFonts w:ascii="Arial Narrow" w:hAnsi="Arial Narrow" w:eastAsia="Arial Narrow" w:cs="Arial Narrow"/>
      <w:b w:val="false"/>
      <w:sz w:val="22"/>
      <w:szCs w:val="22"/>
    </w:rPr>
  </w:style>
  <w:style w:type="character" w:styleId="WW8Num2z0" w:customStyle="1">
    <w:name w:val="WW8Num2z0"/>
    <w:qFormat/>
    <w:rsid w:val="00b73102"/>
    <w:rPr>
      <w:rFonts w:ascii="Arial Narrow" w:hAnsi="Arial Narrow" w:eastAsia="Arial Narrow" w:cs="Times New Roman"/>
      <w:kern w:val="2"/>
      <w:sz w:val="22"/>
      <w:szCs w:val="22"/>
    </w:rPr>
  </w:style>
  <w:style w:type="character" w:styleId="WW8Num3z0" w:customStyle="1">
    <w:name w:val="WW8Num3z0"/>
    <w:qFormat/>
    <w:rsid w:val="00b73102"/>
    <w:rPr>
      <w:rFonts w:ascii="Arial Narrow" w:hAnsi="Arial Narrow" w:eastAsia="Arial Narrow" w:cs="Times New Roman"/>
    </w:rPr>
  </w:style>
  <w:style w:type="character" w:styleId="WW8Num10z0" w:customStyle="1">
    <w:name w:val="WW8Num10z0"/>
    <w:qFormat/>
    <w:rsid w:val="00b73102"/>
    <w:rPr>
      <w:rFonts w:ascii="Arial Narrow" w:hAnsi="Arial Narrow" w:eastAsia="Arial Narrow" w:cs="Times New Roman"/>
      <w:sz w:val="22"/>
      <w:szCs w:val="22"/>
    </w:rPr>
  </w:style>
  <w:style w:type="character" w:styleId="WW8Num11z0" w:customStyle="1">
    <w:name w:val="WW8Num11z0"/>
    <w:qFormat/>
    <w:rsid w:val="00b73102"/>
    <w:rPr>
      <w:rFonts w:ascii="Arial Narrow" w:hAnsi="Arial Narrow" w:eastAsia="Arial Narrow" w:cs="Times New Roman"/>
    </w:rPr>
  </w:style>
  <w:style w:type="character" w:styleId="WW8Num7z0" w:customStyle="1">
    <w:name w:val="WW8Num7z0"/>
    <w:qFormat/>
    <w:rsid w:val="00b73102"/>
    <w:rPr>
      <w:rFonts w:ascii="Arial Narrow" w:hAnsi="Arial Narrow" w:eastAsia="Arial Narrow" w:cs="Times New Roman"/>
      <w:b w:val="false"/>
      <w:bCs w:val="false"/>
      <w:kern w:val="2"/>
      <w:sz w:val="22"/>
      <w:szCs w:val="22"/>
    </w:rPr>
  </w:style>
  <w:style w:type="character" w:styleId="WW8Num13z0" w:customStyle="1">
    <w:name w:val="WW8Num13z0"/>
    <w:qFormat/>
    <w:rsid w:val="00b73102"/>
    <w:rPr>
      <w:rFonts w:ascii="Arial Narrow" w:hAnsi="Arial Narrow" w:eastAsia="Arial Narrow" w:cs="Times New Roman"/>
    </w:rPr>
  </w:style>
  <w:style w:type="character" w:styleId="WW8Num13z1" w:customStyle="1">
    <w:name w:val="WW8Num13z1"/>
    <w:qFormat/>
    <w:rsid w:val="00b73102"/>
    <w:rPr/>
  </w:style>
  <w:style w:type="character" w:styleId="WW8Num13z2" w:customStyle="1">
    <w:name w:val="WW8Num13z2"/>
    <w:qFormat/>
    <w:rsid w:val="00b73102"/>
    <w:rPr/>
  </w:style>
  <w:style w:type="character" w:styleId="WW8Num13z3" w:customStyle="1">
    <w:name w:val="WW8Num13z3"/>
    <w:qFormat/>
    <w:rsid w:val="00b73102"/>
    <w:rPr/>
  </w:style>
  <w:style w:type="character" w:styleId="WW8Num13z4" w:customStyle="1">
    <w:name w:val="WW8Num13z4"/>
    <w:qFormat/>
    <w:rsid w:val="00b73102"/>
    <w:rPr/>
  </w:style>
  <w:style w:type="character" w:styleId="WW8Num13z5" w:customStyle="1">
    <w:name w:val="WW8Num13z5"/>
    <w:qFormat/>
    <w:rsid w:val="00b73102"/>
    <w:rPr/>
  </w:style>
  <w:style w:type="character" w:styleId="WW8Num13z6" w:customStyle="1">
    <w:name w:val="WW8Num13z6"/>
    <w:qFormat/>
    <w:rsid w:val="00b73102"/>
    <w:rPr/>
  </w:style>
  <w:style w:type="character" w:styleId="WW8Num13z7" w:customStyle="1">
    <w:name w:val="WW8Num13z7"/>
    <w:qFormat/>
    <w:rsid w:val="00b73102"/>
    <w:rPr/>
  </w:style>
  <w:style w:type="character" w:styleId="WW8Num13z8" w:customStyle="1">
    <w:name w:val="WW8Num13z8"/>
    <w:qFormat/>
    <w:rsid w:val="00b73102"/>
    <w:rPr/>
  </w:style>
  <w:style w:type="character" w:styleId="WW8Num9z0" w:customStyle="1">
    <w:name w:val="WW8Num9z0"/>
    <w:qFormat/>
    <w:rsid w:val="00b73102"/>
    <w:rPr>
      <w:rFonts w:cs="Times New Roman"/>
    </w:rPr>
  </w:style>
  <w:style w:type="character" w:styleId="WW8Num8z0" w:customStyle="1">
    <w:name w:val="WW8Num8z0"/>
    <w:qFormat/>
    <w:rsid w:val="00b73102"/>
    <w:rPr>
      <w:rFonts w:ascii="Arial Narrow" w:hAnsi="Arial Narrow" w:eastAsia="Arial Narrow" w:cs="Times New Roman"/>
      <w:bCs/>
      <w:kern w:val="2"/>
    </w:rPr>
  </w:style>
  <w:style w:type="character" w:styleId="WW8Num5z0" w:customStyle="1">
    <w:name w:val="WW8Num5z0"/>
    <w:qFormat/>
    <w:rsid w:val="00b73102"/>
    <w:rPr>
      <w:rFonts w:ascii="Arial Narrow" w:hAnsi="Arial Narrow" w:eastAsia="Arial Narrow" w:cs="Symbol"/>
    </w:rPr>
  </w:style>
  <w:style w:type="character" w:styleId="WW8Num6z0" w:customStyle="1">
    <w:name w:val="WW8Num6z0"/>
    <w:qFormat/>
    <w:rsid w:val="00b73102"/>
    <w:rPr/>
  </w:style>
  <w:style w:type="character" w:styleId="WW8Num4z0" w:customStyle="1">
    <w:name w:val="WW8Num4z0"/>
    <w:qFormat/>
    <w:rsid w:val="00b73102"/>
    <w:rPr>
      <w:rFonts w:ascii="Symbol" w:hAnsi="Symbol" w:eastAsia="Symbol" w:cs="Symbol"/>
    </w:rPr>
  </w:style>
  <w:style w:type="character" w:styleId="Symbolypreslovanie" w:customStyle="1">
    <w:name w:val="Symboly pre číslovanie"/>
    <w:qFormat/>
    <w:rsid w:val="00b73102"/>
    <w:rPr/>
  </w:style>
  <w:style w:type="character" w:styleId="Ra" w:customStyle="1">
    <w:name w:val="ra"/>
    <w:basedOn w:val="DefaultParagraphFont"/>
    <w:qFormat/>
    <w:rsid w:val="00480be5"/>
    <w:rPr/>
  </w:style>
  <w:style w:type="character" w:styleId="Tl" w:customStyle="1">
    <w:name w:val="tl"/>
    <w:basedOn w:val="DefaultParagraphFont"/>
    <w:qFormat/>
    <w:rsid w:val="00cc0ddf"/>
    <w:rPr/>
  </w:style>
  <w:style w:type="paragraph" w:styleId="Nadpis" w:customStyle="1">
    <w:name w:val="Nadpis"/>
    <w:basedOn w:val="Standard"/>
    <w:next w:val="Textbody"/>
    <w:qFormat/>
    <w:rsid w:val="00b73102"/>
    <w:pPr>
      <w:keepNext w:val="true"/>
      <w:spacing w:before="240" w:after="120"/>
    </w:pPr>
    <w:rPr>
      <w:rFonts w:ascii="Arial" w:hAnsi="Arial" w:eastAsia="Microsoft YaHei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xtbody"/>
    <w:rsid w:val="00b73102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Standard"/>
    <w:qFormat/>
    <w:rsid w:val="00b73102"/>
    <w:pPr>
      <w:suppressLineNumbers/>
    </w:pPr>
    <w:rPr/>
  </w:style>
  <w:style w:type="paragraph" w:styleId="Standard" w:customStyle="1">
    <w:name w:val="Standard"/>
    <w:qFormat/>
    <w:rsid w:val="00b73102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sk-SK" w:eastAsia="zh-CN" w:bidi="hi-IN"/>
    </w:rPr>
  </w:style>
  <w:style w:type="paragraph" w:styleId="Textbody" w:customStyle="1">
    <w:name w:val="Text body"/>
    <w:basedOn w:val="Standard"/>
    <w:qFormat/>
    <w:rsid w:val="00b73102"/>
    <w:pPr>
      <w:widowControl/>
      <w:jc w:val="both"/>
      <w:textAlignment w:val="auto"/>
    </w:pPr>
    <w:rPr>
      <w:rFonts w:cs="Times New Roman"/>
      <w:b/>
      <w:bCs/>
      <w:lang w:eastAsia="cs-CZ" w:bidi="ar-SA"/>
    </w:rPr>
  </w:style>
  <w:style w:type="paragraph" w:styleId="Caption">
    <w:name w:val="caption"/>
    <w:basedOn w:val="Standard"/>
    <w:qFormat/>
    <w:rsid w:val="00b73102"/>
    <w:pPr>
      <w:suppressLineNumbers/>
      <w:spacing w:before="120" w:after="120"/>
    </w:pPr>
    <w:rPr>
      <w:i/>
      <w:iCs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Standard"/>
    <w:rsid w:val="00b73102"/>
    <w:pPr>
      <w:widowControl/>
      <w:suppressLineNumbers/>
      <w:tabs>
        <w:tab w:val="clear" w:pos="708"/>
        <w:tab w:val="center" w:pos="4536" w:leader="none"/>
        <w:tab w:val="right" w:pos="9072" w:leader="none"/>
      </w:tabs>
      <w:textAlignment w:val="auto"/>
    </w:pPr>
    <w:rPr>
      <w:rFonts w:ascii="Arial Narrow" w:hAnsi="Arial Narrow" w:eastAsia="Arial Narrow" w:cs="Times New Roman"/>
      <w:sz w:val="22"/>
      <w:szCs w:val="36"/>
      <w:lang w:eastAsia="en-US" w:bidi="ar-SA"/>
    </w:rPr>
  </w:style>
  <w:style w:type="paragraph" w:styleId="Pta">
    <w:name w:val="Footer"/>
    <w:basedOn w:val="Standard"/>
    <w:rsid w:val="00b73102"/>
    <w:pPr>
      <w:widowControl/>
      <w:suppressLineNumbers/>
      <w:tabs>
        <w:tab w:val="clear" w:pos="708"/>
        <w:tab w:val="center" w:pos="4536" w:leader="none"/>
        <w:tab w:val="right" w:pos="9072" w:leader="none"/>
      </w:tabs>
      <w:textAlignment w:val="auto"/>
    </w:pPr>
    <w:rPr>
      <w:rFonts w:ascii="Arial Narrow" w:hAnsi="Arial Narrow" w:eastAsia="Arial Narrow" w:cs="Times New Roman"/>
      <w:sz w:val="22"/>
      <w:szCs w:val="36"/>
      <w:lang w:eastAsia="en-US" w:bidi="ar-SA"/>
    </w:rPr>
  </w:style>
  <w:style w:type="paragraph" w:styleId="Poznmkapodiarou">
    <w:name w:val="Footnote Text"/>
    <w:rsid w:val="00b73102"/>
    <w:pPr>
      <w:widowControl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SimSun" w:cs="Times New Roman"/>
      <w:color w:val="auto"/>
      <w:kern w:val="2"/>
      <w:sz w:val="20"/>
      <w:szCs w:val="20"/>
      <w:lang w:val="sk-SK" w:eastAsia="cs-CZ" w:bidi="ar-SA"/>
    </w:rPr>
  </w:style>
  <w:style w:type="paragraph" w:styleId="Nzov">
    <w:name w:val="Title"/>
    <w:basedOn w:val="Nadpis"/>
    <w:next w:val="Textbody"/>
    <w:qFormat/>
    <w:rsid w:val="00b73102"/>
    <w:pPr>
      <w:widowControl/>
      <w:spacing w:before="100" w:after="220"/>
      <w:jc w:val="center"/>
      <w:textAlignment w:val="auto"/>
    </w:pPr>
    <w:rPr>
      <w:rFonts w:ascii="Arial Narrow" w:hAnsi="Arial Narrow" w:eastAsia="Arial Narrow" w:cs="Times New Roman"/>
      <w:b/>
      <w:bCs/>
      <w:sz w:val="22"/>
      <w:szCs w:val="32"/>
      <w:lang w:eastAsia="en-US" w:bidi="ar-SA"/>
    </w:rPr>
  </w:style>
  <w:style w:type="paragraph" w:styleId="Podnzov">
    <w:name w:val="Subtitle"/>
    <w:basedOn w:val="Nadpis"/>
    <w:next w:val="Textbody"/>
    <w:qFormat/>
    <w:rsid w:val="00b73102"/>
    <w:pPr>
      <w:widowControl/>
      <w:spacing w:before="240" w:after="60"/>
      <w:jc w:val="center"/>
      <w:textAlignment w:val="auto"/>
    </w:pPr>
    <w:rPr>
      <w:rFonts w:ascii="Cambria" w:hAnsi="Cambria" w:eastAsia="Cambria" w:cs="Times New Roman"/>
      <w:i/>
      <w:iCs/>
      <w:sz w:val="22"/>
      <w:szCs w:val="24"/>
      <w:lang w:eastAsia="en-US" w:bidi="ar-SA"/>
    </w:rPr>
  </w:style>
  <w:style w:type="paragraph" w:styleId="BodyText2">
    <w:name w:val="Body Text 2"/>
    <w:qFormat/>
    <w:rsid w:val="00b73102"/>
    <w:pPr>
      <w:widowControl/>
      <w:suppressAutoHyphens w:val="true"/>
      <w:bidi w:val="0"/>
      <w:spacing w:before="0" w:after="0"/>
      <w:ind w:left="2124" w:hanging="2124"/>
      <w:jc w:val="both"/>
      <w:textAlignment w:val="auto"/>
    </w:pPr>
    <w:rPr>
      <w:rFonts w:ascii="Times New Roman" w:hAnsi="Times New Roman" w:eastAsia="SimSun" w:cs="Times New Roman"/>
      <w:color w:val="auto"/>
      <w:kern w:val="2"/>
      <w:sz w:val="24"/>
      <w:szCs w:val="24"/>
      <w:lang w:val="sk-SK" w:eastAsia="cs-CZ" w:bidi="ar-SA"/>
    </w:rPr>
  </w:style>
  <w:style w:type="paragraph" w:styleId="BodyTextIndent2">
    <w:name w:val="Body Text Indent 2"/>
    <w:qFormat/>
    <w:rsid w:val="00b73102"/>
    <w:pPr>
      <w:widowControl/>
      <w:suppressAutoHyphens w:val="true"/>
      <w:bidi w:val="0"/>
      <w:spacing w:before="0" w:after="0"/>
      <w:ind w:firstLine="708"/>
      <w:jc w:val="both"/>
      <w:textAlignment w:val="auto"/>
    </w:pPr>
    <w:rPr>
      <w:rFonts w:ascii="Times New Roman" w:hAnsi="Times New Roman" w:eastAsia="SimSun" w:cs="Times New Roman"/>
      <w:color w:val="auto"/>
      <w:kern w:val="2"/>
      <w:sz w:val="24"/>
      <w:szCs w:val="24"/>
      <w:lang w:val="sk-SK" w:eastAsia="cs-CZ" w:bidi="ar-SA"/>
    </w:rPr>
  </w:style>
  <w:style w:type="paragraph" w:styleId="BodyTextIndent3">
    <w:name w:val="Body Text Indent 3"/>
    <w:qFormat/>
    <w:rsid w:val="00b73102"/>
    <w:pPr>
      <w:widowControl/>
      <w:suppressAutoHyphens w:val="true"/>
      <w:bidi w:val="0"/>
      <w:spacing w:before="0" w:after="0"/>
      <w:ind w:left="708" w:firstLine="708"/>
      <w:jc w:val="both"/>
      <w:textAlignment w:val="auto"/>
    </w:pPr>
    <w:rPr>
      <w:rFonts w:ascii="Times New Roman" w:hAnsi="Times New Roman" w:eastAsia="SimSun" w:cs="Times New Roman"/>
      <w:color w:val="auto"/>
      <w:kern w:val="2"/>
      <w:sz w:val="24"/>
      <w:szCs w:val="24"/>
      <w:lang w:val="sk-SK" w:eastAsia="cs-CZ" w:bidi="ar-SA"/>
    </w:rPr>
  </w:style>
  <w:style w:type="paragraph" w:styleId="BalloonText">
    <w:name w:val="Balloon Text"/>
    <w:qFormat/>
    <w:rsid w:val="00b73102"/>
    <w:pPr>
      <w:widowControl/>
      <w:suppressAutoHyphens w:val="true"/>
      <w:bidi w:val="0"/>
      <w:spacing w:before="0" w:after="0"/>
      <w:jc w:val="left"/>
      <w:textAlignment w:val="auto"/>
    </w:pPr>
    <w:rPr>
      <w:rFonts w:ascii="Tahoma" w:hAnsi="Tahoma" w:eastAsia="Tahoma" w:cs="Cambria"/>
      <w:color w:val="auto"/>
      <w:kern w:val="2"/>
      <w:sz w:val="16"/>
      <w:szCs w:val="16"/>
      <w:lang w:val="sk-SK" w:eastAsia="cs-CZ" w:bidi="ar-SA"/>
    </w:rPr>
  </w:style>
  <w:style w:type="paragraph" w:styleId="ListParagraph">
    <w:name w:val="List Paragraph"/>
    <w:qFormat/>
    <w:rsid w:val="00b73102"/>
    <w:pPr>
      <w:widowControl/>
      <w:suppressAutoHyphens w:val="true"/>
      <w:bidi w:val="0"/>
      <w:spacing w:before="0" w:after="200"/>
      <w:ind w:left="720" w:hanging="0"/>
      <w:jc w:val="left"/>
      <w:textAlignment w:val="auto"/>
    </w:pPr>
    <w:rPr>
      <w:rFonts w:ascii="Arial Narrow" w:hAnsi="Arial Narrow" w:eastAsia="Arial Narrow" w:cs="Times New Roman"/>
      <w:color w:val="auto"/>
      <w:kern w:val="2"/>
      <w:sz w:val="22"/>
      <w:szCs w:val="36"/>
      <w:lang w:val="sk-SK" w:eastAsia="en-US" w:bidi="ar-SA"/>
    </w:rPr>
  </w:style>
  <w:style w:type="paragraph" w:styleId="TopHeader" w:customStyle="1">
    <w:name w:val="Top Header"/>
    <w:qFormat/>
    <w:rsid w:val="00b73102"/>
    <w:pPr>
      <w:widowControl/>
      <w:suppressAutoHyphens w:val="true"/>
      <w:bidi w:val="0"/>
      <w:spacing w:before="0" w:after="0"/>
      <w:jc w:val="center"/>
      <w:textAlignment w:val="auto"/>
    </w:pPr>
    <w:rPr>
      <w:rFonts w:ascii="Arial Narrow" w:hAnsi="Arial Narrow" w:eastAsia="Arial Narrow" w:cs="Times New Roman"/>
      <w:b/>
      <w:bCs/>
      <w:color w:val="auto"/>
      <w:kern w:val="2"/>
      <w:sz w:val="22"/>
      <w:szCs w:val="22"/>
      <w:lang w:val="sk-SK" w:eastAsia="en-US" w:bidi="ar-SA"/>
    </w:rPr>
  </w:style>
  <w:style w:type="paragraph" w:styleId="NormalWeb">
    <w:name w:val="Normal (Web)"/>
    <w:qFormat/>
    <w:rsid w:val="00b73102"/>
    <w:pPr>
      <w:widowControl/>
      <w:suppressAutoHyphens w:val="true"/>
      <w:bidi w:val="0"/>
      <w:spacing w:before="100" w:after="100"/>
      <w:jc w:val="left"/>
      <w:textAlignment w:val="auto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sk-SK" w:eastAsia="sk-SK" w:bidi="ar-SA"/>
    </w:rPr>
  </w:style>
  <w:style w:type="paragraph" w:styleId="Obsahtabuky" w:customStyle="1">
    <w:name w:val="Obsah tabuľky"/>
    <w:basedOn w:val="Standard"/>
    <w:qFormat/>
    <w:rsid w:val="00b73102"/>
    <w:pPr>
      <w:suppressLineNumbers/>
    </w:pPr>
    <w:rPr/>
  </w:style>
  <w:style w:type="paragraph" w:styleId="Citcie" w:customStyle="1">
    <w:name w:val="Citácie"/>
    <w:basedOn w:val="Standard"/>
    <w:qFormat/>
    <w:rsid w:val="00b73102"/>
    <w:pPr>
      <w:spacing w:before="0" w:after="283"/>
      <w:ind w:left="567" w:right="567" w:hanging="0"/>
    </w:pPr>
    <w:rPr/>
  </w:style>
  <w:style w:type="paragraph" w:styleId="Zhlavietabuky" w:customStyle="1">
    <w:name w:val="Záhlavie tabuľky"/>
    <w:basedOn w:val="Obsahtabuky"/>
    <w:qFormat/>
    <w:rsid w:val="00b73102"/>
    <w:pPr>
      <w:jc w:val="center"/>
    </w:pPr>
    <w:rPr>
      <w:b/>
      <w:bCs/>
    </w:rPr>
  </w:style>
  <w:style w:type="paragraph" w:styleId="Obsahrmca" w:customStyle="1">
    <w:name w:val="Obsah rámca"/>
    <w:basedOn w:val="Standard"/>
    <w:qFormat/>
    <w:rsid w:val="00b73102"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12" w:customStyle="1">
    <w:name w:val="WW8Num12"/>
    <w:qFormat/>
    <w:rsid w:val="00b73102"/>
  </w:style>
  <w:style w:type="numbering" w:styleId="WW8Num2" w:customStyle="1">
    <w:name w:val="WW8Num2"/>
    <w:qFormat/>
    <w:rsid w:val="00b73102"/>
  </w:style>
  <w:style w:type="numbering" w:styleId="WW8Num3" w:customStyle="1">
    <w:name w:val="WW8Num3"/>
    <w:qFormat/>
    <w:rsid w:val="00b73102"/>
  </w:style>
  <w:style w:type="numbering" w:styleId="WW8Num10" w:customStyle="1">
    <w:name w:val="WW8Num10"/>
    <w:qFormat/>
    <w:rsid w:val="00b73102"/>
  </w:style>
  <w:style w:type="numbering" w:styleId="WW8Num11" w:customStyle="1">
    <w:name w:val="WW8Num11"/>
    <w:qFormat/>
    <w:rsid w:val="00b73102"/>
  </w:style>
  <w:style w:type="numbering" w:styleId="WW8Num7" w:customStyle="1">
    <w:name w:val="WW8Num7"/>
    <w:qFormat/>
    <w:rsid w:val="00b73102"/>
  </w:style>
  <w:style w:type="numbering" w:styleId="WW8Num13" w:customStyle="1">
    <w:name w:val="WW8Num13"/>
    <w:qFormat/>
    <w:rsid w:val="00b73102"/>
  </w:style>
  <w:style w:type="numbering" w:styleId="WW8Num9" w:customStyle="1">
    <w:name w:val="WW8Num9"/>
    <w:qFormat/>
    <w:rsid w:val="00b73102"/>
  </w:style>
  <w:style w:type="numbering" w:styleId="WW8Num8" w:customStyle="1">
    <w:name w:val="WW8Num8"/>
    <w:qFormat/>
    <w:rsid w:val="00b73102"/>
  </w:style>
  <w:style w:type="numbering" w:styleId="WW8Num5" w:customStyle="1">
    <w:name w:val="WW8Num5"/>
    <w:qFormat/>
    <w:rsid w:val="00b73102"/>
  </w:style>
  <w:style w:type="numbering" w:styleId="WW8Num6" w:customStyle="1">
    <w:name w:val="WW8Num6"/>
    <w:qFormat/>
    <w:rsid w:val="00b73102"/>
  </w:style>
  <w:style w:type="numbering" w:styleId="WW8Num4" w:customStyle="1">
    <w:name w:val="WW8Num4"/>
    <w:qFormat/>
    <w:rsid w:val="00b73102"/>
  </w:style>
  <w:style w:type="table" w:default="1" w:styleId="Normlnatabu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78B38-027D-4048-A91F-1985AB21D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LibreOffice/7.1.1.2$Windows_X86_64 LibreOffice_project/fe0b08f4af1bacafe4c7ecc87ce55bb426164676</Application>
  <AppVersion>15.0000</AppVersion>
  <Pages>27</Pages>
  <Words>4369</Words>
  <Characters>23384</Characters>
  <CharactersWithSpaces>26746</CharactersWithSpaces>
  <Paragraphs>1212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2020-11-02T21:52:00Z</dcterms:created>
  <dc:creator>Matulova Silvia</dc:creator>
  <dc:description/>
  <dc:language>sk-SK</dc:language>
  <cp:lastModifiedBy/>
  <cp:lastPrinted>2016-03-02T06:45:00Z</cp:lastPrinted>
  <dcterms:modified xsi:type="dcterms:W3CDTF">2023-06-30T23:57:03Z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Matulova Silvia</vt:lpwstr>
  </property>
</Properties>
</file>