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customXml/_rels/item1.xml.rels" ContentType="application/vnd.openxmlformats-package.relationships+xml"/>
  <Override PartName="/customXml/itemProps1.xml" ContentType="application/vnd.openxmlformats-officedocument.customXmlProperties+xml"/>
  <Override PartName="/customXml/item1.xml" ContentType="application/xml"/>
  <Override PartName="/word/_rels/document.xml.rels" ContentType="application/vnd.openxmlformats-package.relationship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document.xml" ContentType="application/vnd.openxmlformats-officedocument.wordprocessingml.document.main+xml"/>
  <Override PartName="/docProps/app.xml" ContentType="application/vnd.openxmlformats-officedocument.extended-properties+xml"/>
  <Override PartName="/docProps/core.xml" ContentType="application/vnd.openxmlformats-package.core-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>
  <w:body>
    <w:p>
      <w:pPr>
        <w:pStyle w:val="Normal"/>
        <w:keepNext/>
        <w:jc w:val="center"/>
        <w:outlineLvl w:val="1"/>
        <w:rPr>
          <w:b/>
          <w:bCs/>
          <w:sz w:val="20"/>
        </w:rPr>
      </w:pPr>
      <w:r>
        <w:rPr>
          <w:b/>
          <w:bCs/>
          <w:sz w:val="20"/>
        </w:rPr>
        <w:t>Čl. I</w:t>
      </w:r>
    </w:p>
    <w:p>
      <w:pPr>
        <w:pStyle w:val="Normal"/>
        <w:keepNext/>
        <w:tabs>
          <w:tab w:val="left" w:pos="2635" w:leader="none"/>
          <w:tab w:val="center" w:pos="4734" w:leader="none"/>
        </w:tabs>
        <w:outlineLvl w:val="1"/>
        <w:rPr>
          <w:b/>
          <w:bCs/>
          <w:sz w:val="20"/>
        </w:rPr>
      </w:pPr>
      <w:r>
        <w:rPr>
          <w:b/>
          <w:bCs/>
          <w:sz w:val="20"/>
        </w:rPr>
        <w:tab/>
        <w:tab/>
        <w:t>Všeobecné údaje</w:t>
      </w:r>
    </w:p>
    <w:p>
      <w:pPr>
        <w:pStyle w:val="Normal"/>
        <w:keepNext/>
        <w:jc w:val="center"/>
        <w:outlineLvl w:val="1"/>
        <w:rPr>
          <w:b/>
          <w:bCs/>
          <w:sz w:val="18"/>
          <w:szCs w:val="22"/>
        </w:rPr>
      </w:pPr>
      <w:r>
        <w:rPr>
          <w:b/>
          <w:bCs/>
          <w:sz w:val="18"/>
          <w:szCs w:val="22"/>
        </w:rPr>
      </w:r>
    </w:p>
    <w:p>
      <w:pPr>
        <w:pStyle w:val="Normal"/>
        <w:numPr>
          <w:ilvl w:val="0"/>
          <w:numId w:val="7"/>
        </w:numPr>
        <w:ind w:left="0" w:right="0" w:hanging="360"/>
        <w:jc w:val="both"/>
        <w:rPr>
          <w:sz w:val="20"/>
        </w:rPr>
      </w:pPr>
      <w:r>
        <w:rPr>
          <w:sz w:val="20"/>
        </w:rPr>
        <w:t>Názov právnickej osoby a jej sídlo alebo meno a priezvisko fyzickej osoby.</w:t>
      </w:r>
    </w:p>
    <w:tbl>
      <w:tblPr>
        <w:jc w:val="left"/>
        <w:tblInd w:w="9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single" w:sz="4" w:space="0" w:color="000001"/>
          <w:insideV w:val="single" w:sz="4" w:space="0" w:color="000001"/>
        </w:tblBorders>
        <w:tblCellMar>
          <w:top w:w="0" w:type="dxa"/>
          <w:left w:w="98" w:type="dxa"/>
          <w:bottom w:w="0" w:type="dxa"/>
          <w:right w:w="108" w:type="dxa"/>
        </w:tblCellMar>
      </w:tblPr>
      <w:tblGrid>
        <w:gridCol w:w="9498"/>
      </w:tblGrid>
      <w:tr>
        <w:trPr>
          <w:trHeight w:val="1656" w:hRule="atLeast"/>
          <w:cantSplit w:val="false"/>
        </w:trPr>
        <w:tc>
          <w:tcPr>
            <w:tcW w:w="94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  <w:t>ROM-ADI s.r.o.</w:t>
            </w:r>
          </w:p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  <w:t>Nová 166/75</w:t>
            </w:r>
          </w:p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  <w:t>941 48 Podhájska</w:t>
            </w:r>
          </w:p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  <w:t>Dátum vzniku – zápisu: 08.09.2016, Oddiel: Sro, vložka číslo: 41557/N</w:t>
            </w:r>
          </w:p>
        </w:tc>
      </w:tr>
    </w:tbl>
    <w:p>
      <w:pPr>
        <w:pStyle w:val="Normal"/>
        <w:jc w:val="both"/>
        <w:rPr>
          <w:sz w:val="20"/>
          <w:u w:val="single"/>
        </w:rPr>
      </w:pPr>
      <w:r>
        <w:rPr>
          <w:sz w:val="20"/>
          <w:u w:val="single"/>
        </w:rPr>
      </w:r>
    </w:p>
    <w:p>
      <w:pPr>
        <w:pStyle w:val="Normal"/>
        <w:numPr>
          <w:ilvl w:val="0"/>
          <w:numId w:val="7"/>
        </w:numPr>
        <w:ind w:left="1480" w:right="0" w:hanging="360"/>
        <w:jc w:val="both"/>
        <w:rPr>
          <w:sz w:val="20"/>
        </w:rPr>
      </w:pPr>
      <w:r>
        <w:rPr>
          <w:sz w:val="20"/>
        </w:rPr>
        <w:t xml:space="preserve">Údaje o konsolidovanom celku:   Účtovná jednotka </w:t>
      </w:r>
      <w:r>
        <w:rPr>
          <w:b/>
          <w:sz w:val="20"/>
        </w:rPr>
        <w:t>nie je</w:t>
      </w:r>
      <w:r>
        <w:rPr>
          <w:sz w:val="20"/>
        </w:rPr>
        <w:t xml:space="preserve"> súčasťou konsolidovaného celku.</w:t>
      </w:r>
    </w:p>
    <w:p>
      <w:pPr>
        <w:pStyle w:val="Normal"/>
        <w:numPr>
          <w:ilvl w:val="0"/>
          <w:numId w:val="7"/>
        </w:numPr>
        <w:ind w:left="0" w:right="0" w:hanging="360"/>
        <w:jc w:val="both"/>
        <w:rPr>
          <w:sz w:val="20"/>
        </w:rPr>
      </w:pPr>
      <w:r>
        <w:rPr>
          <w:sz w:val="20"/>
        </w:rPr>
        <w:t xml:space="preserve">Priemerný prepočítaný počet zamestnancov:  1    </w:t>
      </w:r>
    </w:p>
    <w:p>
      <w:pPr>
        <w:pStyle w:val="Normal"/>
        <w:numPr>
          <w:ilvl w:val="0"/>
          <w:numId w:val="7"/>
        </w:numPr>
        <w:ind w:left="0" w:right="0" w:hanging="360"/>
        <w:jc w:val="both"/>
        <w:rPr>
          <w:sz w:val="20"/>
        </w:rPr>
      </w:pPr>
      <w:r>
        <w:rPr>
          <w:sz w:val="20"/>
        </w:rPr>
        <w:t>Opis hospodárskej činnosti účtovnej jednotky: Dokončovacie stavebné práce pri realizácii exteriérov a interiérov.</w:t>
      </w:r>
    </w:p>
    <w:p>
      <w:pPr>
        <w:pStyle w:val="Normal"/>
        <w:tabs>
          <w:tab w:val="left" w:pos="851" w:leader="none"/>
        </w:tabs>
        <w:ind w:left="2870" w:right="0" w:hanging="0"/>
        <w:jc w:val="both"/>
        <w:rPr>
          <w:sz w:val="20"/>
        </w:rPr>
      </w:pPr>
      <w:r>
        <w:rPr>
          <w:sz w:val="20"/>
        </w:rPr>
      </w:r>
    </w:p>
    <w:p>
      <w:pPr>
        <w:pStyle w:val="Normal"/>
        <w:jc w:val="center"/>
        <w:rPr>
          <w:b/>
          <w:sz w:val="20"/>
        </w:rPr>
      </w:pPr>
      <w:r>
        <w:rPr>
          <w:b/>
          <w:sz w:val="20"/>
        </w:rPr>
        <w:t>Čl. II</w:t>
      </w:r>
    </w:p>
    <w:p>
      <w:pPr>
        <w:pStyle w:val="Normal"/>
        <w:jc w:val="center"/>
        <w:rPr>
          <w:b/>
          <w:sz w:val="20"/>
        </w:rPr>
      </w:pPr>
      <w:r>
        <w:rPr>
          <w:b/>
          <w:sz w:val="20"/>
        </w:rPr>
        <w:t>Informácie o prijatých postupoch</w:t>
      </w:r>
    </w:p>
    <w:p>
      <w:pPr>
        <w:pStyle w:val="Normal"/>
        <w:ind w:left="1121" w:right="0" w:hanging="0"/>
        <w:jc w:val="both"/>
        <w:rPr>
          <w:b/>
          <w:sz w:val="20"/>
        </w:rPr>
      </w:pPr>
      <w:r>
        <w:rPr>
          <w:b/>
          <w:sz w:val="20"/>
        </w:rPr>
      </w:r>
    </w:p>
    <w:p>
      <w:pPr>
        <w:pStyle w:val="Normal"/>
        <w:numPr>
          <w:ilvl w:val="0"/>
          <w:numId w:val="9"/>
        </w:numPr>
        <w:ind w:left="709" w:right="0" w:hanging="360"/>
        <w:jc w:val="both"/>
        <w:rPr>
          <w:sz w:val="20"/>
        </w:rPr>
      </w:pPr>
      <w:r>
        <w:rPr>
          <w:sz w:val="20"/>
        </w:rPr>
        <w:t xml:space="preserve">Účtovná závierka zostavená za splnenia predpokladu, že účtovná jednotka </w:t>
      </w:r>
      <w:r>
        <w:rPr>
          <w:b/>
          <w:sz w:val="20"/>
          <w:u w:val="single"/>
        </w:rPr>
        <w:t>bude</w:t>
      </w:r>
      <w:r>
        <w:rPr>
          <w:sz w:val="20"/>
        </w:rPr>
        <w:t xml:space="preserve"> nepretržite pokračovať vo svojej činnosti</w:t>
      </w:r>
    </w:p>
    <w:p>
      <w:pPr>
        <w:pStyle w:val="Normal"/>
        <w:numPr>
          <w:ilvl w:val="0"/>
          <w:numId w:val="9"/>
        </w:numPr>
        <w:ind w:left="709" w:right="0" w:hanging="360"/>
        <w:jc w:val="both"/>
        <w:rPr>
          <w:sz w:val="20"/>
        </w:rPr>
      </w:pPr>
      <w:r>
        <w:rPr>
          <w:sz w:val="20"/>
        </w:rPr>
        <w:t xml:space="preserve">Spôsob oceňovania jednotlivých položiek majetku a záväzkov </w:t>
      </w:r>
    </w:p>
    <w:tbl>
      <w:tblPr>
        <w:jc w:val="left"/>
        <w:tblInd w:w="9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single" w:sz="4" w:space="0" w:color="000001"/>
          <w:insideV w:val="single" w:sz="4" w:space="0" w:color="000001"/>
        </w:tblBorders>
        <w:tblCellMar>
          <w:top w:w="0" w:type="dxa"/>
          <w:left w:w="98" w:type="dxa"/>
          <w:bottom w:w="0" w:type="dxa"/>
          <w:right w:w="108" w:type="dxa"/>
        </w:tblCellMar>
      </w:tblPr>
      <w:tblGrid>
        <w:gridCol w:w="8546"/>
        <w:gridCol w:w="523"/>
      </w:tblGrid>
      <w:tr>
        <w:trPr>
          <w:cantSplit w:val="false"/>
        </w:trPr>
        <w:tc>
          <w:tcPr>
            <w:tcW w:w="9069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</w:t>
            </w:r>
            <w:r>
              <w:rPr>
                <w:bCs/>
                <w:sz w:val="20"/>
              </w:rPr>
              <w:t>Obstarávacou cenou</w:t>
            </w:r>
          </w:p>
        </w:tc>
      </w:tr>
      <w:tr>
        <w:trPr>
          <w:cantSplit w:val="false"/>
        </w:trPr>
        <w:tc>
          <w:tcPr>
            <w:tcW w:w="854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bCs/>
                <w:sz w:val="20"/>
              </w:rPr>
            </w:pPr>
            <w:r>
              <w:rPr>
                <w:bCs/>
                <w:sz w:val="20"/>
              </w:rPr>
            </w:r>
          </w:p>
        </w:tc>
      </w:tr>
      <w:tr>
        <w:trPr>
          <w:cantSplit w:val="false"/>
        </w:trPr>
        <w:tc>
          <w:tcPr>
            <w:tcW w:w="854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bCs/>
                <w:sz w:val="20"/>
              </w:rPr>
            </w:pPr>
            <w:r>
              <w:rPr>
                <w:bCs/>
                <w:sz w:val="20"/>
              </w:rPr>
            </w:r>
          </w:p>
        </w:tc>
      </w:tr>
      <w:tr>
        <w:trPr>
          <w:cantSplit w:val="false"/>
        </w:trPr>
        <w:tc>
          <w:tcPr>
            <w:tcW w:w="854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bCs/>
                <w:sz w:val="20"/>
              </w:rPr>
            </w:pPr>
            <w:r>
              <w:rPr>
                <w:bCs/>
                <w:sz w:val="20"/>
              </w:rPr>
            </w:r>
          </w:p>
        </w:tc>
      </w:tr>
      <w:tr>
        <w:trPr>
          <w:cantSplit w:val="false"/>
        </w:trPr>
        <w:tc>
          <w:tcPr>
            <w:tcW w:w="854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bCs/>
                <w:sz w:val="20"/>
              </w:rPr>
            </w:pPr>
            <w:r>
              <w:rPr>
                <w:bCs/>
                <w:sz w:val="20"/>
              </w:rPr>
            </w:r>
          </w:p>
        </w:tc>
      </w:tr>
    </w:tbl>
    <w:p>
      <w:pPr>
        <w:pStyle w:val="Normal"/>
        <w:jc w:val="both"/>
        <w:rPr>
          <w:sz w:val="20"/>
          <w:szCs w:val="22"/>
        </w:rPr>
      </w:pPr>
      <w:r>
        <w:rPr>
          <w:sz w:val="20"/>
          <w:szCs w:val="22"/>
        </w:rPr>
      </w:r>
    </w:p>
    <w:tbl>
      <w:tblPr>
        <w:jc w:val="left"/>
        <w:tblInd w:w="9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single" w:sz="4" w:space="0" w:color="000001"/>
          <w:insideV w:val="single" w:sz="4" w:space="0" w:color="000001"/>
        </w:tblBorders>
        <w:tblCellMar>
          <w:top w:w="0" w:type="dxa"/>
          <w:left w:w="98" w:type="dxa"/>
          <w:bottom w:w="0" w:type="dxa"/>
          <w:right w:w="108" w:type="dxa"/>
        </w:tblCellMar>
      </w:tblPr>
      <w:tblGrid>
        <w:gridCol w:w="8546"/>
        <w:gridCol w:w="523"/>
      </w:tblGrid>
      <w:tr>
        <w:trPr>
          <w:cantSplit w:val="false"/>
        </w:trPr>
        <w:tc>
          <w:tcPr>
            <w:tcW w:w="9069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</w:t>
            </w:r>
            <w:r>
              <w:rPr>
                <w:bCs/>
                <w:sz w:val="20"/>
              </w:rPr>
              <w:t>Vlastnými nákladmi</w:t>
            </w:r>
          </w:p>
        </w:tc>
      </w:tr>
      <w:tr>
        <w:trPr>
          <w:cantSplit w:val="false"/>
        </w:trPr>
        <w:tc>
          <w:tcPr>
            <w:tcW w:w="854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bCs/>
                <w:sz w:val="20"/>
              </w:rPr>
            </w:pPr>
            <w:r>
              <w:rPr>
                <w:bCs/>
                <w:sz w:val="20"/>
              </w:rPr>
            </w:r>
          </w:p>
        </w:tc>
      </w:tr>
      <w:tr>
        <w:trPr>
          <w:cantSplit w:val="false"/>
        </w:trPr>
        <w:tc>
          <w:tcPr>
            <w:tcW w:w="854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bCs/>
                <w:sz w:val="20"/>
              </w:rPr>
            </w:pPr>
            <w:r>
              <w:rPr>
                <w:bCs/>
                <w:sz w:val="20"/>
              </w:rPr>
            </w:r>
          </w:p>
        </w:tc>
      </w:tr>
      <w:tr>
        <w:trPr>
          <w:cantSplit w:val="false"/>
        </w:trPr>
        <w:tc>
          <w:tcPr>
            <w:tcW w:w="854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bCs/>
                <w:sz w:val="20"/>
              </w:rPr>
            </w:pPr>
            <w:r>
              <w:rPr>
                <w:bCs/>
                <w:sz w:val="20"/>
              </w:rPr>
            </w:r>
          </w:p>
        </w:tc>
      </w:tr>
      <w:tr>
        <w:trPr>
          <w:cantSplit w:val="false"/>
        </w:trPr>
        <w:tc>
          <w:tcPr>
            <w:tcW w:w="854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bCs/>
                <w:sz w:val="20"/>
              </w:rPr>
            </w:pPr>
            <w:r>
              <w:rPr>
                <w:bCs/>
                <w:sz w:val="20"/>
              </w:rPr>
            </w:r>
          </w:p>
        </w:tc>
      </w:tr>
    </w:tbl>
    <w:p>
      <w:pPr>
        <w:pStyle w:val="Normal"/>
        <w:jc w:val="both"/>
        <w:rPr>
          <w:sz w:val="20"/>
          <w:szCs w:val="22"/>
        </w:rPr>
      </w:pPr>
      <w:r>
        <w:rPr>
          <w:sz w:val="20"/>
          <w:szCs w:val="22"/>
        </w:rPr>
      </w:r>
    </w:p>
    <w:tbl>
      <w:tblPr>
        <w:jc w:val="left"/>
        <w:tblInd w:w="9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single" w:sz="4" w:space="0" w:color="000001"/>
          <w:insideV w:val="single" w:sz="4" w:space="0" w:color="000001"/>
        </w:tblBorders>
        <w:tblCellMar>
          <w:top w:w="0" w:type="dxa"/>
          <w:left w:w="98" w:type="dxa"/>
          <w:bottom w:w="0" w:type="dxa"/>
          <w:right w:w="108" w:type="dxa"/>
        </w:tblCellMar>
      </w:tblPr>
      <w:tblGrid>
        <w:gridCol w:w="8546"/>
        <w:gridCol w:w="523"/>
      </w:tblGrid>
      <w:tr>
        <w:trPr>
          <w:cantSplit w:val="false"/>
        </w:trPr>
        <w:tc>
          <w:tcPr>
            <w:tcW w:w="9069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widowControl w:val="false"/>
              <w:ind w:left="0" w:right="-468" w:hanging="0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</w:t>
            </w:r>
            <w:r>
              <w:rPr>
                <w:bCs/>
                <w:sz w:val="20"/>
              </w:rPr>
              <w:t>Menovitou hodnotou</w:t>
            </w:r>
          </w:p>
        </w:tc>
      </w:tr>
      <w:tr>
        <w:trPr>
          <w:cantSplit w:val="false"/>
        </w:trPr>
        <w:tc>
          <w:tcPr>
            <w:tcW w:w="854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widowControl w:val="false"/>
              <w:ind w:left="0" w:right="-468" w:hanging="0"/>
              <w:jc w:val="both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widowControl w:val="false"/>
              <w:ind w:left="0" w:right="-468" w:hanging="0"/>
              <w:jc w:val="both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widowControl w:val="false"/>
              <w:ind w:left="0" w:right="-468" w:hanging="0"/>
              <w:jc w:val="both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widowControl w:val="false"/>
              <w:ind w:left="0" w:right="-468" w:hanging="0"/>
              <w:jc w:val="both"/>
              <w:rPr>
                <w:bCs/>
                <w:sz w:val="20"/>
              </w:rPr>
            </w:pPr>
            <w:r>
              <w:rPr>
                <w:bCs/>
                <w:sz w:val="20"/>
              </w:rPr>
            </w:r>
          </w:p>
        </w:tc>
        <w:tc>
          <w:tcPr>
            <w:tcW w:w="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bCs/>
                <w:sz w:val="20"/>
              </w:rPr>
            </w:pPr>
            <w:r>
              <w:rPr>
                <w:bCs/>
                <w:sz w:val="20"/>
              </w:rPr>
            </w:r>
          </w:p>
        </w:tc>
      </w:tr>
    </w:tbl>
    <w:p>
      <w:pPr>
        <w:pStyle w:val="Normal"/>
        <w:jc w:val="both"/>
        <w:rPr>
          <w:sz w:val="20"/>
          <w:szCs w:val="22"/>
        </w:rPr>
      </w:pPr>
      <w:r>
        <w:rPr>
          <w:sz w:val="20"/>
          <w:szCs w:val="22"/>
        </w:rPr>
      </w:r>
    </w:p>
    <w:tbl>
      <w:tblPr>
        <w:jc w:val="left"/>
        <w:tblInd w:w="9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single" w:sz="4" w:space="0" w:color="000001"/>
          <w:insideV w:val="single" w:sz="4" w:space="0" w:color="000001"/>
        </w:tblBorders>
        <w:tblCellMar>
          <w:top w:w="0" w:type="dxa"/>
          <w:left w:w="98" w:type="dxa"/>
          <w:bottom w:w="0" w:type="dxa"/>
          <w:right w:w="108" w:type="dxa"/>
        </w:tblCellMar>
      </w:tblPr>
      <w:tblGrid>
        <w:gridCol w:w="8546"/>
        <w:gridCol w:w="523"/>
      </w:tblGrid>
      <w:tr>
        <w:trPr>
          <w:cantSplit w:val="false"/>
        </w:trPr>
        <w:tc>
          <w:tcPr>
            <w:tcW w:w="9069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</w:t>
            </w:r>
            <w:r>
              <w:rPr>
                <w:bCs/>
                <w:sz w:val="20"/>
              </w:rPr>
              <w:t>Reprodukčnou obstarávacou cenou</w:t>
            </w:r>
          </w:p>
        </w:tc>
      </w:tr>
      <w:tr>
        <w:trPr>
          <w:cantSplit w:val="false"/>
        </w:trPr>
        <w:tc>
          <w:tcPr>
            <w:tcW w:w="854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bCs/>
                <w:sz w:val="20"/>
              </w:rPr>
            </w:pPr>
            <w:r>
              <w:rPr>
                <w:bCs/>
                <w:sz w:val="20"/>
              </w:rPr>
              <w:t>1. majetok v prípade bezodplatného nadobudnutia s výnimkou peňažných prostriedkov a cenín</w:t>
            </w:r>
          </w:p>
          <w:p>
            <w:pPr>
              <w:pStyle w:val="Normal"/>
              <w:widowControl w:val="false"/>
              <w:ind w:left="0" w:right="-468" w:hanging="0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</w:t>
            </w:r>
            <w:r>
              <w:rPr>
                <w:bCs/>
                <w:sz w:val="20"/>
              </w:rPr>
              <w:t xml:space="preserve">a pohľadávok ocenených menovitými hodnotami </w:t>
            </w:r>
          </w:p>
        </w:tc>
        <w:tc>
          <w:tcPr>
            <w:tcW w:w="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bCs/>
                <w:sz w:val="20"/>
              </w:rPr>
            </w:pPr>
            <w:r>
              <w:rPr>
                <w:bCs/>
                <w:sz w:val="20"/>
              </w:rPr>
            </w:r>
          </w:p>
        </w:tc>
      </w:tr>
      <w:tr>
        <w:trPr>
          <w:cantSplit w:val="false"/>
        </w:trPr>
        <w:tc>
          <w:tcPr>
            <w:tcW w:w="854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bCs/>
                <w:sz w:val="20"/>
              </w:rPr>
            </w:pPr>
            <w:r>
              <w:rPr>
                <w:bCs/>
                <w:sz w:val="20"/>
              </w:rPr>
            </w:r>
          </w:p>
        </w:tc>
      </w:tr>
      <w:tr>
        <w:trPr>
          <w:cantSplit w:val="false"/>
        </w:trPr>
        <w:tc>
          <w:tcPr>
            <w:tcW w:w="854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bCs/>
                <w:sz w:val="20"/>
              </w:rPr>
            </w:pPr>
            <w:r>
              <w:rPr>
                <w:bCs/>
                <w:sz w:val="20"/>
              </w:rPr>
            </w:r>
          </w:p>
        </w:tc>
      </w:tr>
      <w:tr>
        <w:trPr>
          <w:cantSplit w:val="false"/>
        </w:trPr>
        <w:tc>
          <w:tcPr>
            <w:tcW w:w="854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bCs/>
                <w:sz w:val="20"/>
              </w:rPr>
            </w:pPr>
            <w:r>
              <w:rPr>
                <w:bCs/>
                <w:sz w:val="20"/>
              </w:rPr>
            </w:r>
          </w:p>
        </w:tc>
      </w:tr>
      <w:tr>
        <w:trPr>
          <w:cantSplit w:val="false"/>
        </w:trPr>
        <w:tc>
          <w:tcPr>
            <w:tcW w:w="854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bCs/>
                <w:sz w:val="20"/>
              </w:rPr>
            </w:pPr>
            <w:r>
              <w:rPr>
                <w:bCs/>
                <w:sz w:val="20"/>
              </w:rPr>
            </w:r>
          </w:p>
        </w:tc>
      </w:tr>
    </w:tbl>
    <w:p>
      <w:pPr>
        <w:pStyle w:val="Normal"/>
        <w:jc w:val="both"/>
        <w:rPr>
          <w:sz w:val="20"/>
          <w:szCs w:val="22"/>
        </w:rPr>
      </w:pPr>
      <w:r>
        <w:rPr>
          <w:sz w:val="20"/>
          <w:szCs w:val="22"/>
        </w:rPr>
      </w:r>
    </w:p>
    <w:tbl>
      <w:tblPr>
        <w:jc w:val="left"/>
        <w:tblInd w:w="9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single" w:sz="4" w:space="0" w:color="000001"/>
          <w:insideV w:val="single" w:sz="4" w:space="0" w:color="000001"/>
        </w:tblBorders>
        <w:tblCellMar>
          <w:top w:w="0" w:type="dxa"/>
          <w:left w:w="98" w:type="dxa"/>
          <w:bottom w:w="0" w:type="dxa"/>
          <w:right w:w="108" w:type="dxa"/>
        </w:tblCellMar>
      </w:tblPr>
      <w:tblGrid>
        <w:gridCol w:w="8546"/>
        <w:gridCol w:w="523"/>
      </w:tblGrid>
      <w:tr>
        <w:trPr>
          <w:cantSplit w:val="false"/>
        </w:trPr>
        <w:tc>
          <w:tcPr>
            <w:tcW w:w="9069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>
        <w:trPr>
          <w:cantSplit w:val="false"/>
        </w:trPr>
        <w:tc>
          <w:tcPr>
            <w:tcW w:w="854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bCs/>
                <w:sz w:val="20"/>
              </w:rPr>
            </w:pPr>
            <w:r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bCs/>
                <w:sz w:val="20"/>
              </w:rPr>
            </w:pPr>
            <w:r>
              <w:rPr>
                <w:bCs/>
                <w:sz w:val="20"/>
              </w:rPr>
            </w:r>
          </w:p>
        </w:tc>
      </w:tr>
      <w:tr>
        <w:trPr>
          <w:cantSplit w:val="false"/>
        </w:trPr>
        <w:tc>
          <w:tcPr>
            <w:tcW w:w="854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bCs/>
                <w:sz w:val="20"/>
              </w:rPr>
            </w:pPr>
            <w:r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bCs/>
                <w:sz w:val="20"/>
              </w:rPr>
            </w:pPr>
            <w:r>
              <w:rPr>
                <w:bCs/>
                <w:sz w:val="20"/>
              </w:rPr>
            </w:r>
          </w:p>
        </w:tc>
      </w:tr>
      <w:tr>
        <w:trPr>
          <w:cantSplit w:val="false"/>
        </w:trPr>
        <w:tc>
          <w:tcPr>
            <w:tcW w:w="854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bCs/>
                <w:sz w:val="20"/>
              </w:rPr>
            </w:pPr>
            <w:r>
              <w:rPr>
                <w:bCs/>
                <w:sz w:val="20"/>
              </w:rPr>
              <w:t>Obstarávacia cena zásob sa rozdeľuje na cenu za ktoré sa zásoby obstarali</w:t>
            </w:r>
          </w:p>
          <w:p>
            <w:pPr>
              <w:pStyle w:val="Normal"/>
              <w:widowControl w:val="false"/>
              <w:ind w:left="0" w:right="-468" w:hanging="0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</w:t>
            </w:r>
            <w:r>
              <w:rPr>
                <w:bCs/>
                <w:sz w:val="20"/>
              </w:rPr>
              <w:t>a náklady súvisiace s obstaraním(VON).</w:t>
            </w:r>
          </w:p>
        </w:tc>
        <w:tc>
          <w:tcPr>
            <w:tcW w:w="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bCs/>
                <w:sz w:val="20"/>
              </w:rPr>
            </w:pPr>
            <w:r>
              <w:rPr>
                <w:bCs/>
                <w:sz w:val="20"/>
              </w:rPr>
            </w:r>
          </w:p>
        </w:tc>
      </w:tr>
      <w:tr>
        <w:trPr>
          <w:cantSplit w:val="false"/>
        </w:trPr>
        <w:tc>
          <w:tcPr>
            <w:tcW w:w="854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bCs/>
                <w:sz w:val="20"/>
              </w:rPr>
            </w:pPr>
            <w:r>
              <w:rPr>
                <w:bCs/>
                <w:sz w:val="20"/>
              </w:rPr>
            </w:r>
          </w:p>
        </w:tc>
      </w:tr>
    </w:tbl>
    <w:p>
      <w:pPr>
        <w:pStyle w:val="Normal"/>
        <w:jc w:val="both"/>
        <w:rPr>
          <w:sz w:val="20"/>
          <w:szCs w:val="22"/>
        </w:rPr>
      </w:pPr>
      <w:r>
        <w:rPr>
          <w:sz w:val="20"/>
          <w:szCs w:val="22"/>
        </w:rPr>
      </w:r>
    </w:p>
    <w:p>
      <w:pPr>
        <w:pStyle w:val="Normal"/>
        <w:jc w:val="both"/>
        <w:rPr>
          <w:sz w:val="20"/>
          <w:szCs w:val="22"/>
        </w:rPr>
      </w:pPr>
      <w:r>
        <w:rPr>
          <w:sz w:val="20"/>
          <w:szCs w:val="22"/>
        </w:rPr>
      </w:r>
    </w:p>
    <w:tbl>
      <w:tblPr>
        <w:jc w:val="left"/>
        <w:tblInd w:w="9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single" w:sz="4" w:space="0" w:color="000001"/>
          <w:insideV w:val="single" w:sz="4" w:space="0" w:color="000001"/>
        </w:tblBorders>
        <w:tblCellMar>
          <w:top w:w="0" w:type="dxa"/>
          <w:left w:w="98" w:type="dxa"/>
          <w:bottom w:w="0" w:type="dxa"/>
          <w:right w:w="108" w:type="dxa"/>
        </w:tblCellMar>
      </w:tblPr>
      <w:tblGrid>
        <w:gridCol w:w="8546"/>
        <w:gridCol w:w="523"/>
      </w:tblGrid>
      <w:tr>
        <w:trPr>
          <w:cantSplit w:val="false"/>
        </w:trPr>
        <w:tc>
          <w:tcPr>
            <w:tcW w:w="9069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Autospacing="1" w:afterAutospacing="1"/>
              <w:ind w:left="0" w:right="-468" w:hanging="0"/>
              <w:jc w:val="both"/>
              <w:rPr>
                <w:bCs/>
                <w:sz w:val="20"/>
              </w:rPr>
            </w:pPr>
            <w:r>
              <w:rPr>
                <w:bCs/>
                <w:sz w:val="20"/>
              </w:rPr>
            </w:r>
          </w:p>
        </w:tc>
      </w:tr>
      <w:tr>
        <w:trPr>
          <w:cantSplit w:val="false"/>
        </w:trPr>
        <w:tc>
          <w:tcPr>
            <w:tcW w:w="854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sz w:val="20"/>
              </w:rPr>
            </w:pPr>
            <w:r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>
            <w:pPr>
              <w:pStyle w:val="Normal"/>
              <w:widowControl w:val="false"/>
              <w:ind w:left="0" w:right="-468" w:hanging="0"/>
              <w:rPr>
                <w:sz w:val="20"/>
              </w:rPr>
            </w:pPr>
            <w:r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bCs/>
                <w:sz w:val="20"/>
              </w:rPr>
            </w:pPr>
            <w:r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>
            <w:pPr>
              <w:pStyle w:val="Normal"/>
              <w:widowControl w:val="false"/>
              <w:ind w:left="0" w:right="-468" w:hanging="0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</w:t>
            </w:r>
            <w:r>
              <w:rPr>
                <w:bCs/>
                <w:sz w:val="20"/>
              </w:rPr>
              <w:t>rizík alebo strát z podnikania. Oceňujú sa v očakávanej výške záväzku.</w:t>
            </w:r>
          </w:p>
        </w:tc>
        <w:tc>
          <w:tcPr>
            <w:tcW w:w="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bCs/>
                <w:sz w:val="20"/>
              </w:rPr>
            </w:pPr>
            <w:r>
              <w:rPr>
                <w:bCs/>
                <w:sz w:val="20"/>
              </w:rPr>
            </w:r>
          </w:p>
        </w:tc>
      </w:tr>
      <w:tr>
        <w:trPr>
          <w:cantSplit w:val="false"/>
        </w:trPr>
        <w:tc>
          <w:tcPr>
            <w:tcW w:w="854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</w:tcMar>
            <w:vAlign w:val="center"/>
          </w:tcPr>
          <w:p>
            <w:pPr>
              <w:pStyle w:val="Normal"/>
              <w:ind w:left="0" w:right="-468" w:hanging="0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Prenajatý  majetok a majetok obstaraný na základe  zmluvy o kúpe prenajatej veci - v ocenení</w:t>
            </w:r>
          </w:p>
          <w:p>
            <w:pPr>
              <w:pStyle w:val="Normal"/>
              <w:ind w:left="0" w:right="-468" w:hanging="0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 xml:space="preserve"> </w:t>
            </w:r>
            <w:r>
              <w:rPr>
                <w:bCs/>
                <w:sz w:val="20"/>
                <w:szCs w:val="22"/>
              </w:rPr>
              <w:t xml:space="preserve">rovnajúcom istine a náklady súvisiace s obstaraním </w:t>
            </w:r>
          </w:p>
        </w:tc>
        <w:tc>
          <w:tcPr>
            <w:tcW w:w="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bCs/>
                <w:sz w:val="20"/>
              </w:rPr>
            </w:pPr>
            <w:r>
              <w:rPr>
                <w:bCs/>
                <w:sz w:val="20"/>
              </w:rPr>
            </w:r>
          </w:p>
        </w:tc>
      </w:tr>
      <w:tr>
        <w:trPr>
          <w:cantSplit w:val="false"/>
        </w:trPr>
        <w:tc>
          <w:tcPr>
            <w:tcW w:w="854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</w:tcMar>
            <w:vAlign w:val="center"/>
          </w:tcPr>
          <w:p>
            <w:pPr>
              <w:pStyle w:val="Normal"/>
              <w:ind w:left="0" w:right="-468" w:hanging="0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Daň z príjmov splatná – daň sa  určuje z účtovného zisku pred zdanením, po úpravách na daňové účely</w:t>
            </w:r>
          </w:p>
          <w:p>
            <w:pPr>
              <w:pStyle w:val="Normal"/>
              <w:ind w:left="0" w:right="-468" w:hanging="0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 xml:space="preserve"> </w:t>
            </w:r>
            <w:r>
              <w:rPr>
                <w:bCs/>
                <w:sz w:val="20"/>
                <w:szCs w:val="22"/>
              </w:rPr>
              <w:t>podľa zákona o daniach z príjmov pri sadzbe 21 %</w:t>
            </w:r>
          </w:p>
        </w:tc>
        <w:tc>
          <w:tcPr>
            <w:tcW w:w="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ind w:left="0" w:right="-468" w:hanging="0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>
            <w:pPr>
              <w:pStyle w:val="Normal"/>
              <w:ind w:left="0" w:right="-468" w:hanging="0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>
            <w:pPr>
              <w:pStyle w:val="Normal"/>
              <w:ind w:left="0" w:right="-468" w:hanging="0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 xml:space="preserve"> </w:t>
            </w:r>
            <w:r>
              <w:rPr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Autospacing="1" w:afterAutospacing="1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</w:t>
            </w:r>
          </w:p>
        </w:tc>
        <w:tc>
          <w:tcPr>
            <w:tcW w:w="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>
      <w:pPr>
        <w:pStyle w:val="Normal"/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>
      <w:pPr>
        <w:pStyle w:val="Normal"/>
        <w:jc w:val="both"/>
        <w:rPr>
          <w:sz w:val="20"/>
          <w:szCs w:val="22"/>
        </w:rPr>
      </w:pPr>
      <w:r>
        <w:rPr>
          <w:sz w:val="20"/>
          <w:szCs w:val="22"/>
        </w:rPr>
      </w:r>
    </w:p>
    <w:p>
      <w:pPr>
        <w:pStyle w:val="Normal"/>
        <w:numPr>
          <w:ilvl w:val="0"/>
          <w:numId w:val="9"/>
        </w:numPr>
        <w:ind w:left="709" w:right="0" w:hanging="360"/>
        <w:jc w:val="both"/>
        <w:rPr>
          <w:sz w:val="20"/>
        </w:rPr>
      </w:pPr>
      <w:r>
        <w:rPr>
          <w:sz w:val="20"/>
        </w:rPr>
        <w:t xml:space="preserve">Spôsob zostavenia odpisového plánu pre jednotlivé druhy dlhodobého hmotného majetku  a dlhodobého nehmotného majetku,doba odpisovania, použité sadzby odpisov a odpisové metódy pri určení odpisov </w:t>
      </w:r>
    </w:p>
    <w:tbl>
      <w:tblPr>
        <w:jc w:val="left"/>
        <w:tblInd w:w="9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single" w:sz="4" w:space="0" w:color="00000A"/>
          <w:insideV w:val="single" w:sz="4" w:space="0" w:color="00000A"/>
        </w:tblBorders>
        <w:tblCellMar>
          <w:top w:w="0" w:type="dxa"/>
          <w:left w:w="98" w:type="dxa"/>
          <w:bottom w:w="0" w:type="dxa"/>
          <w:right w:w="108" w:type="dxa"/>
        </w:tblCellMar>
      </w:tblPr>
      <w:tblGrid>
        <w:gridCol w:w="7066"/>
        <w:gridCol w:w="1537"/>
        <w:gridCol w:w="3"/>
        <w:gridCol w:w="466"/>
      </w:tblGrid>
      <w:tr>
        <w:trPr>
          <w:cantSplit w:val="false"/>
        </w:trPr>
        <w:tc>
          <w:tcPr>
            <w:tcW w:w="8606" w:type="dxa"/>
            <w:gridSpan w:val="3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widowControl w:val="false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6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</w:tcMar>
            <w:vAlign w:val="center"/>
          </w:tcPr>
          <w:p>
            <w:pPr>
              <w:pStyle w:val="Normal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Normal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Normal"/>
              <w:rPr>
                <w:sz w:val="18"/>
              </w:rPr>
            </w:pPr>
            <w:r>
              <w:rPr>
                <w:sz w:val="18"/>
              </w:rPr>
            </w:r>
          </w:p>
        </w:tc>
      </w:tr>
      <w:tr>
        <w:trPr>
          <w:trHeight w:val="963" w:hRule="atLeast"/>
          <w:cantSplit w:val="false"/>
        </w:trPr>
        <w:tc>
          <w:tcPr>
            <w:tcW w:w="8606" w:type="dxa"/>
            <w:gridSpan w:val="3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widowControl w:val="false"/>
              <w:jc w:val="both"/>
              <w:rPr>
                <w:b/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b/>
                <w:sz w:val="20"/>
                <w:szCs w:val="22"/>
              </w:rPr>
              <w:t>rovnajú.</w:t>
            </w:r>
          </w:p>
        </w:tc>
        <w:tc>
          <w:tcPr>
            <w:tcW w:w="466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</w:tcMar>
            <w:vAlign w:val="center"/>
          </w:tcPr>
          <w:p>
            <w:pPr>
              <w:pStyle w:val="Normal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Normal"/>
              <w:rPr>
                <w:sz w:val="18"/>
              </w:rPr>
            </w:pPr>
            <w:r>
              <w:rPr>
                <w:sz w:val="18"/>
              </w:rPr>
              <w:t>X</w:t>
            </w:r>
          </w:p>
          <w:p>
            <w:pPr>
              <w:pStyle w:val="Normal"/>
              <w:rPr>
                <w:sz w:val="18"/>
              </w:rPr>
            </w:pPr>
            <w:r>
              <w:rPr>
                <w:sz w:val="18"/>
              </w:rPr>
            </w:r>
          </w:p>
        </w:tc>
      </w:tr>
      <w:tr>
        <w:trPr>
          <w:trHeight w:val="1217" w:hRule="atLeast"/>
          <w:cantSplit w:val="false"/>
        </w:trPr>
        <w:tc>
          <w:tcPr>
            <w:tcW w:w="8606" w:type="dxa"/>
            <w:gridSpan w:val="3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widowControl w:val="false"/>
              <w:jc w:val="both"/>
              <w:rPr>
                <w:b/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b/>
                <w:sz w:val="20"/>
                <w:szCs w:val="22"/>
              </w:rPr>
              <w:t>nerovnajú.</w:t>
            </w:r>
          </w:p>
        </w:tc>
        <w:tc>
          <w:tcPr>
            <w:tcW w:w="466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</w:tcMar>
            <w:vAlign w:val="center"/>
          </w:tcPr>
          <w:p>
            <w:pPr>
              <w:pStyle w:val="Normal"/>
              <w:rPr>
                <w:sz w:val="18"/>
              </w:rPr>
            </w:pPr>
            <w:r>
              <w:rPr>
                <w:sz w:val="18"/>
              </w:rPr>
            </w:r>
          </w:p>
        </w:tc>
      </w:tr>
      <w:tr>
        <w:trPr>
          <w:trHeight w:val="64" w:hRule="atLeast"/>
          <w:cantSplit w:val="false"/>
        </w:trPr>
        <w:tc>
          <w:tcPr>
            <w:tcW w:w="706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widowControl w:val="false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Dlhodobý nehmotný majetok =doba použiteľnosti viac ako rok a vstupná cena je  viac ako :</w:t>
            </w:r>
          </w:p>
        </w:tc>
        <w:tc>
          <w:tcPr>
            <w:tcW w:w="15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widowControl w:val="false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2400,-eur</w:t>
            </w:r>
          </w:p>
        </w:tc>
        <w:tc>
          <w:tcPr>
            <w:tcW w:w="469" w:type="dxa"/>
            <w:gridSpan w:val="2"/>
            <w:tcBorders>
              <w:top w:val="single" w:sz="4" w:space="0" w:color="000001"/>
              <w:left w:val="single" w:sz="4" w:space="0" w:color="00000A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</w:tcMar>
            <w:vAlign w:val="center"/>
          </w:tcPr>
          <w:p>
            <w:pPr>
              <w:pStyle w:val="Normal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  <w:tr>
        <w:trPr>
          <w:trHeight w:val="64" w:hRule="atLeast"/>
          <w:cantSplit w:val="false"/>
        </w:trPr>
        <w:tc>
          <w:tcPr>
            <w:tcW w:w="706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widowControl w:val="false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widowControl w:val="false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1700,-eur</w:t>
            </w:r>
          </w:p>
        </w:tc>
        <w:tc>
          <w:tcPr>
            <w:tcW w:w="469" w:type="dxa"/>
            <w:gridSpan w:val="2"/>
            <w:tcBorders>
              <w:top w:val="single" w:sz="4" w:space="0" w:color="000001"/>
              <w:left w:val="single" w:sz="4" w:space="0" w:color="00000A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</w:tcMar>
            <w:vAlign w:val="center"/>
          </w:tcPr>
          <w:p>
            <w:pPr>
              <w:pStyle w:val="Normal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</w:tbl>
    <w:p>
      <w:pPr>
        <w:pStyle w:val="Normal"/>
        <w:jc w:val="both"/>
        <w:rPr>
          <w:sz w:val="18"/>
        </w:rPr>
      </w:pPr>
      <w:r>
        <w:rPr>
          <w:sz w:val="18"/>
        </w:rPr>
      </w:r>
    </w:p>
    <w:tbl>
      <w:tblPr>
        <w:jc w:val="left"/>
        <w:tblInd w:w="9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single" w:sz="4" w:space="0" w:color="000001"/>
          <w:insideV w:val="single" w:sz="4" w:space="0" w:color="000001"/>
        </w:tblBorders>
        <w:tblCellMar>
          <w:top w:w="0" w:type="dxa"/>
          <w:left w:w="98" w:type="dxa"/>
          <w:bottom w:w="0" w:type="dxa"/>
          <w:right w:w="108" w:type="dxa"/>
        </w:tblCellMar>
      </w:tblPr>
      <w:tblGrid>
        <w:gridCol w:w="3108"/>
        <w:gridCol w:w="976"/>
        <w:gridCol w:w="1164"/>
        <w:gridCol w:w="1179"/>
        <w:gridCol w:w="980"/>
        <w:gridCol w:w="1663"/>
      </w:tblGrid>
      <w:tr>
        <w:trPr>
          <w:cantSplit w:val="false"/>
        </w:trPr>
        <w:tc>
          <w:tcPr>
            <w:tcW w:w="310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Majetok</w:t>
            </w:r>
          </w:p>
        </w:tc>
        <w:tc>
          <w:tcPr>
            <w:tcW w:w="9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Doba odpisovania</w:t>
            </w:r>
          </w:p>
        </w:tc>
        <w:tc>
          <w:tcPr>
            <w:tcW w:w="11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insideH w:val="single" w:sz="4" w:space="0" w:color="000001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Zrýchlené odpisy</w:t>
            </w:r>
          </w:p>
        </w:tc>
        <w:tc>
          <w:tcPr>
            <w:tcW w:w="1663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</w:tr>
      <w:tr>
        <w:trPr>
          <w:cantSplit w:val="false"/>
        </w:trPr>
        <w:tc>
          <w:tcPr>
            <w:tcW w:w="310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9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16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1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980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insideH w:val="single" w:sz="4" w:space="0" w:color="000001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663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</w:tr>
      <w:tr>
        <w:trPr>
          <w:cantSplit w:val="false"/>
        </w:trPr>
        <w:tc>
          <w:tcPr>
            <w:tcW w:w="310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9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16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1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980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insideH w:val="single" w:sz="4" w:space="0" w:color="000001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663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</w:tr>
      <w:tr>
        <w:trPr>
          <w:cantSplit w:val="false"/>
        </w:trPr>
        <w:tc>
          <w:tcPr>
            <w:tcW w:w="310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9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16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1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980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insideH w:val="single" w:sz="4" w:space="0" w:color="000001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663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</w:tr>
      <w:tr>
        <w:trPr>
          <w:cantSplit w:val="false"/>
        </w:trPr>
        <w:tc>
          <w:tcPr>
            <w:tcW w:w="310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9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16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1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9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663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</w:tr>
      <w:tr>
        <w:trPr>
          <w:cantSplit w:val="false"/>
        </w:trPr>
        <w:tc>
          <w:tcPr>
            <w:tcW w:w="310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9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16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1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9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663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</w:tr>
      <w:tr>
        <w:trPr>
          <w:cantSplit w:val="false"/>
        </w:trPr>
        <w:tc>
          <w:tcPr>
            <w:tcW w:w="310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9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16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1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9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663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</w:tr>
    </w:tbl>
    <w:p>
      <w:pPr>
        <w:pStyle w:val="Normal"/>
        <w:ind w:left="709" w:right="0" w:hanging="0"/>
        <w:jc w:val="both"/>
        <w:rPr>
          <w:sz w:val="20"/>
        </w:rPr>
      </w:pPr>
      <w:r>
        <w:rPr>
          <w:sz w:val="20"/>
        </w:rPr>
      </w:r>
    </w:p>
    <w:p>
      <w:pPr>
        <w:pStyle w:val="Normal"/>
        <w:ind w:left="709" w:right="0" w:hanging="0"/>
        <w:jc w:val="both"/>
        <w:rPr>
          <w:sz w:val="20"/>
        </w:rPr>
      </w:pPr>
      <w:r>
        <w:rPr>
          <w:sz w:val="20"/>
        </w:rPr>
      </w:r>
    </w:p>
    <w:p>
      <w:pPr>
        <w:pStyle w:val="Normal"/>
        <w:numPr>
          <w:ilvl w:val="0"/>
          <w:numId w:val="9"/>
        </w:numPr>
        <w:ind w:left="709" w:right="0" w:hanging="360"/>
        <w:jc w:val="both"/>
        <w:rPr>
          <w:sz w:val="20"/>
        </w:rPr>
      </w:pPr>
      <w:r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 ÚJ</w:t>
      </w:r>
    </w:p>
    <w:tbl>
      <w:tblPr>
        <w:jc w:val="left"/>
        <w:tblInd w:w="9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single" w:sz="4" w:space="0" w:color="000001"/>
          <w:insideV w:val="single" w:sz="4" w:space="0" w:color="000001"/>
        </w:tblBorders>
        <w:tblCellMar>
          <w:top w:w="0" w:type="dxa"/>
          <w:left w:w="98" w:type="dxa"/>
          <w:bottom w:w="0" w:type="dxa"/>
          <w:right w:w="108" w:type="dxa"/>
        </w:tblCellMar>
      </w:tblPr>
      <w:tblGrid>
        <w:gridCol w:w="2059"/>
        <w:gridCol w:w="1501"/>
        <w:gridCol w:w="1501"/>
        <w:gridCol w:w="1501"/>
        <w:gridCol w:w="1502"/>
        <w:gridCol w:w="1431"/>
      </w:tblGrid>
      <w:tr>
        <w:trPr>
          <w:trHeight w:val="283" w:hRule="atLeast"/>
          <w:cantSplit w:val="false"/>
        </w:trPr>
        <w:tc>
          <w:tcPr>
            <w:tcW w:w="205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</w:tcMar>
          </w:tcPr>
          <w:p>
            <w:pPr>
              <w:pStyle w:val="ListParagraph"/>
              <w:ind w:left="0" w:right="0" w:hanging="0"/>
              <w:rPr>
                <w:sz w:val="20"/>
              </w:rPr>
            </w:pPr>
            <w:r>
              <w:rPr>
                <w:sz w:val="20"/>
              </w:rPr>
              <w:t>Typ zmeny</w:t>
            </w:r>
          </w:p>
        </w:tc>
        <w:tc>
          <w:tcPr>
            <w:tcW w:w="15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</w:tcMar>
          </w:tcPr>
          <w:p>
            <w:pPr>
              <w:pStyle w:val="ListParagraph"/>
              <w:ind w:left="0" w:right="0" w:hanging="0"/>
              <w:rPr>
                <w:sz w:val="20"/>
              </w:rPr>
            </w:pPr>
            <w:r>
              <w:rPr>
                <w:sz w:val="20"/>
              </w:rPr>
              <w:t>Dôvod zmeny</w:t>
            </w:r>
          </w:p>
        </w:tc>
        <w:tc>
          <w:tcPr>
            <w:tcW w:w="15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</w:tcMar>
          </w:tcPr>
          <w:p>
            <w:pPr>
              <w:pStyle w:val="ListParagraph"/>
              <w:ind w:left="0" w:right="0" w:hanging="0"/>
              <w:rPr>
                <w:sz w:val="20"/>
              </w:rPr>
            </w:pPr>
            <w:r>
              <w:rPr>
                <w:sz w:val="20"/>
              </w:rPr>
              <w:t>Majetok</w:t>
            </w:r>
          </w:p>
        </w:tc>
        <w:tc>
          <w:tcPr>
            <w:tcW w:w="15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</w:tcMar>
          </w:tcPr>
          <w:p>
            <w:pPr>
              <w:pStyle w:val="ListParagraph"/>
              <w:ind w:left="0" w:right="0" w:hanging="0"/>
              <w:rPr>
                <w:sz w:val="20"/>
              </w:rPr>
            </w:pPr>
            <w:r>
              <w:rPr>
                <w:sz w:val="20"/>
              </w:rPr>
              <w:t>Záväzky</w:t>
            </w:r>
          </w:p>
        </w:tc>
        <w:tc>
          <w:tcPr>
            <w:tcW w:w="15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</w:tcMar>
          </w:tcPr>
          <w:p>
            <w:pPr>
              <w:pStyle w:val="ListParagraph"/>
              <w:ind w:left="0" w:right="0" w:hanging="0"/>
              <w:rPr>
                <w:sz w:val="20"/>
              </w:rPr>
            </w:pPr>
            <w:r>
              <w:rPr>
                <w:sz w:val="20"/>
              </w:rPr>
              <w:t>ZI</w:t>
            </w:r>
          </w:p>
        </w:tc>
        <w:tc>
          <w:tcPr>
            <w:tcW w:w="143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</w:tcMar>
          </w:tcPr>
          <w:p>
            <w:pPr>
              <w:pStyle w:val="ListParagraph"/>
              <w:ind w:left="0" w:right="0" w:hanging="0"/>
              <w:rPr>
                <w:sz w:val="20"/>
              </w:rPr>
            </w:pPr>
            <w:r>
              <w:rPr>
                <w:sz w:val="20"/>
              </w:rPr>
              <w:t>HV</w:t>
            </w:r>
          </w:p>
        </w:tc>
      </w:tr>
      <w:tr>
        <w:trPr>
          <w:trHeight w:val="283" w:hRule="atLeast"/>
          <w:cantSplit w:val="false"/>
        </w:trPr>
        <w:tc>
          <w:tcPr>
            <w:tcW w:w="205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</w:tcMar>
          </w:tcPr>
          <w:p>
            <w:pPr>
              <w:pStyle w:val="ListParagraph"/>
              <w:ind w:left="0" w:right="0" w:hanging="0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5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</w:tcMar>
          </w:tcPr>
          <w:p>
            <w:pPr>
              <w:pStyle w:val="ListParagraph"/>
              <w:ind w:left="0" w:right="0" w:hanging="0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5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</w:tcMar>
          </w:tcPr>
          <w:p>
            <w:pPr>
              <w:pStyle w:val="ListParagraph"/>
              <w:ind w:left="0" w:right="0" w:hanging="0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5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</w:tcMar>
          </w:tcPr>
          <w:p>
            <w:pPr>
              <w:pStyle w:val="ListParagraph"/>
              <w:ind w:left="0" w:right="0" w:hanging="0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5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</w:tcMar>
          </w:tcPr>
          <w:p>
            <w:pPr>
              <w:pStyle w:val="ListParagraph"/>
              <w:ind w:left="0" w:right="0" w:hanging="0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43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</w:tcMar>
          </w:tcPr>
          <w:p>
            <w:pPr>
              <w:pStyle w:val="ListParagraph"/>
              <w:ind w:left="0" w:right="0" w:hanging="0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trHeight w:val="283" w:hRule="atLeast"/>
          <w:cantSplit w:val="false"/>
        </w:trPr>
        <w:tc>
          <w:tcPr>
            <w:tcW w:w="205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</w:tcMar>
          </w:tcPr>
          <w:p>
            <w:pPr>
              <w:pStyle w:val="ListParagraph"/>
              <w:ind w:left="0" w:right="0" w:hanging="0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5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</w:tcMar>
          </w:tcPr>
          <w:p>
            <w:pPr>
              <w:pStyle w:val="ListParagraph"/>
              <w:ind w:left="0" w:right="0" w:hanging="0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5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</w:tcMar>
          </w:tcPr>
          <w:p>
            <w:pPr>
              <w:pStyle w:val="ListParagraph"/>
              <w:ind w:left="0" w:right="0" w:hanging="0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5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</w:tcMar>
          </w:tcPr>
          <w:p>
            <w:pPr>
              <w:pStyle w:val="ListParagraph"/>
              <w:ind w:left="0" w:right="0" w:hanging="0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5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</w:tcMar>
          </w:tcPr>
          <w:p>
            <w:pPr>
              <w:pStyle w:val="ListParagraph"/>
              <w:ind w:left="0" w:right="0" w:hanging="0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43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</w:tcMar>
          </w:tcPr>
          <w:p>
            <w:pPr>
              <w:pStyle w:val="ListParagraph"/>
              <w:ind w:left="0" w:right="0" w:hanging="0"/>
              <w:rPr>
                <w:sz w:val="20"/>
              </w:rPr>
            </w:pPr>
            <w:r>
              <w:rPr>
                <w:sz w:val="20"/>
              </w:rPr>
            </w:r>
          </w:p>
        </w:tc>
      </w:tr>
    </w:tbl>
    <w:p>
      <w:pPr>
        <w:pStyle w:val="ListParagraph"/>
        <w:rPr>
          <w:sz w:val="20"/>
        </w:rPr>
      </w:pPr>
      <w:r>
        <w:rPr>
          <w:sz w:val="20"/>
        </w:rPr>
      </w:r>
    </w:p>
    <w:p>
      <w:pPr>
        <w:pStyle w:val="Normal"/>
        <w:numPr>
          <w:ilvl w:val="0"/>
          <w:numId w:val="9"/>
        </w:numPr>
        <w:ind w:left="709" w:right="0" w:hanging="360"/>
        <w:jc w:val="both"/>
        <w:rPr>
          <w:sz w:val="20"/>
        </w:rPr>
      </w:pPr>
      <w:r>
        <w:rPr>
          <w:sz w:val="20"/>
        </w:rPr>
        <w:t xml:space="preserve">Informácie o dotáciách a ich oceňovanie v účtovníctve </w:t>
      </w:r>
    </w:p>
    <w:tbl>
      <w:tblPr>
        <w:jc w:val="left"/>
        <w:tblInd w:w="9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single" w:sz="4" w:space="0" w:color="00000A"/>
          <w:insideV w:val="single" w:sz="4" w:space="0" w:color="00000A"/>
        </w:tblBorders>
        <w:tblCellMar>
          <w:top w:w="0" w:type="dxa"/>
          <w:left w:w="98" w:type="dxa"/>
          <w:bottom w:w="0" w:type="dxa"/>
          <w:right w:w="108" w:type="dxa"/>
        </w:tblCellMar>
      </w:tblPr>
      <w:tblGrid>
        <w:gridCol w:w="5078"/>
        <w:gridCol w:w="2998"/>
        <w:gridCol w:w="1422"/>
      </w:tblGrid>
      <w:tr>
        <w:trPr>
          <w:trHeight w:val="283" w:hRule="atLeast"/>
          <w:cantSplit w:val="false"/>
        </w:trPr>
        <w:tc>
          <w:tcPr>
            <w:tcW w:w="50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  <w:t>Dotácia</w:t>
            </w:r>
          </w:p>
        </w:tc>
        <w:tc>
          <w:tcPr>
            <w:tcW w:w="29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422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>
        <w:trPr>
          <w:trHeight w:val="283" w:hRule="atLeast"/>
          <w:cantSplit w:val="false"/>
        </w:trPr>
        <w:tc>
          <w:tcPr>
            <w:tcW w:w="5078" w:type="dxa"/>
            <w:tcBorders>
              <w:top w:val="single" w:sz="4" w:space="0" w:color="000001"/>
              <w:left w:val="single" w:sz="4" w:space="0" w:color="000001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2998" w:type="dxa"/>
            <w:tcBorders>
              <w:top w:val="single" w:sz="4" w:space="0" w:color="000001"/>
              <w:left w:val="single" w:sz="4" w:space="0" w:color="000001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422" w:type="dxa"/>
            <w:tcBorders>
              <w:top w:val="single" w:sz="4" w:space="0" w:color="000001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trHeight w:val="283" w:hRule="atLeast"/>
          <w:cantSplit w:val="false"/>
        </w:trPr>
        <w:tc>
          <w:tcPr>
            <w:tcW w:w="5078" w:type="dxa"/>
            <w:tcBorders>
              <w:top w:val="single" w:sz="4" w:space="0" w:color="00000A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2998" w:type="dxa"/>
            <w:tcBorders>
              <w:top w:val="single" w:sz="4" w:space="0" w:color="00000A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422" w:type="dxa"/>
            <w:tcBorders>
              <w:top w:val="single" w:sz="4" w:space="0" w:color="00000A"/>
              <w:left w:val="single" w:sz="4" w:space="0" w:color="00000A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</w:tr>
    </w:tbl>
    <w:p>
      <w:pPr>
        <w:pStyle w:val="Normal"/>
        <w:ind w:left="709" w:right="0" w:hanging="0"/>
        <w:jc w:val="both"/>
        <w:rPr>
          <w:sz w:val="18"/>
          <w:szCs w:val="22"/>
        </w:rPr>
      </w:pPr>
      <w:r>
        <w:rPr>
          <w:sz w:val="18"/>
          <w:szCs w:val="22"/>
        </w:rPr>
      </w:r>
    </w:p>
    <w:p>
      <w:pPr>
        <w:pStyle w:val="Normal"/>
        <w:numPr>
          <w:ilvl w:val="0"/>
          <w:numId w:val="9"/>
        </w:numPr>
        <w:ind w:left="709" w:right="0" w:hanging="360"/>
        <w:jc w:val="both"/>
        <w:rPr>
          <w:sz w:val="20"/>
        </w:rPr>
      </w:pPr>
      <w:r>
        <w:rPr>
          <w:sz w:val="20"/>
        </w:rPr>
        <w:t xml:space="preserve">Informácie o účtovaní významných opráv chýb minulých účtovných období v bežnom účtovnom období </w:t>
      </w:r>
    </w:p>
    <w:tbl>
      <w:tblPr>
        <w:jc w:val="left"/>
        <w:tblInd w:w="9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single" w:sz="4" w:space="0" w:color="000001"/>
          <w:insideV w:val="single" w:sz="4" w:space="0" w:color="000001"/>
        </w:tblBorders>
        <w:tblCellMar>
          <w:top w:w="0" w:type="dxa"/>
          <w:left w:w="98" w:type="dxa"/>
          <w:bottom w:w="0" w:type="dxa"/>
          <w:right w:w="108" w:type="dxa"/>
        </w:tblCellMar>
      </w:tblPr>
      <w:tblGrid>
        <w:gridCol w:w="2974"/>
        <w:gridCol w:w="992"/>
        <w:gridCol w:w="849"/>
        <w:gridCol w:w="2125"/>
        <w:gridCol w:w="2558"/>
      </w:tblGrid>
      <w:tr>
        <w:trPr>
          <w:cantSplit w:val="false"/>
        </w:trPr>
        <w:tc>
          <w:tcPr>
            <w:tcW w:w="29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  <w:t>Opravy minulého obdobia</w:t>
            </w:r>
          </w:p>
        </w:tc>
        <w:tc>
          <w:tcPr>
            <w:tcW w:w="9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Patrí do obdobia</w:t>
            </w:r>
          </w:p>
        </w:tc>
        <w:tc>
          <w:tcPr>
            <w:tcW w:w="8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 xml:space="preserve">Účet </w:t>
            </w:r>
          </w:p>
        </w:tc>
        <w:tc>
          <w:tcPr>
            <w:tcW w:w="212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Účtované na účet HV min. období (EUR)</w:t>
            </w:r>
          </w:p>
        </w:tc>
        <w:tc>
          <w:tcPr>
            <w:tcW w:w="25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Účtované do HV bežného  obdobia(EUR)</w:t>
            </w:r>
          </w:p>
        </w:tc>
      </w:tr>
      <w:tr>
        <w:trPr>
          <w:trHeight w:val="340" w:hRule="atLeast"/>
          <w:cantSplit w:val="false"/>
        </w:trPr>
        <w:tc>
          <w:tcPr>
            <w:tcW w:w="29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</w:r>
          </w:p>
        </w:tc>
        <w:tc>
          <w:tcPr>
            <w:tcW w:w="8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</w:r>
          </w:p>
        </w:tc>
        <w:tc>
          <w:tcPr>
            <w:tcW w:w="212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</w:r>
          </w:p>
        </w:tc>
        <w:tc>
          <w:tcPr>
            <w:tcW w:w="25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</w:r>
          </w:p>
        </w:tc>
      </w:tr>
      <w:tr>
        <w:trPr>
          <w:trHeight w:val="340" w:hRule="atLeast"/>
          <w:cantSplit w:val="false"/>
        </w:trPr>
        <w:tc>
          <w:tcPr>
            <w:tcW w:w="29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both"/>
              <w:rPr>
                <w:b/>
                <w:sz w:val="18"/>
                <w:szCs w:val="22"/>
              </w:rPr>
            </w:pPr>
            <w:r>
              <w:rPr>
                <w:b/>
                <w:sz w:val="18"/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</w:r>
          </w:p>
        </w:tc>
        <w:tc>
          <w:tcPr>
            <w:tcW w:w="8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</w:r>
          </w:p>
        </w:tc>
        <w:tc>
          <w:tcPr>
            <w:tcW w:w="212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</w:r>
          </w:p>
        </w:tc>
        <w:tc>
          <w:tcPr>
            <w:tcW w:w="25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</w:r>
          </w:p>
        </w:tc>
      </w:tr>
      <w:tr>
        <w:trPr>
          <w:trHeight w:val="340" w:hRule="atLeast"/>
          <w:cantSplit w:val="false"/>
        </w:trPr>
        <w:tc>
          <w:tcPr>
            <w:tcW w:w="29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both"/>
              <w:rPr>
                <w:b/>
                <w:sz w:val="18"/>
                <w:szCs w:val="22"/>
              </w:rPr>
            </w:pPr>
            <w:r>
              <w:rPr>
                <w:b/>
                <w:sz w:val="18"/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</w:r>
          </w:p>
        </w:tc>
        <w:tc>
          <w:tcPr>
            <w:tcW w:w="8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</w:r>
          </w:p>
        </w:tc>
        <w:tc>
          <w:tcPr>
            <w:tcW w:w="212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</w:r>
          </w:p>
        </w:tc>
        <w:tc>
          <w:tcPr>
            <w:tcW w:w="25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</w:r>
          </w:p>
        </w:tc>
      </w:tr>
      <w:tr>
        <w:trPr>
          <w:trHeight w:val="340" w:hRule="atLeast"/>
          <w:cantSplit w:val="false"/>
        </w:trPr>
        <w:tc>
          <w:tcPr>
            <w:tcW w:w="29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both"/>
              <w:rPr>
                <w:b/>
                <w:sz w:val="18"/>
                <w:szCs w:val="22"/>
              </w:rPr>
            </w:pPr>
            <w:r>
              <w:rPr>
                <w:b/>
                <w:sz w:val="18"/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</w:r>
          </w:p>
        </w:tc>
        <w:tc>
          <w:tcPr>
            <w:tcW w:w="8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</w:r>
          </w:p>
        </w:tc>
        <w:tc>
          <w:tcPr>
            <w:tcW w:w="212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</w:r>
          </w:p>
        </w:tc>
        <w:tc>
          <w:tcPr>
            <w:tcW w:w="25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</w:r>
          </w:p>
        </w:tc>
      </w:tr>
      <w:tr>
        <w:trPr>
          <w:trHeight w:val="340" w:hRule="atLeast"/>
          <w:cantSplit w:val="false"/>
        </w:trPr>
        <w:tc>
          <w:tcPr>
            <w:tcW w:w="29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both"/>
              <w:rPr>
                <w:b/>
                <w:sz w:val="18"/>
                <w:szCs w:val="22"/>
              </w:rPr>
            </w:pPr>
            <w:r>
              <w:rPr>
                <w:b/>
                <w:sz w:val="18"/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</w:r>
          </w:p>
        </w:tc>
        <w:tc>
          <w:tcPr>
            <w:tcW w:w="8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</w:r>
          </w:p>
        </w:tc>
        <w:tc>
          <w:tcPr>
            <w:tcW w:w="212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</w:r>
          </w:p>
        </w:tc>
        <w:tc>
          <w:tcPr>
            <w:tcW w:w="25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</w:r>
          </w:p>
        </w:tc>
      </w:tr>
      <w:tr>
        <w:trPr>
          <w:trHeight w:val="340" w:hRule="atLeast"/>
          <w:cantSplit w:val="false"/>
        </w:trPr>
        <w:tc>
          <w:tcPr>
            <w:tcW w:w="29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both"/>
              <w:rPr>
                <w:b/>
                <w:sz w:val="18"/>
                <w:szCs w:val="22"/>
              </w:rPr>
            </w:pPr>
            <w:r>
              <w:rPr>
                <w:b/>
                <w:sz w:val="18"/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</w:r>
          </w:p>
        </w:tc>
        <w:tc>
          <w:tcPr>
            <w:tcW w:w="8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</w:r>
          </w:p>
        </w:tc>
        <w:tc>
          <w:tcPr>
            <w:tcW w:w="212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</w:r>
          </w:p>
        </w:tc>
        <w:tc>
          <w:tcPr>
            <w:tcW w:w="25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</w:r>
          </w:p>
        </w:tc>
      </w:tr>
      <w:tr>
        <w:trPr>
          <w:trHeight w:val="340" w:hRule="atLeast"/>
          <w:cantSplit w:val="false"/>
        </w:trPr>
        <w:tc>
          <w:tcPr>
            <w:tcW w:w="29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both"/>
              <w:rPr>
                <w:b/>
                <w:sz w:val="18"/>
                <w:szCs w:val="22"/>
              </w:rPr>
            </w:pPr>
            <w:r>
              <w:rPr>
                <w:b/>
                <w:sz w:val="18"/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</w:r>
          </w:p>
        </w:tc>
        <w:tc>
          <w:tcPr>
            <w:tcW w:w="8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</w:r>
          </w:p>
        </w:tc>
        <w:tc>
          <w:tcPr>
            <w:tcW w:w="212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</w:r>
          </w:p>
        </w:tc>
        <w:tc>
          <w:tcPr>
            <w:tcW w:w="25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</w:r>
          </w:p>
        </w:tc>
      </w:tr>
    </w:tbl>
    <w:p>
      <w:pPr>
        <w:pStyle w:val="Normal"/>
        <w:jc w:val="both"/>
        <w:rPr>
          <w:sz w:val="18"/>
          <w:szCs w:val="22"/>
        </w:rPr>
      </w:pPr>
      <w:r>
        <w:rPr>
          <w:sz w:val="18"/>
          <w:szCs w:val="22"/>
        </w:rPr>
      </w:r>
    </w:p>
    <w:p>
      <w:pPr>
        <w:pStyle w:val="Normal"/>
        <w:ind w:left="360" w:right="0" w:hanging="0"/>
        <w:rPr>
          <w:sz w:val="20"/>
        </w:rPr>
      </w:pPr>
      <w:r>
        <w:rPr>
          <w:sz w:val="20"/>
        </w:rPr>
      </w:r>
    </w:p>
    <w:p>
      <w:pPr>
        <w:pStyle w:val="Normal"/>
        <w:jc w:val="center"/>
        <w:rPr>
          <w:b/>
          <w:sz w:val="20"/>
        </w:rPr>
      </w:pPr>
      <w:r>
        <w:rPr>
          <w:b/>
          <w:sz w:val="20"/>
        </w:rPr>
        <w:t>Čl. III</w:t>
      </w:r>
    </w:p>
    <w:p>
      <w:pPr>
        <w:pStyle w:val="Normal"/>
        <w:jc w:val="center"/>
        <w:rPr>
          <w:b/>
          <w:sz w:val="20"/>
        </w:rPr>
      </w:pPr>
      <w:r>
        <w:rPr>
          <w:b/>
          <w:sz w:val="20"/>
        </w:rPr>
        <w:t>Informácie, ktoré vysvetľujú a dopĺňajú súvahu a výkaz ziskov a strát</w:t>
      </w:r>
    </w:p>
    <w:p>
      <w:pPr>
        <w:pStyle w:val="Normal"/>
        <w:ind w:left="1841" w:right="0" w:hanging="0"/>
        <w:jc w:val="center"/>
        <w:rPr>
          <w:b/>
          <w:sz w:val="20"/>
        </w:rPr>
      </w:pPr>
      <w:r>
        <w:rPr>
          <w:b/>
          <w:sz w:val="20"/>
        </w:rPr>
      </w:r>
    </w:p>
    <w:p>
      <w:pPr>
        <w:pStyle w:val="Normal"/>
        <w:numPr>
          <w:ilvl w:val="0"/>
          <w:numId w:val="10"/>
        </w:numPr>
        <w:ind w:left="709" w:right="0" w:hanging="360"/>
        <w:jc w:val="both"/>
        <w:rPr>
          <w:sz w:val="20"/>
        </w:rPr>
      </w:pPr>
      <w:r>
        <w:rPr>
          <w:sz w:val="20"/>
        </w:rPr>
        <w:t>Informácia o sume a dôvodoch vzniku jednotlivých položiek nákladov alebo výnosov, ktoré majú výnimočný rozsah alebo výskyt, napríklad výnosy z predaja podniku alebo časti podniku, náklady z dôvodu predaja podniku alebo časti podniku, škody z dôvodu živelných pohrôm</w:t>
      </w:r>
    </w:p>
    <w:tbl>
      <w:tblPr>
        <w:jc w:val="left"/>
        <w:tblInd w:w="9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single" w:sz="4" w:space="0" w:color="00000A"/>
          <w:insideV w:val="single" w:sz="4" w:space="0" w:color="00000A"/>
        </w:tblBorders>
        <w:tblCellMar>
          <w:top w:w="0" w:type="dxa"/>
          <w:left w:w="98" w:type="dxa"/>
          <w:bottom w:w="0" w:type="dxa"/>
          <w:right w:w="108" w:type="dxa"/>
        </w:tblCellMar>
      </w:tblPr>
      <w:tblGrid>
        <w:gridCol w:w="3895"/>
        <w:gridCol w:w="4180"/>
        <w:gridCol w:w="1423"/>
      </w:tblGrid>
      <w:tr>
        <w:trPr>
          <w:trHeight w:val="283" w:hRule="atLeast"/>
          <w:cantSplit w:val="false"/>
        </w:trPr>
        <w:tc>
          <w:tcPr>
            <w:tcW w:w="38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  <w:t>Popis nákladov ,výnosov výnimoč. rozsahu</w:t>
            </w:r>
          </w:p>
        </w:tc>
        <w:tc>
          <w:tcPr>
            <w:tcW w:w="41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  <w:t>Dôvod vzniku</w:t>
            </w:r>
          </w:p>
        </w:tc>
        <w:tc>
          <w:tcPr>
            <w:tcW w:w="1423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>
        <w:trPr>
          <w:trHeight w:val="283" w:hRule="atLeast"/>
          <w:cantSplit w:val="false"/>
        </w:trPr>
        <w:tc>
          <w:tcPr>
            <w:tcW w:w="3895" w:type="dxa"/>
            <w:tcBorders>
              <w:top w:val="single" w:sz="4" w:space="0" w:color="000001"/>
              <w:left w:val="single" w:sz="4" w:space="0" w:color="000001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4180" w:type="dxa"/>
            <w:tcBorders>
              <w:top w:val="single" w:sz="4" w:space="0" w:color="000001"/>
              <w:left w:val="single" w:sz="4" w:space="0" w:color="000001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423" w:type="dxa"/>
            <w:tcBorders>
              <w:top w:val="single" w:sz="4" w:space="0" w:color="000001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trHeight w:val="283" w:hRule="atLeast"/>
          <w:cantSplit w:val="false"/>
        </w:trPr>
        <w:tc>
          <w:tcPr>
            <w:tcW w:w="3895" w:type="dxa"/>
            <w:tcBorders>
              <w:top w:val="single" w:sz="4" w:space="0" w:color="00000A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4180" w:type="dxa"/>
            <w:tcBorders>
              <w:top w:val="single" w:sz="4" w:space="0" w:color="00000A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423" w:type="dxa"/>
            <w:tcBorders>
              <w:top w:val="single" w:sz="4" w:space="0" w:color="00000A"/>
              <w:left w:val="single" w:sz="4" w:space="0" w:color="00000A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</w:tr>
    </w:tbl>
    <w:p>
      <w:pPr>
        <w:pStyle w:val="Normal"/>
        <w:ind w:left="1481" w:right="0" w:hanging="0"/>
        <w:jc w:val="both"/>
        <w:rPr>
          <w:sz w:val="20"/>
        </w:rPr>
      </w:pPr>
      <w:r>
        <w:rPr>
          <w:sz w:val="20"/>
        </w:rPr>
      </w:r>
    </w:p>
    <w:p>
      <w:pPr>
        <w:pStyle w:val="Normal"/>
        <w:numPr>
          <w:ilvl w:val="0"/>
          <w:numId w:val="10"/>
        </w:numPr>
        <w:ind w:left="709" w:right="0" w:hanging="360"/>
        <w:jc w:val="both"/>
        <w:rPr>
          <w:sz w:val="20"/>
        </w:rPr>
      </w:pPr>
      <w:r>
        <w:rPr>
          <w:sz w:val="20"/>
        </w:rPr>
        <w:t xml:space="preserve">Informácie o záväzkoch </w:t>
      </w:r>
    </w:p>
    <w:tbl>
      <w:tblPr>
        <w:jc w:val="left"/>
        <w:tblInd w:w="9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single" w:sz="4" w:space="0" w:color="00000A"/>
          <w:insideV w:val="single" w:sz="4" w:space="0" w:color="00000A"/>
        </w:tblBorders>
        <w:tblCellMar>
          <w:top w:w="0" w:type="dxa"/>
          <w:left w:w="98" w:type="dxa"/>
          <w:bottom w:w="0" w:type="dxa"/>
          <w:right w:w="108" w:type="dxa"/>
        </w:tblCellMar>
      </w:tblPr>
      <w:tblGrid>
        <w:gridCol w:w="8077"/>
        <w:gridCol w:w="1418"/>
      </w:tblGrid>
      <w:tr>
        <w:trPr>
          <w:trHeight w:val="283" w:hRule="atLeast"/>
          <w:cantSplit w:val="false"/>
        </w:trPr>
        <w:tc>
          <w:tcPr>
            <w:tcW w:w="807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  <w:t>Celková suma záväzkov so zostatkovou dobou splatnosti dlhšou ako päť rokov</w:t>
            </w:r>
          </w:p>
        </w:tc>
        <w:tc>
          <w:tcPr>
            <w:tcW w:w="1418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trHeight w:val="283" w:hRule="atLeast"/>
          <w:cantSplit w:val="false"/>
        </w:trPr>
        <w:tc>
          <w:tcPr>
            <w:tcW w:w="8077" w:type="dxa"/>
            <w:tcBorders>
              <w:top w:val="single" w:sz="4" w:space="0" w:color="000001"/>
              <w:left w:val="single" w:sz="4" w:space="0" w:color="000001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  <w:t>Celková suma zabezpečených záväzkov</w:t>
            </w:r>
          </w:p>
        </w:tc>
        <w:tc>
          <w:tcPr>
            <w:tcW w:w="1418" w:type="dxa"/>
            <w:tcBorders>
              <w:top w:val="single" w:sz="4" w:space="0" w:color="000001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trHeight w:val="283" w:hRule="atLeast"/>
          <w:cantSplit w:val="false"/>
        </w:trPr>
        <w:tc>
          <w:tcPr>
            <w:tcW w:w="9495" w:type="dxa"/>
            <w:gridSpan w:val="2"/>
            <w:tcBorders>
              <w:top w:val="single" w:sz="4" w:space="0" w:color="00000A"/>
              <w:left w:val="single" w:sz="4" w:space="0" w:color="000001"/>
              <w:bottom w:val="single" w:sz="4" w:space="0" w:color="00000A"/>
              <w:insideH w:val="single" w:sz="4" w:space="0" w:color="00000A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center"/>
              <w:rPr>
                <w:sz w:val="20"/>
              </w:rPr>
            </w:pPr>
            <w:r>
              <w:rPr>
                <w:sz w:val="20"/>
              </w:rPr>
              <w:t>Opis a spôsoby zabezpečenia záväzkov</w:t>
            </w:r>
          </w:p>
        </w:tc>
      </w:tr>
      <w:tr>
        <w:trPr>
          <w:trHeight w:val="283" w:hRule="atLeast"/>
          <w:cantSplit w:val="false"/>
        </w:trPr>
        <w:tc>
          <w:tcPr>
            <w:tcW w:w="8077" w:type="dxa"/>
            <w:tcBorders>
              <w:top w:val="single" w:sz="4" w:space="0" w:color="00000A"/>
              <w:left w:val="single" w:sz="4" w:space="0" w:color="000001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trHeight w:val="283" w:hRule="atLeast"/>
          <w:cantSplit w:val="false"/>
        </w:trPr>
        <w:tc>
          <w:tcPr>
            <w:tcW w:w="8077" w:type="dxa"/>
            <w:tcBorders>
              <w:top w:val="single" w:sz="4" w:space="0" w:color="00000A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</w:tr>
    </w:tbl>
    <w:p>
      <w:pPr>
        <w:pStyle w:val="Normal"/>
        <w:ind w:left="1134" w:right="0" w:hanging="0"/>
        <w:jc w:val="both"/>
        <w:rPr>
          <w:sz w:val="20"/>
        </w:rPr>
      </w:pPr>
      <w:r>
        <w:rPr>
          <w:sz w:val="20"/>
        </w:rPr>
      </w:r>
    </w:p>
    <w:p>
      <w:pPr>
        <w:pStyle w:val="Normal"/>
        <w:numPr>
          <w:ilvl w:val="0"/>
          <w:numId w:val="10"/>
        </w:numPr>
        <w:ind w:left="709" w:right="0" w:hanging="360"/>
        <w:jc w:val="both"/>
        <w:rPr>
          <w:bCs/>
          <w:sz w:val="20"/>
          <w:lang w:eastAsia="en-US"/>
        </w:rPr>
      </w:pPr>
      <w:r>
        <w:rPr>
          <w:bCs/>
          <w:sz w:val="20"/>
          <w:lang w:eastAsia="en-US"/>
        </w:rPr>
        <w:t>Informácie o vlastných akciách, a to</w:t>
      </w:r>
    </w:p>
    <w:p>
      <w:pPr>
        <w:pStyle w:val="Normal"/>
        <w:numPr>
          <w:ilvl w:val="0"/>
          <w:numId w:val="1"/>
        </w:numPr>
        <w:ind w:left="1276" w:right="0" w:hanging="360"/>
        <w:jc w:val="both"/>
        <w:rPr>
          <w:sz w:val="20"/>
        </w:rPr>
      </w:pPr>
      <w:r>
        <w:rPr>
          <w:sz w:val="20"/>
        </w:rPr>
        <w:t>dôvode nadobudnutia vlastných akcií počas účtovného obdobia,</w:t>
      </w:r>
    </w:p>
    <w:p>
      <w:pPr>
        <w:pStyle w:val="Normal"/>
        <w:numPr>
          <w:ilvl w:val="0"/>
          <w:numId w:val="1"/>
        </w:numPr>
        <w:ind w:left="1276" w:right="0" w:hanging="360"/>
        <w:jc w:val="both"/>
        <w:rPr>
          <w:sz w:val="20"/>
        </w:rPr>
      </w:pPr>
      <w:r>
        <w:rPr>
          <w:sz w:val="20"/>
        </w:rPr>
        <w:t>informáciách, ktorými sú</w:t>
      </w:r>
    </w:p>
    <w:p>
      <w:pPr>
        <w:pStyle w:val="Normal"/>
        <w:numPr>
          <w:ilvl w:val="0"/>
          <w:numId w:val="8"/>
        </w:numPr>
        <w:tabs>
          <w:tab w:val="left" w:pos="851" w:leader="none"/>
        </w:tabs>
        <w:ind w:left="1701" w:right="0" w:hanging="360"/>
        <w:jc w:val="both"/>
        <w:rPr>
          <w:sz w:val="20"/>
        </w:rPr>
      </w:pPr>
      <w:r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>
      <w:pPr>
        <w:pStyle w:val="Normal"/>
        <w:numPr>
          <w:ilvl w:val="0"/>
          <w:numId w:val="3"/>
        </w:numPr>
        <w:tabs>
          <w:tab w:val="left" w:pos="851" w:leader="none"/>
        </w:tabs>
        <w:ind w:left="1701" w:right="0" w:hanging="360"/>
        <w:jc w:val="both"/>
        <w:rPr>
          <w:sz w:val="20"/>
        </w:rPr>
      </w:pPr>
      <w:r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>
      <w:pPr>
        <w:pStyle w:val="Normal"/>
        <w:numPr>
          <w:ilvl w:val="0"/>
          <w:numId w:val="1"/>
        </w:numPr>
        <w:ind w:left="1276" w:right="0" w:hanging="360"/>
        <w:jc w:val="both"/>
        <w:rPr>
          <w:bCs/>
          <w:sz w:val="20"/>
          <w:lang w:eastAsia="en-US"/>
        </w:rPr>
      </w:pPr>
      <w:r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>
        <w:rPr>
          <w:bCs/>
          <w:sz w:val="20"/>
          <w:lang w:eastAsia="en-US"/>
        </w:rPr>
        <w:t>uvádza  sa aj ich percentuálny podiel na upísanom základnom imaní.</w:t>
      </w:r>
    </w:p>
    <w:p>
      <w:pPr>
        <w:pStyle w:val="Normal"/>
        <w:numPr>
          <w:ilvl w:val="0"/>
          <w:numId w:val="10"/>
        </w:numPr>
        <w:ind w:left="709" w:right="0" w:hanging="360"/>
        <w:jc w:val="both"/>
        <w:rPr>
          <w:sz w:val="20"/>
        </w:rPr>
      </w:pPr>
      <w:r>
        <w:rPr>
          <w:sz w:val="20"/>
        </w:rPr>
        <w:t>Informácie o orgánoch účtovnej jednotky</w:t>
      </w:r>
    </w:p>
    <w:tbl>
      <w:tblPr>
        <w:jc w:val="left"/>
        <w:tblInd w:w="98" w:type="dxa"/>
        <w:tblBorders>
          <w:top w:val="single" w:sz="4" w:space="0" w:color="000001"/>
          <w:left w:val="single" w:sz="4" w:space="0" w:color="00000A"/>
          <w:bottom w:val="single" w:sz="4" w:space="0" w:color="000001"/>
          <w:insideH w:val="single" w:sz="4" w:space="0" w:color="000001"/>
          <w:right w:val="single" w:sz="4" w:space="0" w:color="000001"/>
          <w:insideV w:val="single" w:sz="4" w:space="0" w:color="000001"/>
        </w:tblBorders>
        <w:tblCellMar>
          <w:top w:w="0" w:type="dxa"/>
          <w:left w:w="98" w:type="dxa"/>
          <w:bottom w:w="0" w:type="dxa"/>
          <w:right w:w="108" w:type="dxa"/>
        </w:tblCellMar>
      </w:tblPr>
      <w:tblGrid>
        <w:gridCol w:w="5667"/>
        <w:gridCol w:w="1558"/>
        <w:gridCol w:w="426"/>
        <w:gridCol w:w="414"/>
        <w:gridCol w:w="1430"/>
      </w:tblGrid>
      <w:tr>
        <w:trPr>
          <w:trHeight w:val="283" w:hRule="atLeast"/>
          <w:cantSplit w:val="false"/>
        </w:trPr>
        <w:tc>
          <w:tcPr>
            <w:tcW w:w="9495" w:type="dxa"/>
            <w:gridSpan w:val="5"/>
            <w:tcBorders>
              <w:top w:val="single" w:sz="4" w:space="0" w:color="000001"/>
              <w:left w:val="single" w:sz="4" w:space="0" w:color="00000A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center"/>
              <w:rPr>
                <w:sz w:val="20"/>
              </w:rPr>
            </w:pPr>
            <w:r>
              <w:rPr>
                <w:sz w:val="20"/>
              </w:rPr>
              <w:t>a</w:t>
            </w:r>
            <w:r>
              <w:rPr>
                <w:b/>
                <w:sz w:val="20"/>
              </w:rPr>
              <w:t>)</w:t>
            </w:r>
            <w:r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>
        <w:trPr>
          <w:trHeight w:val="283" w:hRule="atLeast"/>
          <w:cantSplit w:val="false"/>
        </w:trPr>
        <w:tc>
          <w:tcPr>
            <w:tcW w:w="5667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insideH w:val="single" w:sz="4" w:space="0" w:color="000001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  <w:t>Druh záruky</w:t>
            </w:r>
          </w:p>
        </w:tc>
        <w:tc>
          <w:tcPr>
            <w:tcW w:w="1984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  <w:t>Štatutárny orgán</w:t>
            </w:r>
          </w:p>
        </w:tc>
        <w:tc>
          <w:tcPr>
            <w:tcW w:w="1844" w:type="dxa"/>
            <w:gridSpan w:val="2"/>
            <w:tcBorders>
              <w:top w:val="single" w:sz="4" w:space="0" w:color="000001"/>
              <w:left w:val="single" w:sz="4" w:space="0" w:color="00000A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>
        <w:trPr>
          <w:trHeight w:val="283" w:hRule="atLeast"/>
          <w:cantSplit w:val="false"/>
        </w:trPr>
        <w:tc>
          <w:tcPr>
            <w:tcW w:w="5667" w:type="dxa"/>
            <w:tcBorders>
              <w:top w:val="single" w:sz="4" w:space="0" w:color="000001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984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844" w:type="dxa"/>
            <w:gridSpan w:val="2"/>
            <w:tcBorders>
              <w:top w:val="single" w:sz="4" w:space="0" w:color="000001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trHeight w:val="283" w:hRule="atLeast"/>
          <w:cantSplit w:val="false"/>
        </w:trPr>
        <w:tc>
          <w:tcPr>
            <w:tcW w:w="5667" w:type="dxa"/>
            <w:tcBorders>
              <w:top w:val="single" w:sz="4" w:space="0" w:color="00000A"/>
              <w:left w:val="single" w:sz="4" w:space="0" w:color="00000A"/>
              <w:bottom w:val="single" w:sz="4" w:space="0" w:color="000001"/>
              <w:insideH w:val="single" w:sz="4" w:space="0" w:color="000001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984" w:type="dxa"/>
            <w:gridSpan w:val="2"/>
            <w:tcBorders>
              <w:top w:val="single" w:sz="4" w:space="0" w:color="00000A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84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false"/>
        </w:trPr>
        <w:tc>
          <w:tcPr>
            <w:tcW w:w="9495" w:type="dxa"/>
            <w:gridSpan w:val="5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rPr>
                <w:sz w:val="20"/>
              </w:rPr>
            </w:pPr>
            <w:r>
              <w:rPr>
                <w:sz w:val="20"/>
              </w:rPr>
              <w:t>b)pôžičky poskytnuté členom štatutárneho orgánu, dozorného orgánu a iného orgánu ÚJ</w:t>
            </w:r>
          </w:p>
        </w:tc>
      </w:tr>
      <w:tr>
        <w:trPr>
          <w:cantSplit w:val="false"/>
        </w:trPr>
        <w:tc>
          <w:tcPr>
            <w:tcW w:w="56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tabs>
                <w:tab w:val="left" w:pos="851" w:leader="none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Celková suma poskytnutých pôžičiek k poslednému dňu ÚO. obdobia</w:t>
            </w:r>
          </w:p>
        </w:tc>
        <w:tc>
          <w:tcPr>
            <w:tcW w:w="1558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insideH w:val="single" w:sz="4" w:space="0" w:color="000001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  <w:t>Štatutárny orgán</w:t>
            </w:r>
          </w:p>
        </w:tc>
        <w:tc>
          <w:tcPr>
            <w:tcW w:w="840" w:type="dxa"/>
            <w:gridSpan w:val="2"/>
            <w:tcBorders>
              <w:top w:val="single" w:sz="4" w:space="0" w:color="000001"/>
              <w:left w:val="single" w:sz="4" w:space="0" w:color="00000A"/>
              <w:bottom w:val="single" w:sz="4" w:space="0" w:color="000001"/>
              <w:insideH w:val="single" w:sz="4" w:space="0" w:color="000001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rPr>
                <w:sz w:val="20"/>
              </w:rPr>
            </w:pPr>
            <w:r>
              <w:rPr>
                <w:sz w:val="20"/>
              </w:rPr>
              <w:t>Úrok v %</w:t>
            </w:r>
          </w:p>
        </w:tc>
        <w:tc>
          <w:tcPr>
            <w:tcW w:w="1430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rPr>
                <w:sz w:val="20"/>
              </w:rPr>
            </w:pPr>
            <w:r>
              <w:rPr>
                <w:sz w:val="20"/>
              </w:rPr>
              <w:t>EUR</w:t>
            </w:r>
          </w:p>
          <w:p>
            <w:pPr>
              <w:pStyle w:val="Normal"/>
              <w:tabs>
                <w:tab w:val="left" w:pos="851" w:leader="none"/>
              </w:tabs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false"/>
        </w:trPr>
        <w:tc>
          <w:tcPr>
            <w:tcW w:w="56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tabs>
                <w:tab w:val="left" w:pos="851" w:leader="none"/>
              </w:tabs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558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insideH w:val="single" w:sz="4" w:space="0" w:color="000001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840" w:type="dxa"/>
            <w:gridSpan w:val="2"/>
            <w:tcBorders>
              <w:top w:val="single" w:sz="4" w:space="0" w:color="000001"/>
              <w:left w:val="single" w:sz="4" w:space="0" w:color="00000A"/>
              <w:bottom w:val="single" w:sz="4" w:space="0" w:color="000001"/>
              <w:insideH w:val="single" w:sz="4" w:space="0" w:color="000001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430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false"/>
        </w:trPr>
        <w:tc>
          <w:tcPr>
            <w:tcW w:w="56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tabs>
                <w:tab w:val="left" w:pos="851" w:leader="none"/>
              </w:tabs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558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insideH w:val="single" w:sz="4" w:space="0" w:color="000001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840" w:type="dxa"/>
            <w:gridSpan w:val="2"/>
            <w:tcBorders>
              <w:top w:val="single" w:sz="4" w:space="0" w:color="000001"/>
              <w:left w:val="single" w:sz="4" w:space="0" w:color="00000A"/>
              <w:bottom w:val="single" w:sz="4" w:space="0" w:color="000001"/>
              <w:insideH w:val="single" w:sz="4" w:space="0" w:color="000001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430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false"/>
        </w:trPr>
        <w:tc>
          <w:tcPr>
            <w:tcW w:w="56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tabs>
                <w:tab w:val="left" w:pos="851" w:leader="none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Celková suma splatených pôžičiek k poslednému dňu účt. obdobia</w:t>
            </w:r>
          </w:p>
          <w:p>
            <w:pPr>
              <w:pStyle w:val="Normal"/>
              <w:tabs>
                <w:tab w:val="left" w:pos="851" w:leader="none"/>
              </w:tabs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558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insideH w:val="single" w:sz="4" w:space="0" w:color="000001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Normal"/>
              <w:tabs>
                <w:tab w:val="left" w:pos="851" w:leader="none"/>
              </w:tabs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840" w:type="dxa"/>
            <w:gridSpan w:val="2"/>
            <w:tcBorders>
              <w:top w:val="single" w:sz="4" w:space="0" w:color="000001"/>
              <w:left w:val="single" w:sz="4" w:space="0" w:color="00000A"/>
              <w:bottom w:val="single" w:sz="4" w:space="0" w:color="000001"/>
              <w:insideH w:val="single" w:sz="4" w:space="0" w:color="000001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Normal"/>
              <w:tabs>
                <w:tab w:val="left" w:pos="851" w:leader="none"/>
              </w:tabs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430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Normal"/>
              <w:tabs>
                <w:tab w:val="left" w:pos="851" w:leader="none"/>
              </w:tabs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false"/>
        </w:trPr>
        <w:tc>
          <w:tcPr>
            <w:tcW w:w="56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tabs>
                <w:tab w:val="left" w:pos="851" w:leader="none"/>
              </w:tabs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558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insideH w:val="single" w:sz="4" w:space="0" w:color="000001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840" w:type="dxa"/>
            <w:gridSpan w:val="2"/>
            <w:tcBorders>
              <w:top w:val="single" w:sz="4" w:space="0" w:color="000001"/>
              <w:left w:val="single" w:sz="4" w:space="0" w:color="00000A"/>
              <w:bottom w:val="single" w:sz="4" w:space="0" w:color="000001"/>
              <w:insideH w:val="single" w:sz="4" w:space="0" w:color="000001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430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false"/>
        </w:trPr>
        <w:tc>
          <w:tcPr>
            <w:tcW w:w="56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tabs>
                <w:tab w:val="left" w:pos="851" w:leader="none"/>
              </w:tabs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558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insideH w:val="single" w:sz="4" w:space="0" w:color="000001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840" w:type="dxa"/>
            <w:gridSpan w:val="2"/>
            <w:tcBorders>
              <w:top w:val="single" w:sz="4" w:space="0" w:color="000001"/>
              <w:left w:val="single" w:sz="4" w:space="0" w:color="00000A"/>
              <w:bottom w:val="single" w:sz="4" w:space="0" w:color="000001"/>
              <w:insideH w:val="single" w:sz="4" w:space="0" w:color="000001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430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false"/>
        </w:trPr>
        <w:tc>
          <w:tcPr>
            <w:tcW w:w="56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tabs>
                <w:tab w:val="left" w:pos="851" w:leader="none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 xml:space="preserve">Celková suma odpustených pôžičiek a odpísaných pôžičiek </w:t>
            </w:r>
          </w:p>
          <w:p>
            <w:pPr>
              <w:pStyle w:val="Normal"/>
              <w:tabs>
                <w:tab w:val="left" w:pos="851" w:leader="none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 xml:space="preserve">k poslednému dňu účtovného obdobia </w:t>
            </w:r>
          </w:p>
        </w:tc>
        <w:tc>
          <w:tcPr>
            <w:tcW w:w="1558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insideH w:val="single" w:sz="4" w:space="0" w:color="000001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Normal"/>
              <w:tabs>
                <w:tab w:val="left" w:pos="851" w:leader="none"/>
              </w:tabs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840" w:type="dxa"/>
            <w:gridSpan w:val="2"/>
            <w:tcBorders>
              <w:top w:val="single" w:sz="4" w:space="0" w:color="000001"/>
              <w:left w:val="single" w:sz="4" w:space="0" w:color="00000A"/>
              <w:bottom w:val="single" w:sz="4" w:space="0" w:color="000001"/>
              <w:insideH w:val="single" w:sz="4" w:space="0" w:color="000001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Normal"/>
              <w:tabs>
                <w:tab w:val="left" w:pos="851" w:leader="none"/>
              </w:tabs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430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Normal"/>
              <w:tabs>
                <w:tab w:val="left" w:pos="851" w:leader="none"/>
              </w:tabs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false"/>
        </w:trPr>
        <w:tc>
          <w:tcPr>
            <w:tcW w:w="56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tabs>
                <w:tab w:val="left" w:pos="851" w:leader="none"/>
              </w:tabs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558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insideH w:val="single" w:sz="4" w:space="0" w:color="000001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840" w:type="dxa"/>
            <w:gridSpan w:val="2"/>
            <w:tcBorders>
              <w:top w:val="single" w:sz="4" w:space="0" w:color="000001"/>
              <w:left w:val="single" w:sz="4" w:space="0" w:color="00000A"/>
              <w:bottom w:val="single" w:sz="4" w:space="0" w:color="000001"/>
              <w:insideH w:val="single" w:sz="4" w:space="0" w:color="000001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430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false"/>
        </w:trPr>
        <w:tc>
          <w:tcPr>
            <w:tcW w:w="56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tabs>
                <w:tab w:val="left" w:pos="851" w:leader="none"/>
              </w:tabs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558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insideH w:val="single" w:sz="4" w:space="0" w:color="000001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840" w:type="dxa"/>
            <w:gridSpan w:val="2"/>
            <w:tcBorders>
              <w:top w:val="single" w:sz="4" w:space="0" w:color="000001"/>
              <w:left w:val="single" w:sz="4" w:space="0" w:color="00000A"/>
              <w:bottom w:val="single" w:sz="4" w:space="0" w:color="000001"/>
              <w:insideH w:val="single" w:sz="4" w:space="0" w:color="000001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430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trHeight w:val="283" w:hRule="atLeast"/>
          <w:cantSplit w:val="false"/>
        </w:trPr>
        <w:tc>
          <w:tcPr>
            <w:tcW w:w="9495" w:type="dxa"/>
            <w:gridSpan w:val="5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rPr>
                <w:sz w:val="20"/>
              </w:rPr>
            </w:pPr>
            <w:r>
              <w:rPr>
                <w:sz w:val="20"/>
              </w:rPr>
              <w:t>c)celková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>
        <w:trPr>
          <w:trHeight w:val="283" w:hRule="atLeast"/>
          <w:cantSplit w:val="false"/>
        </w:trPr>
        <w:tc>
          <w:tcPr>
            <w:tcW w:w="56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  <w:t>Plnenie na súkromné účely k vyúčtovaniu</w:t>
            </w:r>
          </w:p>
        </w:tc>
        <w:tc>
          <w:tcPr>
            <w:tcW w:w="1984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  <w:t>Štatutárny orgán</w:t>
            </w:r>
          </w:p>
        </w:tc>
        <w:tc>
          <w:tcPr>
            <w:tcW w:w="1844" w:type="dxa"/>
            <w:gridSpan w:val="2"/>
            <w:tcBorders>
              <w:top w:val="single" w:sz="4" w:space="0" w:color="000001"/>
              <w:left w:val="single" w:sz="4" w:space="0" w:color="00000A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>
        <w:trPr>
          <w:trHeight w:val="283" w:hRule="atLeast"/>
          <w:cantSplit w:val="false"/>
        </w:trPr>
        <w:tc>
          <w:tcPr>
            <w:tcW w:w="5667" w:type="dxa"/>
            <w:tcBorders>
              <w:top w:val="single" w:sz="4" w:space="0" w:color="000001"/>
              <w:left w:val="single" w:sz="4" w:space="0" w:color="000001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984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844" w:type="dxa"/>
            <w:gridSpan w:val="2"/>
            <w:tcBorders>
              <w:top w:val="single" w:sz="4" w:space="0" w:color="000001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trHeight w:val="283" w:hRule="atLeast"/>
          <w:cantSplit w:val="false"/>
        </w:trPr>
        <w:tc>
          <w:tcPr>
            <w:tcW w:w="5667" w:type="dxa"/>
            <w:tcBorders>
              <w:top w:val="single" w:sz="4" w:space="0" w:color="00000A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984" w:type="dxa"/>
            <w:gridSpan w:val="2"/>
            <w:tcBorders>
              <w:top w:val="single" w:sz="4" w:space="0" w:color="00000A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A"/>
              <w:insideV w:val="single" w:sz="4" w:space="0" w:color="00000A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184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98" w:type="dxa"/>
            </w:tcMar>
          </w:tcPr>
          <w:p>
            <w:pPr>
              <w:pStyle w:val="Normal"/>
              <w:jc w:val="both"/>
              <w:rPr>
                <w:sz w:val="20"/>
              </w:rPr>
            </w:pPr>
            <w:r>
              <w:rPr>
                <w:sz w:val="20"/>
              </w:rPr>
            </w:r>
          </w:p>
        </w:tc>
      </w:tr>
    </w:tbl>
    <w:p>
      <w:pPr>
        <w:pStyle w:val="Normal"/>
        <w:jc w:val="both"/>
        <w:rPr>
          <w:sz w:val="20"/>
        </w:rPr>
      </w:pPr>
      <w:r>
        <w:rPr>
          <w:sz w:val="20"/>
        </w:rPr>
      </w:r>
    </w:p>
    <w:p>
      <w:pPr>
        <w:pStyle w:val="Normal"/>
        <w:numPr>
          <w:ilvl w:val="0"/>
          <w:numId w:val="10"/>
        </w:numPr>
        <w:ind w:left="1480" w:right="0" w:hanging="360"/>
        <w:jc w:val="both"/>
        <w:rPr>
          <w:sz w:val="20"/>
        </w:rPr>
      </w:pPr>
      <w:r>
        <w:rPr>
          <w:sz w:val="20"/>
        </w:rPr>
        <w:t>Informácie o povinnostiach účtovnej jednotky, a to</w:t>
      </w:r>
    </w:p>
    <w:p>
      <w:pPr>
        <w:pStyle w:val="Normal"/>
        <w:numPr>
          <w:ilvl w:val="0"/>
          <w:numId w:val="2"/>
        </w:numPr>
        <w:ind w:left="1276" w:right="0" w:hanging="360"/>
        <w:jc w:val="both"/>
        <w:rPr>
          <w:sz w:val="20"/>
        </w:rPr>
      </w:pPr>
      <w:r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>
      <w:pPr>
        <w:pStyle w:val="Normal"/>
        <w:ind w:left="1276" w:right="0" w:hanging="0"/>
        <w:jc w:val="both"/>
        <w:rPr>
          <w:sz w:val="20"/>
        </w:rPr>
      </w:pPr>
      <w:r>
        <w:rPr>
          <w:sz w:val="20"/>
        </w:rPr>
        <w:t xml:space="preserve">- </w:t>
      </w:r>
    </w:p>
    <w:p>
      <w:pPr>
        <w:pStyle w:val="Normal"/>
        <w:numPr>
          <w:ilvl w:val="0"/>
          <w:numId w:val="2"/>
        </w:numPr>
        <w:ind w:left="1276" w:right="0" w:hanging="360"/>
        <w:jc w:val="both"/>
        <w:rPr>
          <w:sz w:val="20"/>
        </w:rPr>
      </w:pPr>
      <w:r>
        <w:rPr>
          <w:sz w:val="20"/>
        </w:rPr>
        <w:t>celkovej sume významných podmienených záväzkov, ktorými sa rozumie</w:t>
      </w:r>
    </w:p>
    <w:p>
      <w:pPr>
        <w:pStyle w:val="Normal"/>
        <w:numPr>
          <w:ilvl w:val="0"/>
          <w:numId w:val="5"/>
        </w:numPr>
        <w:ind w:left="1701" w:right="0" w:hanging="360"/>
        <w:jc w:val="both"/>
        <w:rPr>
          <w:sz w:val="20"/>
        </w:rPr>
      </w:pPr>
      <w:r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>
      <w:pPr>
        <w:pStyle w:val="Normal"/>
        <w:numPr>
          <w:ilvl w:val="0"/>
          <w:numId w:val="5"/>
        </w:numPr>
        <w:ind w:left="1701" w:right="0" w:hanging="360"/>
        <w:jc w:val="both"/>
        <w:rPr>
          <w:sz w:val="20"/>
        </w:rPr>
      </w:pPr>
      <w:r>
        <w:rPr>
          <w:sz w:val="20"/>
        </w:rPr>
        <w:t>existujúca povinnosť, ktorá vznikla ako dôsledok minulej udalosti, ale ktorá sa nevykazuje v súvahe, pretože</w:t>
      </w:r>
    </w:p>
    <w:p>
      <w:pPr>
        <w:pStyle w:val="Normal"/>
        <w:numPr>
          <w:ilvl w:val="0"/>
          <w:numId w:val="4"/>
        </w:numPr>
        <w:ind w:left="2127" w:right="0" w:hanging="360"/>
        <w:jc w:val="both"/>
        <w:rPr>
          <w:sz w:val="20"/>
        </w:rPr>
      </w:pPr>
      <w:r>
        <w:rPr>
          <w:sz w:val="20"/>
        </w:rPr>
        <w:t>nie je pravdepodobné, že na splnenie tejto povinnosti bude potrebný úbytok ekonomických úžitkov, alebo</w:t>
      </w:r>
    </w:p>
    <w:p>
      <w:pPr>
        <w:pStyle w:val="Normal"/>
        <w:numPr>
          <w:ilvl w:val="0"/>
          <w:numId w:val="6"/>
        </w:numPr>
        <w:tabs>
          <w:tab w:val="left" w:pos="851" w:leader="none"/>
        </w:tabs>
        <w:ind w:left="0" w:right="0" w:hanging="360"/>
        <w:jc w:val="both"/>
        <w:rPr>
          <w:sz w:val="20"/>
        </w:rPr>
      </w:pPr>
      <w:r>
        <w:rPr>
          <w:sz w:val="20"/>
        </w:rPr>
        <w:t>výška tejto povinnosti sa nedá spoľahlivo oceniť,</w:t>
      </w:r>
    </w:p>
    <w:p>
      <w:pPr>
        <w:pStyle w:val="Normal"/>
        <w:tabs>
          <w:tab w:val="left" w:pos="851" w:leader="none"/>
        </w:tabs>
        <w:ind w:left="2510" w:right="0" w:hanging="0"/>
        <w:jc w:val="both"/>
        <w:rPr>
          <w:sz w:val="20"/>
        </w:rPr>
      </w:pPr>
      <w:r>
        <w:rPr>
          <w:sz w:val="20"/>
        </w:rPr>
        <w:t xml:space="preserve">- </w:t>
      </w:r>
    </w:p>
    <w:p>
      <w:pPr>
        <w:pStyle w:val="Normal"/>
        <w:numPr>
          <w:ilvl w:val="0"/>
          <w:numId w:val="2"/>
        </w:numPr>
        <w:ind w:left="1276" w:right="0" w:hanging="360"/>
        <w:jc w:val="both"/>
        <w:rPr>
          <w:sz w:val="20"/>
        </w:rPr>
      </w:pPr>
      <w:r>
        <w:rPr>
          <w:sz w:val="20"/>
        </w:rPr>
        <w:t>opise významných finančných povinností a významných podmienených záväzkov,</w:t>
      </w:r>
    </w:p>
    <w:p>
      <w:pPr>
        <w:pStyle w:val="Normal"/>
        <w:numPr>
          <w:ilvl w:val="0"/>
          <w:numId w:val="2"/>
        </w:numPr>
        <w:ind w:left="1276" w:right="0" w:hanging="360"/>
        <w:jc w:val="both"/>
        <w:rPr>
          <w:sz w:val="20"/>
        </w:rPr>
      </w:pPr>
      <w:r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>
      <w:pPr>
        <w:pStyle w:val="Normal"/>
        <w:numPr>
          <w:ilvl w:val="0"/>
          <w:numId w:val="2"/>
        </w:numPr>
        <w:ind w:left="1276" w:right="0" w:hanging="360"/>
        <w:jc w:val="both"/>
        <w:rPr>
          <w:sz w:val="20"/>
        </w:rPr>
      </w:pPr>
      <w:r>
        <w:rPr>
          <w:sz w:val="20"/>
        </w:rPr>
        <w:t>opise významných povinností účtovnej jednotky vyplývajúcich z dôchodkových programov pre zamestnancov.</w:t>
      </w:r>
    </w:p>
    <w:p>
      <w:pPr>
        <w:pStyle w:val="Normal"/>
        <w:ind w:left="1276" w:right="0" w:hanging="0"/>
        <w:jc w:val="both"/>
        <w:rPr>
          <w:sz w:val="20"/>
        </w:rPr>
      </w:pPr>
      <w:r>
        <w:rPr>
          <w:sz w:val="20"/>
        </w:rPr>
        <w:t>-</w:t>
      </w:r>
    </w:p>
    <w:p>
      <w:pPr>
        <w:pStyle w:val="Normal"/>
        <w:numPr>
          <w:ilvl w:val="0"/>
          <w:numId w:val="10"/>
        </w:numPr>
        <w:ind w:left="709" w:right="0" w:hanging="360"/>
        <w:jc w:val="both"/>
        <w:rPr>
          <w:sz w:val="20"/>
        </w:rPr>
      </w:pPr>
      <w:bookmarkStart w:id="0" w:name="OLE_LINK1"/>
      <w:bookmarkEnd w:id="0"/>
      <w:r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>
      <w:pPr>
        <w:pStyle w:val="Normal"/>
        <w:numPr>
          <w:ilvl w:val="0"/>
          <w:numId w:val="11"/>
        </w:numPr>
        <w:ind w:left="1276" w:right="0" w:hanging="360"/>
        <w:jc w:val="both"/>
        <w:rPr>
          <w:sz w:val="20"/>
        </w:rPr>
      </w:pPr>
      <w:r>
        <w:rPr>
          <w:sz w:val="20"/>
        </w:rPr>
        <w:t>všetkých formách prijatej náhrady,</w:t>
      </w:r>
    </w:p>
    <w:p>
      <w:pPr>
        <w:pStyle w:val="Normal"/>
        <w:numPr>
          <w:ilvl w:val="0"/>
          <w:numId w:val="11"/>
        </w:numPr>
        <w:ind w:left="1276" w:right="0" w:hanging="360"/>
        <w:jc w:val="both"/>
        <w:rPr>
          <w:sz w:val="20"/>
        </w:rPr>
      </w:pPr>
      <w:r>
        <w:rPr>
          <w:sz w:val="20"/>
        </w:rPr>
        <w:t>účtovných zásadách použitých pri prideľovaní nákladov a výnosov,</w:t>
      </w:r>
    </w:p>
    <w:p>
      <w:pPr>
        <w:pStyle w:val="Normal"/>
        <w:numPr>
          <w:ilvl w:val="0"/>
          <w:numId w:val="11"/>
        </w:numPr>
        <w:ind w:left="1276" w:right="0" w:hanging="360"/>
        <w:jc w:val="both"/>
        <w:rPr>
          <w:sz w:val="20"/>
        </w:rPr>
      </w:pPr>
      <w:r>
        <w:rPr>
          <w:sz w:val="20"/>
        </w:rPr>
        <w:t>všetkých druhoch činností účtovnej jednotky.</w:t>
      </w:r>
    </w:p>
    <w:p>
      <w:pPr>
        <w:pStyle w:val="Normal"/>
        <w:ind w:left="1276" w:right="0" w:hanging="0"/>
        <w:rPr>
          <w:b/>
          <w:sz w:val="20"/>
        </w:rPr>
      </w:pPr>
      <w:bookmarkStart w:id="1" w:name="OLE_LINK11"/>
      <w:bookmarkEnd w:id="1"/>
      <w:r>
        <w:rPr>
          <w:b/>
          <w:sz w:val="20"/>
        </w:rPr>
        <w:t>-</w:t>
      </w:r>
    </w:p>
    <w:p>
      <w:pPr>
        <w:pStyle w:val="Normal"/>
        <w:jc w:val="right"/>
        <w:rPr>
          <w:sz w:val="20"/>
        </w:rPr>
      </w:pPr>
      <w:r>
        <w:rPr>
          <w:sz w:val="20"/>
        </w:rPr>
      </w:r>
    </w:p>
    <w:p>
      <w:pPr>
        <w:pStyle w:val="Normal"/>
        <w:rPr>
          <w:sz w:val="20"/>
        </w:rPr>
      </w:pPr>
      <w:r>
        <w:rPr>
          <w:sz w:val="20"/>
        </w:rPr>
        <w:t>Údaje v poznámkach sú uvádzané za bežne účtovné obdobie. Sumy sú uvádzané v celých eurách.</w:t>
      </w:r>
    </w:p>
    <w:p>
      <w:pPr>
        <w:pStyle w:val="Normal"/>
        <w:rPr>
          <w:sz w:val="20"/>
        </w:rPr>
      </w:pPr>
      <w:r>
        <w:rPr>
          <w:sz w:val="20"/>
        </w:rPr>
        <w:t>ÚJ - účtovná jednotka</w:t>
      </w:r>
    </w:p>
    <w:p>
      <w:pPr>
        <w:pStyle w:val="Normal"/>
        <w:rPr>
          <w:sz w:val="20"/>
        </w:rPr>
      </w:pPr>
      <w:r>
        <w:rPr>
          <w:sz w:val="20"/>
        </w:rPr>
        <w:t>BO-bežné obdobie</w:t>
      </w:r>
    </w:p>
    <w:p>
      <w:pPr>
        <w:pStyle w:val="Normal"/>
        <w:rPr>
          <w:sz w:val="20"/>
        </w:rPr>
      </w:pPr>
      <w:r>
        <w:rPr>
          <w:sz w:val="20"/>
        </w:rPr>
      </w:r>
    </w:p>
    <w:p>
      <w:pPr>
        <w:pStyle w:val="Normal"/>
        <w:rPr>
          <w:sz w:val="20"/>
        </w:rPr>
      </w:pPr>
      <w:r>
        <w:rPr>
          <w:sz w:val="20"/>
        </w:rPr>
        <w:t>Zostavené: 2</w:t>
      </w:r>
      <w:r>
        <w:rPr>
          <w:sz w:val="20"/>
        </w:rPr>
        <w:t>1</w:t>
      </w:r>
      <w:r>
        <w:rPr>
          <w:sz w:val="20"/>
        </w:rPr>
        <w:t>.05.2023                                    Schválené: 2</w:t>
      </w:r>
      <w:r>
        <w:rPr>
          <w:sz w:val="20"/>
        </w:rPr>
        <w:t>1</w:t>
      </w:r>
      <w:r>
        <w:rPr>
          <w:sz w:val="20"/>
        </w:rPr>
        <w:t>.05.2023</w:t>
      </w:r>
    </w:p>
    <w:p>
      <w:pPr>
        <w:pStyle w:val="Normal"/>
        <w:rPr/>
      </w:pPr>
      <w:r>
        <w:rPr/>
      </w:r>
    </w:p>
    <w:sectPr>
      <w:headerReference w:type="default" r:id="rId2"/>
      <w:footerReference w:type="default" r:id="rId3"/>
      <w:type w:val="nextPage"/>
      <w:pgSz w:w="11906" w:h="16838"/>
      <w:pgMar w:left="1021" w:right="1418" w:header="567" w:top="1418" w:footer="567" w:bottom="1418" w:gutter="0"/>
      <w:pgNumType w:start="1" w:fmt="decimal"/>
      <w:formProt w:val="false"/>
      <w:textDirection w:val="lrTb"/>
      <w:docGrid w:type="default" w:linePitch="326" w:charSpace="4294961151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Arial Narrow">
    <w:charset w:val="ee"/>
    <w:family w:val="roman"/>
    <w:pitch w:val="variable"/>
  </w:font>
  <w:font w:name="Tahoma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Arial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>
  <w:p>
    <w:pPr>
      <w:pStyle w:val="Pta"/>
      <w:jc w:val="center"/>
      <w:rPr/>
    </w:pPr>
    <w:r>
      <w:rPr/>
      <w:fldChar w:fldCharType="begin"/>
    </w:r>
    <w:r>
      <w:instrText> PAGE </w:instrText>
    </w:r>
    <w:r>
      <w:fldChar w:fldCharType="separate"/>
    </w:r>
    <w:r>
      <w:t>5</w:t>
    </w:r>
    <w:r>
      <w:fldChar w:fldCharType="end"/>
    </w:r>
  </w:p>
  <w:p>
    <w:pPr>
      <w:pStyle w:val="Pta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>
  <w:tbl>
    <w:tblPr>
      <w:jc w:val="left"/>
      <w:tblInd w:w="45" w:type="dxa"/>
      <w:tblBorders>
        <w:top w:val="single" w:sz="4" w:space="0" w:color="00000A"/>
        <w:left w:val="single" w:sz="4" w:space="0" w:color="00000A"/>
        <w:bottom w:val="single" w:sz="4" w:space="0" w:color="00000A"/>
        <w:insideH w:val="single" w:sz="4" w:space="0" w:color="00000A"/>
        <w:right w:val="single" w:sz="4" w:space="0" w:color="00000A"/>
        <w:insideV w:val="single" w:sz="4" w:space="0" w:color="00000A"/>
      </w:tblBorders>
      <w:tblCellMar>
        <w:top w:w="0" w:type="dxa"/>
        <w:left w:w="55" w:type="dxa"/>
        <w:bottom w:w="0" w:type="dxa"/>
        <w:right w:w="70" w:type="dxa"/>
      </w:tblCellMar>
    </w:tblPr>
    <w:tblGrid>
      <w:gridCol w:w="2706"/>
      <w:gridCol w:w="706"/>
      <w:gridCol w:w="348"/>
      <w:gridCol w:w="345"/>
      <w:gridCol w:w="346"/>
      <w:gridCol w:w="343"/>
      <w:gridCol w:w="345"/>
      <w:gridCol w:w="343"/>
      <w:gridCol w:w="346"/>
      <w:gridCol w:w="343"/>
      <w:gridCol w:w="679"/>
      <w:gridCol w:w="342"/>
      <w:gridCol w:w="341"/>
      <w:gridCol w:w="342"/>
      <w:gridCol w:w="341"/>
      <w:gridCol w:w="343"/>
      <w:gridCol w:w="342"/>
      <w:gridCol w:w="341"/>
      <w:gridCol w:w="341"/>
      <w:gridCol w:w="343"/>
      <w:gridCol w:w="377"/>
    </w:tblGrid>
    <w:tr>
      <w:trPr>
        <w:trHeight w:val="330" w:hRule="atLeast"/>
        <w:cantSplit w:val="false"/>
      </w:trPr>
      <w:tc>
        <w:tcPr>
          <w:tcW w:w="2706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FFFFFF" w:val="clear"/>
          <w:tcMar>
            <w:left w:w="55" w:type="dxa"/>
          </w:tcMar>
          <w:vAlign w:val="bottom"/>
        </w:tcPr>
        <w:p>
          <w:pPr>
            <w:pStyle w:val="Normal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Poznámky Úč MÚJ 3 - 01</w:t>
          </w:r>
        </w:p>
      </w:tc>
      <w:tc>
        <w:tcPr>
          <w:tcW w:w="706" w:type="dxa"/>
          <w:tcBorders>
            <w:top w:val="nil"/>
            <w:left w:val="single" w:sz="4" w:space="0" w:color="00000A"/>
            <w:bottom w:val="nil"/>
            <w:insideH w:val="nil"/>
            <w:right w:val="single" w:sz="4" w:space="0" w:color="00000A"/>
            <w:insideV w:val="single" w:sz="4" w:space="0" w:color="00000A"/>
          </w:tcBorders>
          <w:shd w:fill="FFFFFF" w:val="clear"/>
          <w:tcMar>
            <w:left w:w="55" w:type="dxa"/>
          </w:tcMar>
          <w:vAlign w:val="bottom"/>
        </w:tcPr>
        <w:p>
          <w:pPr>
            <w:pStyle w:val="Normal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</w:t>
          </w:r>
          <w:r>
            <w:rPr>
              <w:color w:val="000000"/>
              <w:szCs w:val="22"/>
            </w:rPr>
            <w:t>IČO</w:t>
          </w:r>
        </w:p>
      </w:tc>
      <w:tc>
        <w:tcPr>
          <w:tcW w:w="348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FFFFFF" w:val="clear"/>
          <w:tcMar>
            <w:left w:w="55" w:type="dxa"/>
          </w:tcMar>
          <w:vAlign w:val="bottom"/>
        </w:tcPr>
        <w:p>
          <w:pPr>
            <w:pStyle w:val="Normal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5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FFFFFF" w:val="clear"/>
          <w:tcMar>
            <w:left w:w="55" w:type="dxa"/>
          </w:tcMar>
          <w:vAlign w:val="bottom"/>
        </w:tcPr>
        <w:p>
          <w:pPr>
            <w:pStyle w:val="Normal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FFFFFF" w:val="clear"/>
          <w:tcMar>
            <w:left w:w="55" w:type="dxa"/>
          </w:tcMar>
          <w:vAlign w:val="bottom"/>
        </w:tcPr>
        <w:p>
          <w:pPr>
            <w:pStyle w:val="Normal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3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FFFFFF" w:val="clear"/>
          <w:tcMar>
            <w:left w:w="55" w:type="dxa"/>
          </w:tcMar>
          <w:vAlign w:val="bottom"/>
        </w:tcPr>
        <w:p>
          <w:pPr>
            <w:pStyle w:val="Normal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5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FFFFFF" w:val="clear"/>
          <w:tcMar>
            <w:left w:w="55" w:type="dxa"/>
          </w:tcMar>
          <w:vAlign w:val="bottom"/>
        </w:tcPr>
        <w:p>
          <w:pPr>
            <w:pStyle w:val="Normal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3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FFFFFF" w:val="clear"/>
          <w:tcMar>
            <w:left w:w="55" w:type="dxa"/>
          </w:tcMar>
          <w:vAlign w:val="bottom"/>
        </w:tcPr>
        <w:p>
          <w:pPr>
            <w:pStyle w:val="Normal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FFFFFF" w:val="clear"/>
          <w:tcMar>
            <w:left w:w="55" w:type="dxa"/>
          </w:tcMar>
          <w:vAlign w:val="bottom"/>
        </w:tcPr>
        <w:p>
          <w:pPr>
            <w:pStyle w:val="Normal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3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FFFFFF" w:val="clear"/>
          <w:tcMar>
            <w:left w:w="55" w:type="dxa"/>
          </w:tcMar>
          <w:vAlign w:val="bottom"/>
        </w:tcPr>
        <w:p>
          <w:pPr>
            <w:pStyle w:val="Normal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679" w:type="dxa"/>
          <w:tcBorders>
            <w:top w:val="nil"/>
            <w:left w:val="single" w:sz="4" w:space="0" w:color="00000A"/>
            <w:bottom w:val="nil"/>
            <w:insideH w:val="nil"/>
            <w:right w:val="nil"/>
            <w:insideV w:val="nil"/>
          </w:tcBorders>
          <w:shd w:fill="FFFFFF" w:val="clear"/>
          <w:tcMar>
            <w:left w:w="55" w:type="dxa"/>
          </w:tcMar>
          <w:vAlign w:val="bottom"/>
        </w:tcPr>
        <w:p>
          <w:pPr>
            <w:pStyle w:val="Normal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DIČ</w:t>
          </w:r>
        </w:p>
      </w:tc>
      <w:tc>
        <w:tcPr>
          <w:tcW w:w="342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FFFFFF" w:val="clear"/>
          <w:tcMar>
            <w:left w:w="55" w:type="dxa"/>
          </w:tcMar>
          <w:vAlign w:val="center"/>
        </w:tcPr>
        <w:p>
          <w:pPr>
            <w:pStyle w:val="Normal"/>
            <w:jc w:val="center"/>
            <w:rPr>
              <w:szCs w:val="22"/>
            </w:rPr>
          </w:pPr>
          <w:r>
            <w:rPr>
              <w:szCs w:val="22"/>
            </w:rPr>
            <w:t>2 </w:t>
          </w:r>
        </w:p>
      </w:tc>
      <w:tc>
        <w:tcPr>
          <w:tcW w:w="341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FFFFFF" w:val="clear"/>
          <w:tcMar>
            <w:left w:w="70" w:type="dxa"/>
          </w:tcMar>
          <w:vAlign w:val="center"/>
        </w:tcPr>
        <w:p>
          <w:pPr>
            <w:pStyle w:val="Normal"/>
            <w:jc w:val="center"/>
            <w:rPr>
              <w:szCs w:val="22"/>
            </w:rPr>
          </w:pPr>
          <w:r>
            <w:rPr>
              <w:szCs w:val="22"/>
            </w:rPr>
            <w:t>1 </w:t>
          </w:r>
        </w:p>
      </w:tc>
      <w:tc>
        <w:tcPr>
          <w:tcW w:w="342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FFFFFF" w:val="clear"/>
          <w:tcMar>
            <w:left w:w="70" w:type="dxa"/>
          </w:tcMar>
          <w:vAlign w:val="center"/>
        </w:tcPr>
        <w:p>
          <w:pPr>
            <w:pStyle w:val="Normal"/>
            <w:jc w:val="center"/>
            <w:rPr>
              <w:szCs w:val="22"/>
            </w:rPr>
          </w:pPr>
          <w:r>
            <w:rPr>
              <w:szCs w:val="22"/>
            </w:rPr>
            <w:t>2 </w:t>
          </w:r>
        </w:p>
      </w:tc>
      <w:tc>
        <w:tcPr>
          <w:tcW w:w="341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FFFFFF" w:val="clear"/>
          <w:tcMar>
            <w:left w:w="70" w:type="dxa"/>
          </w:tcMar>
          <w:vAlign w:val="center"/>
        </w:tcPr>
        <w:p>
          <w:pPr>
            <w:pStyle w:val="Normal"/>
            <w:jc w:val="center"/>
            <w:rPr>
              <w:szCs w:val="22"/>
            </w:rPr>
          </w:pPr>
          <w:r>
            <w:rPr>
              <w:szCs w:val="22"/>
            </w:rPr>
            <w:t>0 </w:t>
          </w:r>
        </w:p>
      </w:tc>
      <w:tc>
        <w:tcPr>
          <w:tcW w:w="343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FFFFFF" w:val="clear"/>
          <w:tcMar>
            <w:left w:w="70" w:type="dxa"/>
          </w:tcMar>
          <w:vAlign w:val="center"/>
        </w:tcPr>
        <w:p>
          <w:pPr>
            <w:pStyle w:val="Normal"/>
            <w:jc w:val="center"/>
            <w:rPr>
              <w:szCs w:val="22"/>
            </w:rPr>
          </w:pPr>
          <w:r>
            <w:rPr>
              <w:szCs w:val="22"/>
            </w:rPr>
            <w:t>3 </w:t>
          </w:r>
        </w:p>
      </w:tc>
      <w:tc>
        <w:tcPr>
          <w:tcW w:w="342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FFFFFF" w:val="clear"/>
          <w:tcMar>
            <w:left w:w="70" w:type="dxa"/>
          </w:tcMar>
          <w:vAlign w:val="center"/>
        </w:tcPr>
        <w:p>
          <w:pPr>
            <w:pStyle w:val="Normal"/>
            <w:jc w:val="center"/>
            <w:rPr>
              <w:szCs w:val="22"/>
            </w:rPr>
          </w:pPr>
          <w:r>
            <w:rPr>
              <w:szCs w:val="22"/>
            </w:rPr>
            <w:t>4 </w:t>
          </w:r>
        </w:p>
      </w:tc>
      <w:tc>
        <w:tcPr>
          <w:tcW w:w="341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FFFFFF" w:val="clear"/>
          <w:tcMar>
            <w:left w:w="70" w:type="dxa"/>
          </w:tcMar>
          <w:vAlign w:val="center"/>
        </w:tcPr>
        <w:p>
          <w:pPr>
            <w:pStyle w:val="Normal"/>
            <w:jc w:val="center"/>
            <w:rPr>
              <w:szCs w:val="22"/>
            </w:rPr>
          </w:pPr>
          <w:r>
            <w:rPr>
              <w:szCs w:val="22"/>
            </w:rPr>
            <w:t>4 </w:t>
          </w:r>
        </w:p>
      </w:tc>
      <w:tc>
        <w:tcPr>
          <w:tcW w:w="341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FFFFFF" w:val="clear"/>
          <w:tcMar>
            <w:left w:w="70" w:type="dxa"/>
          </w:tcMar>
          <w:vAlign w:val="center"/>
        </w:tcPr>
        <w:p>
          <w:pPr>
            <w:pStyle w:val="Normal"/>
            <w:jc w:val="center"/>
            <w:rPr>
              <w:szCs w:val="22"/>
            </w:rPr>
          </w:pPr>
          <w:r>
            <w:rPr>
              <w:szCs w:val="22"/>
            </w:rPr>
            <w:t>1 </w:t>
          </w:r>
        </w:p>
      </w:tc>
      <w:tc>
        <w:tcPr>
          <w:tcW w:w="343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FFFFFF" w:val="clear"/>
          <w:tcMar>
            <w:left w:w="70" w:type="dxa"/>
          </w:tcMar>
          <w:vAlign w:val="center"/>
        </w:tcPr>
        <w:p>
          <w:pPr>
            <w:pStyle w:val="Normal"/>
            <w:jc w:val="center"/>
            <w:rPr>
              <w:szCs w:val="22"/>
            </w:rPr>
          </w:pPr>
          <w:r>
            <w:rPr>
              <w:szCs w:val="22"/>
            </w:rPr>
            <w:t>2 </w:t>
          </w:r>
        </w:p>
      </w:tc>
      <w:tc>
        <w:tcPr>
          <w:tcW w:w="377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FFFFFF" w:val="clear"/>
          <w:tcMar>
            <w:left w:w="70" w:type="dxa"/>
          </w:tcMar>
          <w:vAlign w:val="center"/>
        </w:tcPr>
        <w:p>
          <w:pPr>
            <w:pStyle w:val="Normal"/>
            <w:jc w:val="center"/>
            <w:rPr>
              <w:szCs w:val="22"/>
            </w:rPr>
          </w:pPr>
          <w:r>
            <w:rPr>
              <w:szCs w:val="22"/>
            </w:rPr>
            <w:t>7 </w:t>
          </w:r>
        </w:p>
      </w:tc>
    </w:tr>
  </w:tbl>
  <w:p>
    <w:pPr>
      <w:pStyle w:val="Hlavika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lowerLetter"/>
      <w:lvlText w:val="%1)"/>
      <w:lvlJc w:val="left"/>
      <w:pPr>
        <w:ind w:left="1920" w:hanging="360"/>
      </w:pPr>
      <w:rPr>
        <w:sz w:val="24"/>
        <w:szCs w:val="24"/>
      </w:rPr>
    </w:lvl>
    <w:lvl w:ilvl="1">
      <w:start w:val="1"/>
      <w:numFmt w:val="lowerLetter"/>
      <w:lvlText w:val="%2."/>
      <w:lvlJc w:val="left"/>
      <w:pPr>
        <w:ind w:left="2640" w:hanging="360"/>
      </w:pPr>
    </w:lvl>
    <w:lvl w:ilvl="2">
      <w:start w:val="1"/>
      <w:numFmt w:val="lowerRoman"/>
      <w:lvlText w:val="%3."/>
      <w:lvlJc w:val="right"/>
      <w:pPr>
        <w:ind w:left="3360" w:hanging="180"/>
      </w:pPr>
    </w:lvl>
    <w:lvl w:ilvl="3">
      <w:start w:val="1"/>
      <w:numFmt w:val="decimal"/>
      <w:lvlText w:val="%4."/>
      <w:lvlJc w:val="left"/>
      <w:pPr>
        <w:ind w:left="4080" w:hanging="360"/>
      </w:pPr>
    </w:lvl>
    <w:lvl w:ilvl="4">
      <w:start w:val="1"/>
      <w:numFmt w:val="lowerLetter"/>
      <w:lvlText w:val="%5."/>
      <w:lvlJc w:val="left"/>
      <w:pPr>
        <w:ind w:left="4800" w:hanging="360"/>
      </w:pPr>
    </w:lvl>
    <w:lvl w:ilvl="5">
      <w:start w:val="1"/>
      <w:numFmt w:val="lowerRoman"/>
      <w:lvlText w:val="%6."/>
      <w:lvlJc w:val="right"/>
      <w:pPr>
        <w:ind w:left="5520" w:hanging="180"/>
      </w:pPr>
    </w:lvl>
    <w:lvl w:ilvl="6">
      <w:start w:val="1"/>
      <w:numFmt w:val="decimal"/>
      <w:lvlText w:val="%7."/>
      <w:lvlJc w:val="left"/>
      <w:pPr>
        <w:ind w:left="6240" w:hanging="360"/>
      </w:pPr>
    </w:lvl>
    <w:lvl w:ilvl="7">
      <w:start w:val="1"/>
      <w:numFmt w:val="lowerLetter"/>
      <w:lvlText w:val="%8."/>
      <w:lvlJc w:val="left"/>
      <w:pPr>
        <w:ind w:left="6960" w:hanging="360"/>
      </w:pPr>
    </w:lvl>
    <w:lvl w:ilvl="8">
      <w:start w:val="1"/>
      <w:numFmt w:val="lowerRoman"/>
      <w:lvlText w:val="%9."/>
      <w:lvlJc w:val="right"/>
      <w:pPr>
        <w:ind w:left="7680" w:hanging="180"/>
      </w:pPr>
    </w:lvl>
  </w:abstractNum>
  <w:abstractNum w:abstractNumId="2">
    <w:lvl w:ilvl="0">
      <w:start w:val="1"/>
      <w:numFmt w:val="lowerLetter"/>
      <w:lvlText w:val="%1)"/>
      <w:lvlJc w:val="left"/>
      <w:pPr>
        <w:ind w:left="1841" w:hanging="360"/>
      </w:pPr>
      <w:rPr>
        <w:sz w:val="24"/>
        <w:szCs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lvl w:ilvl="0">
      <w:start w:val="2"/>
      <w:numFmt w:val="decimal"/>
      <w:lvlText w:val="%1."/>
      <w:lvlJc w:val="left"/>
      <w:pPr>
        <w:ind w:left="251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lvl w:ilvl="0">
      <w:start w:val="2"/>
      <w:numFmt w:val="decimal"/>
      <w:lvlText w:val="%1a."/>
      <w:lvlJc w:val="left"/>
      <w:pPr>
        <w:ind w:left="251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lvl w:ilvl="0">
      <w:start w:val="1"/>
      <w:numFmt w:val="decimal"/>
      <w:lvlText w:val="%1."/>
      <w:lvlJc w:val="left"/>
      <w:pPr>
        <w:ind w:left="2561" w:hanging="360"/>
      </w:pPr>
    </w:lvl>
    <w:lvl w:ilvl="1">
      <w:start w:val="1"/>
      <w:numFmt w:val="lowerLetter"/>
      <w:lvlText w:val="%2."/>
      <w:lvlJc w:val="left"/>
      <w:pPr>
        <w:ind w:left="3281" w:hanging="360"/>
      </w:pPr>
    </w:lvl>
    <w:lvl w:ilvl="2">
      <w:start w:val="1"/>
      <w:numFmt w:val="lowerRoman"/>
      <w:lvlText w:val="%3."/>
      <w:lvlJc w:val="right"/>
      <w:pPr>
        <w:ind w:left="4001" w:hanging="180"/>
      </w:pPr>
    </w:lvl>
    <w:lvl w:ilvl="3">
      <w:start w:val="1"/>
      <w:numFmt w:val="decimal"/>
      <w:lvlText w:val="%4."/>
      <w:lvlJc w:val="left"/>
      <w:pPr>
        <w:ind w:left="4721" w:hanging="360"/>
      </w:pPr>
    </w:lvl>
    <w:lvl w:ilvl="4">
      <w:start w:val="1"/>
      <w:numFmt w:val="lowerLetter"/>
      <w:lvlText w:val="%5."/>
      <w:lvlJc w:val="left"/>
      <w:pPr>
        <w:ind w:left="5441" w:hanging="360"/>
      </w:pPr>
    </w:lvl>
    <w:lvl w:ilvl="5">
      <w:start w:val="1"/>
      <w:numFmt w:val="lowerRoman"/>
      <w:lvlText w:val="%6."/>
      <w:lvlJc w:val="right"/>
      <w:pPr>
        <w:ind w:left="6161" w:hanging="180"/>
      </w:pPr>
    </w:lvl>
    <w:lvl w:ilvl="6">
      <w:start w:val="1"/>
      <w:numFmt w:val="decimal"/>
      <w:lvlText w:val="%7."/>
      <w:lvlJc w:val="left"/>
      <w:pPr>
        <w:ind w:left="6881" w:hanging="360"/>
      </w:pPr>
    </w:lvl>
    <w:lvl w:ilvl="7">
      <w:start w:val="1"/>
      <w:numFmt w:val="lowerLetter"/>
      <w:lvlText w:val="%8."/>
      <w:lvlJc w:val="left"/>
      <w:pPr>
        <w:ind w:left="7601" w:hanging="360"/>
      </w:pPr>
    </w:lvl>
    <w:lvl w:ilvl="8">
      <w:start w:val="1"/>
      <w:numFmt w:val="lowerRoman"/>
      <w:lvlText w:val="%9."/>
      <w:lvlJc w:val="right"/>
      <w:pPr>
        <w:ind w:left="8321" w:hanging="180"/>
      </w:pPr>
    </w:lvl>
  </w:abstractNum>
  <w:abstractNum w:abstractNumId="6">
    <w:lvl w:ilvl="0">
      <w:start w:val="2"/>
      <w:numFmt w:val="decimal"/>
      <w:lvlText w:val="%1b."/>
      <w:lvlJc w:val="left"/>
      <w:pPr>
        <w:ind w:left="251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lvl w:ilvl="0">
      <w:start w:val="1"/>
      <w:numFmt w:val="decimal"/>
      <w:lvlText w:val="(%1)"/>
      <w:lvlJc w:val="left"/>
      <w:pPr>
        <w:ind w:left="1481" w:hanging="360"/>
      </w:pPr>
      <w:rPr>
        <w:sz w:val="20"/>
        <w:i w:val="false"/>
        <w:b w:val="false"/>
        <w:szCs w:val="24"/>
      </w:rPr>
    </w:lvl>
    <w:lvl w:ilvl="1">
      <w:start w:val="1"/>
      <w:numFmt w:val="lowerLetter"/>
      <w:lvlText w:val="%2."/>
      <w:lvlJc w:val="left"/>
      <w:pPr>
        <w:ind w:left="2201" w:hanging="360"/>
      </w:pPr>
    </w:lvl>
    <w:lvl w:ilvl="2">
      <w:start w:val="1"/>
      <w:numFmt w:val="lowerRoman"/>
      <w:lvlText w:val="%3."/>
      <w:lvlJc w:val="right"/>
      <w:pPr>
        <w:ind w:left="2921" w:hanging="180"/>
      </w:pPr>
    </w:lvl>
    <w:lvl w:ilvl="3">
      <w:start w:val="1"/>
      <w:numFmt w:val="decimal"/>
      <w:lvlText w:val="%4."/>
      <w:lvlJc w:val="left"/>
      <w:pPr>
        <w:ind w:left="3641" w:hanging="360"/>
      </w:pPr>
    </w:lvl>
    <w:lvl w:ilvl="4">
      <w:start w:val="1"/>
      <w:numFmt w:val="lowerLetter"/>
      <w:lvlText w:val="%5."/>
      <w:lvlJc w:val="left"/>
      <w:pPr>
        <w:ind w:left="4361" w:hanging="360"/>
      </w:pPr>
    </w:lvl>
    <w:lvl w:ilvl="5">
      <w:start w:val="1"/>
      <w:numFmt w:val="lowerRoman"/>
      <w:lvlText w:val="%6."/>
      <w:lvlJc w:val="right"/>
      <w:pPr>
        <w:ind w:left="5081" w:hanging="180"/>
      </w:pPr>
    </w:lvl>
    <w:lvl w:ilvl="6">
      <w:start w:val="1"/>
      <w:numFmt w:val="decimal"/>
      <w:lvlText w:val="%7."/>
      <w:lvlJc w:val="left"/>
      <w:pPr>
        <w:ind w:left="5801" w:hanging="360"/>
      </w:pPr>
    </w:lvl>
    <w:lvl w:ilvl="7">
      <w:start w:val="1"/>
      <w:numFmt w:val="lowerLetter"/>
      <w:lvlText w:val="%8."/>
      <w:lvlJc w:val="left"/>
      <w:pPr>
        <w:ind w:left="6521" w:hanging="360"/>
      </w:pPr>
    </w:lvl>
    <w:lvl w:ilvl="8">
      <w:start w:val="1"/>
      <w:numFmt w:val="lowerRoman"/>
      <w:lvlText w:val="%9."/>
      <w:lvlJc w:val="right"/>
      <w:pPr>
        <w:ind w:left="7241" w:hanging="180"/>
      </w:pPr>
    </w:lvl>
  </w:abstractNum>
  <w:abstractNum w:abstractNumId="8">
    <w:lvl w:ilvl="0">
      <w:start w:val="1"/>
      <w:numFmt w:val="decimal"/>
      <w:lvlText w:val="%1."/>
      <w:lvlJc w:val="left"/>
      <w:pPr>
        <w:ind w:left="2487" w:hanging="360"/>
      </w:pPr>
    </w:lvl>
    <w:lvl w:ilvl="1">
      <w:start w:val="1"/>
      <w:numFmt w:val="lowerLetter"/>
      <w:lvlText w:val="%2."/>
      <w:lvlJc w:val="left"/>
      <w:pPr>
        <w:ind w:left="2007" w:hanging="360"/>
      </w:pPr>
    </w:lvl>
    <w:lvl w:ilvl="2">
      <w:start w:val="1"/>
      <w:numFmt w:val="lowerRoman"/>
      <w:lvlText w:val="%3."/>
      <w:lvlJc w:val="right"/>
      <w:pPr>
        <w:ind w:left="2727" w:hanging="180"/>
      </w:pPr>
    </w:lvl>
    <w:lvl w:ilvl="3">
      <w:start w:val="1"/>
      <w:numFmt w:val="decimal"/>
      <w:lvlText w:val="%4."/>
      <w:lvlJc w:val="left"/>
      <w:pPr>
        <w:ind w:left="3447" w:hanging="360"/>
      </w:pPr>
    </w:lvl>
    <w:lvl w:ilvl="4">
      <w:start w:val="1"/>
      <w:numFmt w:val="lowerLetter"/>
      <w:lvlText w:val="%5."/>
      <w:lvlJc w:val="left"/>
      <w:pPr>
        <w:ind w:left="4167" w:hanging="360"/>
      </w:pPr>
    </w:lvl>
    <w:lvl w:ilvl="5">
      <w:start w:val="1"/>
      <w:numFmt w:val="lowerRoman"/>
      <w:lvlText w:val="%6."/>
      <w:lvlJc w:val="right"/>
      <w:pPr>
        <w:ind w:left="4887" w:hanging="180"/>
      </w:pPr>
    </w:lvl>
    <w:lvl w:ilvl="6">
      <w:start w:val="1"/>
      <w:numFmt w:val="decimal"/>
      <w:lvlText w:val="%7."/>
      <w:lvlJc w:val="left"/>
      <w:pPr>
        <w:ind w:left="5607" w:hanging="360"/>
      </w:pPr>
    </w:lvl>
    <w:lvl w:ilvl="7">
      <w:start w:val="1"/>
      <w:numFmt w:val="lowerLetter"/>
      <w:lvlText w:val="%8."/>
      <w:lvlJc w:val="left"/>
      <w:pPr>
        <w:ind w:left="6327" w:hanging="360"/>
      </w:pPr>
    </w:lvl>
    <w:lvl w:ilvl="8">
      <w:start w:val="1"/>
      <w:numFmt w:val="lowerRoman"/>
      <w:lvlText w:val="%9."/>
      <w:lvlJc w:val="right"/>
      <w:pPr>
        <w:ind w:left="7047" w:hanging="180"/>
      </w:pPr>
    </w:lvl>
  </w:abstractNum>
  <w:abstractNum w:abstractNumId="9">
    <w:lvl w:ilvl="0">
      <w:start w:val="1"/>
      <w:numFmt w:val="decimal"/>
      <w:lvlText w:val="(%1)"/>
      <w:lvlJc w:val="left"/>
      <w:pPr>
        <w:ind w:left="3479" w:hanging="360"/>
      </w:pPr>
      <w:rPr>
        <w:sz w:val="20"/>
        <w:i w:val="false"/>
        <w:b w:val="false"/>
        <w:szCs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lvl w:ilvl="0">
      <w:start w:val="1"/>
      <w:numFmt w:val="decimal"/>
      <w:lvlText w:val="(%1)"/>
      <w:lvlJc w:val="left"/>
      <w:pPr>
        <w:ind w:left="1481" w:hanging="360"/>
      </w:pPr>
      <w:rPr>
        <w:sz w:val="20"/>
        <w:i w:val="false"/>
        <w:b w:val="false"/>
        <w:szCs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lvl w:ilvl="0">
      <w:start w:val="1"/>
      <w:numFmt w:val="lowerLetter"/>
      <w:lvlText w:val="%1)"/>
      <w:lvlJc w:val="left"/>
      <w:pPr>
        <w:ind w:left="1440" w:hanging="360"/>
      </w:pPr>
      <w:rPr>
        <w:sz w:val="24"/>
        <w:szCs w:val="24"/>
      </w:rPr>
    </w:lvl>
    <w:lvl w:ilvl="1">
      <w:start w:val="1"/>
      <w:numFmt w:val="lowerLetter"/>
      <w:lvlText w:val="%2."/>
      <w:lvlJc w:val="left"/>
      <w:pPr>
        <w:ind w:left="2160" w:hanging="360"/>
      </w:pPr>
    </w:lvl>
    <w:lvl w:ilvl="2">
      <w:start w:val="1"/>
      <w:numFmt w:val="lowerRoman"/>
      <w:lvlText w:val="%3."/>
      <w:lvlJc w:val="right"/>
      <w:pPr>
        <w:ind w:left="2880" w:hanging="180"/>
      </w:pPr>
    </w:lvl>
    <w:lvl w:ilvl="3">
      <w:start w:val="1"/>
      <w:numFmt w:val="decimal"/>
      <w:lvlText w:val="%4."/>
      <w:lvlJc w:val="left"/>
      <w:pPr>
        <w:ind w:left="3600" w:hanging="360"/>
      </w:pPr>
    </w:lvl>
    <w:lvl w:ilvl="4">
      <w:start w:val="1"/>
      <w:numFmt w:val="lowerLetter"/>
      <w:lvlText w:val="%5."/>
      <w:lvlJc w:val="left"/>
      <w:pPr>
        <w:ind w:left="4320" w:hanging="360"/>
      </w:pPr>
    </w:lvl>
    <w:lvl w:ilvl="5">
      <w:start w:val="1"/>
      <w:numFmt w:val="lowerRoman"/>
      <w:lvlText w:val="%6."/>
      <w:lvlJc w:val="right"/>
      <w:pPr>
        <w:ind w:left="5040" w:hanging="180"/>
      </w:pPr>
    </w:lvl>
    <w:lvl w:ilvl="6">
      <w:start w:val="1"/>
      <w:numFmt w:val="decimal"/>
      <w:lvlText w:val="%7."/>
      <w:lvlJc w:val="left"/>
      <w:pPr>
        <w:ind w:left="5760" w:hanging="360"/>
      </w:pPr>
    </w:lvl>
    <w:lvl w:ilvl="7">
      <w:start w:val="1"/>
      <w:numFmt w:val="lowerLetter"/>
      <w:lvlText w:val="%8."/>
      <w:lvlJc w:val="left"/>
      <w:pPr>
        <w:ind w:left="6480" w:hanging="360"/>
      </w:pPr>
    </w:lvl>
    <w:lvl w:ilvl="8">
      <w:start w:val="1"/>
      <w:numFmt w:val="lowerRoman"/>
      <w:lvlText w:val="%9."/>
      <w:lvlJc w:val="right"/>
      <w:pPr>
        <w:ind w:left="7200" w:hanging="180"/>
      </w:pPr>
    </w:lvl>
  </w:abstractNum>
  <w:abstractNum w:abstractNumId="12"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10"/>
  </w:num>
  <w:num w:numId="11">
    <w:abstractNumId w:val="11"/>
  </w:num>
  <w:num w:numId="12">
    <w:abstractNumId w:val="12"/>
  </w:num>
</w:numbering>
</file>

<file path=word/settings.xml><?xml version="1.0" encoding="utf-8"?>
<w:settings xmlns:w="http://schemas.openxmlformats.org/wordprocessingml/2006/main">
  <w:zoom w:percent="110"/>
  <w:defaultTabStop w:val="709"/>
</w:settings>
</file>

<file path=word/styles.xml><?xml version="1.0" encoding="utf-8"?>
<w:styles xmlns:w="http://schemas.openxmlformats.org/wordprocessingml/2006/main">
  <w:docDefaults>
    <w:rPrDefault>
      <w:rPr>
        <w:rFonts w:ascii="Times New Roman" w:hAnsi="Times New Roman" w:eastAsia="Times New Roman" w:cs="Times New Roman"/>
        <w:lang w:val="sk-SK" w:eastAsia="sk-SK" w:bidi="ar-SA"/>
      </w:rPr>
    </w:rPrDefault>
    <w:pPrDefault>
      <w:pPr/>
    </w:pPrDefault>
  </w:docDefaults>
  <w:latentStyles w:count="267" w:defQFormat="0" w:defUnhideWhenUsed="1" w:defSemiHidden="1" w:defUIPriority="99" w:defLockedState="0">
    <w:lsdException w:qFormat="1" w:unhideWhenUsed="0" w:semiHidden="0" w:uiPriority="0" w:name="Normal"/>
    <w:lsdException w:qFormat="1" w:unhideWhenUsed="0" w:semiHidden="0" w:uiPriority="9" w:name="heading 1"/>
    <w:lsdException w:qFormat="1" w:unhideWhenUsed="0" w:semiHidden="0" w:uiPriority="9" w:name="heading 2"/>
    <w:lsdException w:qFormat="1" w:unhideWhenUsed="0" w:semiHidden="0" w:uiPriority="9" w:name="heading 3"/>
    <w:lsdException w:qFormat="1" w:unhideWhenUsed="0" w:semiHidden="0" w:uiPriority="9" w:name="heading 4"/>
    <w:lsdException w:qFormat="1" w:unhideWhenUsed="0" w:semiHidden="0" w:uiPriority="9" w:name="heading 5"/>
    <w:lsdException w:qFormat="1" w:unhideWhenUsed="0" w:semiHidden="0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qFormat="1" w:uiPriority="35" w:name="caption"/>
    <w:lsdException w:qFormat="1" w:unhideWhenUsed="0" w:semiHidden="0" w:uiPriority="10" w:name="Title"/>
    <w:lsdException w:uiPriority="1" w:name="Default Paragraph Font"/>
    <w:lsdException w:qFormat="1" w:unhideWhenUsed="0" w:semiHidden="0" w:uiPriority="11" w:name="Subtitle"/>
    <w:lsdException w:qFormat="1" w:unhideWhenUsed="0" w:semiHidden="0" w:uiPriority="22" w:name="Strong"/>
    <w:lsdException w:qFormat="1" w:unhideWhenUsed="0" w:semiHidden="0" w:uiPriority="20" w:name="Emphasis"/>
    <w:lsdException w:unhideWhenUsed="0" w:semiHidden="0" w:name="Table Grid"/>
    <w:lsdException w:unhideWhenUsed="0" w:name="Placeholder Text"/>
    <w:lsdException w:qFormat="1" w:unhideWhenUsed="0" w:semiHidden="0" w:uiPriority="1" w:name="No Spacing"/>
    <w:lsdException w:unhideWhenUsed="0" w:semiHidden="0" w:uiPriority="60" w:name="Light Shading"/>
    <w:lsdException w:unhideWhenUsed="0" w:semiHidden="0" w:uiPriority="61" w:name="Light List"/>
    <w:lsdException w:unhideWhenUsed="0" w:semiHidden="0" w:uiPriority="62" w:name="Light Grid"/>
    <w:lsdException w:unhideWhenUsed="0" w:semiHidden="0" w:uiPriority="63" w:name="Medium Shading 1"/>
    <w:lsdException w:unhideWhenUsed="0" w:semiHidden="0" w:uiPriority="64" w:name="Medium Shading 2"/>
    <w:lsdException w:unhideWhenUsed="0" w:semiHidden="0" w:uiPriority="65" w:name="Medium List 1"/>
    <w:lsdException w:unhideWhenUsed="0" w:semiHidden="0" w:uiPriority="66" w:name="Medium List 2"/>
    <w:lsdException w:unhideWhenUsed="0" w:semiHidden="0" w:uiPriority="67" w:name="Medium Grid 1"/>
    <w:lsdException w:unhideWhenUsed="0" w:semiHidden="0" w:uiPriority="68" w:name="Medium Grid 2"/>
    <w:lsdException w:unhideWhenUsed="0" w:semiHidden="0" w:uiPriority="69" w:name="Medium Grid 3"/>
    <w:lsdException w:unhideWhenUsed="0" w:semiHidden="0" w:uiPriority="70" w:name="Dark List"/>
    <w:lsdException w:unhideWhenUsed="0" w:semiHidden="0" w:uiPriority="71" w:name="Colorful Shading"/>
    <w:lsdException w:unhideWhenUsed="0" w:semiHidden="0" w:uiPriority="72" w:name="Colorful List"/>
    <w:lsdException w:unhideWhenUsed="0" w:semiHidden="0" w:uiPriority="73" w:name="Colorful Grid"/>
    <w:lsdException w:unhideWhenUsed="0" w:semiHidden="0" w:uiPriority="60" w:name="Light Shading Accent 1"/>
    <w:lsdException w:unhideWhenUsed="0" w:semiHidden="0" w:uiPriority="61" w:name="Light List Accent 1"/>
    <w:lsdException w:unhideWhenUsed="0" w:semiHidden="0" w:uiPriority="62" w:name="Light Grid Accent 1"/>
    <w:lsdException w:unhideWhenUsed="0" w:semiHidden="0" w:uiPriority="63" w:name="Medium Shading 1 Accent 1"/>
    <w:lsdException w:unhideWhenUsed="0" w:semiHidden="0" w:uiPriority="64" w:name="Medium Shading 2 Accent 1"/>
    <w:lsdException w:unhideWhenUsed="0" w:semiHidden="0" w:uiPriority="65" w:name="Medium List 1 Accent 1"/>
    <w:lsdException w:unhideWhenUsed="0" w:name="Revision"/>
    <w:lsdException w:qFormat="1" w:unhideWhenUsed="0" w:semiHidden="0" w:uiPriority="34" w:name="List Paragraph"/>
    <w:lsdException w:qFormat="1" w:unhideWhenUsed="0" w:semiHidden="0" w:uiPriority="29" w:name="Quote"/>
    <w:lsdException w:qFormat="1" w:unhideWhenUsed="0" w:semiHidden="0" w:uiPriority="30" w:name="Intense Quote"/>
    <w:lsdException w:unhideWhenUsed="0" w:semiHidden="0" w:uiPriority="66" w:name="Medium List 2 Accent 1"/>
    <w:lsdException w:unhideWhenUsed="0" w:semiHidden="0" w:uiPriority="67" w:name="Medium Grid 1 Accent 1"/>
    <w:lsdException w:unhideWhenUsed="0" w:semiHidden="0" w:uiPriority="68" w:name="Medium Grid 2 Accent 1"/>
    <w:lsdException w:unhideWhenUsed="0" w:semiHidden="0" w:uiPriority="69" w:name="Medium Grid 3 Accent 1"/>
    <w:lsdException w:unhideWhenUsed="0" w:semiHidden="0" w:uiPriority="70" w:name="Dark List Accent 1"/>
    <w:lsdException w:unhideWhenUsed="0" w:semiHidden="0" w:uiPriority="71" w:name="Colorful Shading Accent 1"/>
    <w:lsdException w:unhideWhenUsed="0" w:semiHidden="0" w:uiPriority="72" w:name="Colorful List Accent 1"/>
    <w:lsdException w:unhideWhenUsed="0" w:semiHidden="0" w:uiPriority="73" w:name="Colorful Grid Accent 1"/>
    <w:lsdException w:unhideWhenUsed="0" w:semiHidden="0" w:uiPriority="60" w:name="Light Shading Accent 2"/>
    <w:lsdException w:unhideWhenUsed="0" w:semiHidden="0" w:uiPriority="61" w:name="Light List Accent 2"/>
    <w:lsdException w:unhideWhenUsed="0" w:semiHidden="0" w:uiPriority="62" w:name="Light Grid Accent 2"/>
    <w:lsdException w:unhideWhenUsed="0" w:semiHidden="0" w:uiPriority="63" w:name="Medium Shading 1 Accent 2"/>
    <w:lsdException w:unhideWhenUsed="0" w:semiHidden="0" w:uiPriority="64" w:name="Medium Shading 2 Accent 2"/>
    <w:lsdException w:unhideWhenUsed="0" w:semiHidden="0" w:uiPriority="65" w:name="Medium List 1 Accent 2"/>
    <w:lsdException w:unhideWhenUsed="0" w:semiHidden="0" w:uiPriority="66" w:name="Medium List 2 Accent 2"/>
    <w:lsdException w:unhideWhenUsed="0" w:semiHidden="0" w:uiPriority="67" w:name="Medium Grid 1 Accent 2"/>
    <w:lsdException w:unhideWhenUsed="0" w:semiHidden="0" w:uiPriority="68" w:name="Medium Grid 2 Accent 2"/>
    <w:lsdException w:unhideWhenUsed="0" w:semiHidden="0" w:uiPriority="69" w:name="Medium Grid 3 Accent 2"/>
    <w:lsdException w:unhideWhenUsed="0" w:semiHidden="0" w:uiPriority="70" w:name="Dark List Accent 2"/>
    <w:lsdException w:unhideWhenUsed="0" w:semiHidden="0" w:uiPriority="71" w:name="Colorful Shading Accent 2"/>
    <w:lsdException w:unhideWhenUsed="0" w:semiHidden="0" w:uiPriority="72" w:name="Colorful List Accent 2"/>
    <w:lsdException w:unhideWhenUsed="0" w:semiHidden="0" w:uiPriority="73" w:name="Colorful Grid Accent 2"/>
    <w:lsdException w:unhideWhenUsed="0" w:semiHidden="0" w:uiPriority="60" w:name="Light Shading Accent 3"/>
    <w:lsdException w:unhideWhenUsed="0" w:semiHidden="0" w:uiPriority="61" w:name="Light List Accent 3"/>
    <w:lsdException w:unhideWhenUsed="0" w:semiHidden="0" w:uiPriority="62" w:name="Light Grid Accent 3"/>
    <w:lsdException w:unhideWhenUsed="0" w:semiHidden="0" w:uiPriority="63" w:name="Medium Shading 1 Accent 3"/>
    <w:lsdException w:unhideWhenUsed="0" w:semiHidden="0" w:uiPriority="64" w:name="Medium Shading 2 Accent 3"/>
    <w:lsdException w:unhideWhenUsed="0" w:semiHidden="0" w:uiPriority="65" w:name="Medium List 1 Accent 3"/>
    <w:lsdException w:unhideWhenUsed="0" w:semiHidden="0" w:uiPriority="66" w:name="Medium List 2 Accent 3"/>
    <w:lsdException w:unhideWhenUsed="0" w:semiHidden="0" w:uiPriority="67" w:name="Medium Grid 1 Accent 3"/>
    <w:lsdException w:unhideWhenUsed="0" w:semiHidden="0" w:uiPriority="68" w:name="Medium Grid 2 Accent 3"/>
    <w:lsdException w:unhideWhenUsed="0" w:semiHidden="0" w:uiPriority="69" w:name="Medium Grid 3 Accent 3"/>
    <w:lsdException w:unhideWhenUsed="0" w:semiHidden="0" w:uiPriority="70" w:name="Dark List Accent 3"/>
    <w:lsdException w:unhideWhenUsed="0" w:semiHidden="0" w:uiPriority="71" w:name="Colorful Shading Accent 3"/>
    <w:lsdException w:unhideWhenUsed="0" w:semiHidden="0" w:uiPriority="72" w:name="Colorful List Accent 3"/>
    <w:lsdException w:unhideWhenUsed="0" w:semiHidden="0" w:uiPriority="73" w:name="Colorful Grid Accent 3"/>
    <w:lsdException w:unhideWhenUsed="0" w:semiHidden="0" w:uiPriority="60" w:name="Light Shading Accent 4"/>
    <w:lsdException w:unhideWhenUsed="0" w:semiHidden="0" w:uiPriority="61" w:name="Light List Accent 4"/>
    <w:lsdException w:unhideWhenUsed="0" w:semiHidden="0" w:uiPriority="62" w:name="Light Grid Accent 4"/>
    <w:lsdException w:unhideWhenUsed="0" w:semiHidden="0" w:uiPriority="63" w:name="Medium Shading 1 Accent 4"/>
    <w:lsdException w:unhideWhenUsed="0" w:semiHidden="0" w:uiPriority="64" w:name="Medium Shading 2 Accent 4"/>
    <w:lsdException w:unhideWhenUsed="0" w:semiHidden="0" w:uiPriority="65" w:name="Medium List 1 Accent 4"/>
    <w:lsdException w:unhideWhenUsed="0" w:semiHidden="0" w:uiPriority="66" w:name="Medium List 2 Accent 4"/>
    <w:lsdException w:unhideWhenUsed="0" w:semiHidden="0" w:uiPriority="67" w:name="Medium Grid 1 Accent 4"/>
    <w:lsdException w:unhideWhenUsed="0" w:semiHidden="0" w:uiPriority="68" w:name="Medium Grid 2 Accent 4"/>
    <w:lsdException w:unhideWhenUsed="0" w:semiHidden="0" w:uiPriority="69" w:name="Medium Grid 3 Accent 4"/>
    <w:lsdException w:unhideWhenUsed="0" w:semiHidden="0" w:uiPriority="70" w:name="Dark List Accent 4"/>
    <w:lsdException w:unhideWhenUsed="0" w:semiHidden="0" w:uiPriority="71" w:name="Colorful Shading Accent 4"/>
    <w:lsdException w:unhideWhenUsed="0" w:semiHidden="0" w:uiPriority="72" w:name="Colorful List Accent 4"/>
    <w:lsdException w:unhideWhenUsed="0" w:semiHidden="0" w:uiPriority="73" w:name="Colorful Grid Accent 4"/>
    <w:lsdException w:unhideWhenUsed="0" w:semiHidden="0" w:uiPriority="60" w:name="Light Shading Accent 5"/>
    <w:lsdException w:unhideWhenUsed="0" w:semiHidden="0" w:uiPriority="61" w:name="Light List Accent 5"/>
    <w:lsdException w:unhideWhenUsed="0" w:semiHidden="0" w:uiPriority="62" w:name="Light Grid Accent 5"/>
    <w:lsdException w:unhideWhenUsed="0" w:semiHidden="0" w:uiPriority="63" w:name="Medium Shading 1 Accent 5"/>
    <w:lsdException w:unhideWhenUsed="0" w:semiHidden="0" w:uiPriority="64" w:name="Medium Shading 2 Accent 5"/>
    <w:lsdException w:unhideWhenUsed="0" w:semiHidden="0" w:uiPriority="65" w:name="Medium List 1 Accent 5"/>
    <w:lsdException w:unhideWhenUsed="0" w:semiHidden="0" w:uiPriority="66" w:name="Medium List 2 Accent 5"/>
    <w:lsdException w:unhideWhenUsed="0" w:semiHidden="0" w:uiPriority="67" w:name="Medium Grid 1 Accent 5"/>
    <w:lsdException w:unhideWhenUsed="0" w:semiHidden="0" w:uiPriority="68" w:name="Medium Grid 2 Accent 5"/>
    <w:lsdException w:unhideWhenUsed="0" w:semiHidden="0" w:uiPriority="69" w:name="Medium Grid 3 Accent 5"/>
    <w:lsdException w:unhideWhenUsed="0" w:semiHidden="0" w:uiPriority="70" w:name="Dark List Accent 5"/>
    <w:lsdException w:unhideWhenUsed="0" w:semiHidden="0" w:uiPriority="71" w:name="Colorful Shading Accent 5"/>
    <w:lsdException w:unhideWhenUsed="0" w:semiHidden="0" w:uiPriority="72" w:name="Colorful List Accent 5"/>
    <w:lsdException w:unhideWhenUsed="0" w:semiHidden="0" w:uiPriority="73" w:name="Colorful Grid Accent 5"/>
    <w:lsdException w:unhideWhenUsed="0" w:semiHidden="0" w:uiPriority="60" w:name="Light Shading Accent 6"/>
    <w:lsdException w:unhideWhenUsed="0" w:semiHidden="0" w:uiPriority="61" w:name="Light List Accent 6"/>
    <w:lsdException w:unhideWhenUsed="0" w:semiHidden="0" w:uiPriority="62" w:name="Light Grid Accent 6"/>
    <w:lsdException w:unhideWhenUsed="0" w:semiHidden="0" w:uiPriority="63" w:name="Medium Shading 1 Accent 6"/>
    <w:lsdException w:unhideWhenUsed="0" w:semiHidden="0" w:uiPriority="64" w:name="Medium Shading 2 Accent 6"/>
    <w:lsdException w:unhideWhenUsed="0" w:semiHidden="0" w:uiPriority="65" w:name="Medium List 1 Accent 6"/>
    <w:lsdException w:unhideWhenUsed="0" w:semiHidden="0" w:uiPriority="66" w:name="Medium List 2 Accent 6"/>
    <w:lsdException w:unhideWhenUsed="0" w:semiHidden="0" w:uiPriority="67" w:name="Medium Grid 1 Accent 6"/>
    <w:lsdException w:unhideWhenUsed="0" w:semiHidden="0" w:uiPriority="68" w:name="Medium Grid 2 Accent 6"/>
    <w:lsdException w:unhideWhenUsed="0" w:semiHidden="0" w:uiPriority="69" w:name="Medium Grid 3 Accent 6"/>
    <w:lsdException w:unhideWhenUsed="0" w:semiHidden="0" w:uiPriority="70" w:name="Dark List Accent 6"/>
    <w:lsdException w:unhideWhenUsed="0" w:semiHidden="0" w:uiPriority="71" w:name="Colorful Shading Accent 6"/>
    <w:lsdException w:unhideWhenUsed="0" w:semiHidden="0" w:uiPriority="72" w:name="Colorful List Accent 6"/>
    <w:lsdException w:unhideWhenUsed="0" w:semiHidden="0" w:uiPriority="73" w:name="Colorful Grid Accent 6"/>
    <w:lsdException w:qFormat="1" w:unhideWhenUsed="0" w:semiHidden="0" w:uiPriority="19" w:name="Subtle Emphasis"/>
    <w:lsdException w:qFormat="1" w:unhideWhenUsed="0" w:semiHidden="0" w:uiPriority="21" w:name="Intense Emphasis"/>
    <w:lsdException w:qFormat="1" w:unhideWhenUsed="0" w:semiHidden="0" w:uiPriority="31" w:name="Subtle Reference"/>
    <w:lsdException w:qFormat="1" w:unhideWhenUsed="0" w:semiHidden="0" w:uiPriority="32" w:name="Intense Reference"/>
    <w:lsdException w:qFormat="1" w:unhideWhenUsed="0" w:semiHidden="0" w:uiPriority="33" w:name="Book Title"/>
    <w:lsdException w:uiPriority="37" w:name="Bibliography"/>
    <w:lsdException w:qFormat="1" w:uiPriority="39" w:name="TOC Heading"/>
  </w:latentStyles>
  <w:style w:type="paragraph" w:styleId="Normal" w:default="1">
    <w:name w:val="Normal"/>
    <w:qFormat/>
    <w:rsid w:val="00bd1a68"/>
    <w:pPr>
      <w:widowControl/>
      <w:suppressAutoHyphens w:val="true"/>
      <w:bidi w:val="0"/>
      <w:jc w:val="left"/>
    </w:pPr>
    <w:rPr>
      <w:rFonts w:ascii="Times New Roman" w:hAnsi="Times New Roman" w:eastAsia="Times New Roman" w:cs="Times New Roman"/>
      <w:color w:val="00000A"/>
      <w:sz w:val="24"/>
      <w:szCs w:val="24"/>
      <w:lang w:val="sk-SK" w:eastAsia="sk-SK" w:bidi="ar-SA"/>
    </w:rPr>
  </w:style>
  <w:style w:type="paragraph" w:styleId="Nadpis1">
    <w:name w:val="Nadpis 1"/>
    <w:qFormat/>
    <w:rsid w:val="00bd1a68"/>
    <w:basedOn w:val="Nadpis"/>
    <w:pPr>
      <w:keepNext/>
      <w:widowControl/>
      <w:bidi w:val="0"/>
      <w:spacing w:before="240" w:after="60"/>
      <w:jc w:val="center"/>
      <w:outlineLvl w:val="0"/>
    </w:pPr>
    <w:rPr>
      <w:rFonts w:cs="Arial"/>
      <w:b/>
      <w:bCs/>
      <w:sz w:val="24"/>
      <w:szCs w:val="32"/>
    </w:rPr>
  </w:style>
  <w:style w:type="paragraph" w:styleId="Nadpis2">
    <w:name w:val="Nadpis 2"/>
    <w:qFormat/>
    <w:rsid w:val="00bd1a68"/>
    <w:basedOn w:val="Normal"/>
    <w:pPr>
      <w:keepNext/>
      <w:spacing w:before="0" w:after="120"/>
      <w:jc w:val="center"/>
      <w:outlineLvl w:val="1"/>
    </w:pPr>
    <w:rPr>
      <w:b/>
    </w:rPr>
  </w:style>
  <w:style w:type="paragraph" w:styleId="Nadpis3">
    <w:name w:val="Nadpis 3"/>
    <w:qFormat/>
    <w:rsid w:val="00bd1a68"/>
    <w:basedOn w:val="Normal"/>
    <w:pPr>
      <w:keepNext/>
      <w:jc w:val="both"/>
      <w:outlineLvl w:val="2"/>
    </w:pPr>
    <w:rPr>
      <w:b/>
      <w:u w:val="single"/>
    </w:rPr>
  </w:style>
  <w:style w:type="paragraph" w:styleId="Nadpis4">
    <w:name w:val="Nadpis 4"/>
    <w:qFormat/>
    <w:rsid w:val="00bd1a68"/>
    <w:basedOn w:val="Normal"/>
    <w:pPr>
      <w:keepNext/>
      <w:keepLines/>
      <w:ind w:left="0" w:right="0" w:firstLine="357"/>
      <w:jc w:val="both"/>
      <w:outlineLvl w:val="3"/>
    </w:pPr>
    <w:rPr>
      <w:b/>
    </w:rPr>
  </w:style>
  <w:style w:type="paragraph" w:styleId="Nadpis5">
    <w:name w:val="Nadpis 5"/>
    <w:qFormat/>
    <w:rsid w:val="00bd1a68"/>
    <w:basedOn w:val="Normal"/>
    <w:pPr>
      <w:keepNext/>
      <w:keepLines/>
      <w:ind w:left="0" w:right="0" w:firstLine="360"/>
      <w:jc w:val="both"/>
      <w:outlineLvl w:val="4"/>
    </w:pPr>
    <w:rPr>
      <w:b/>
    </w:rPr>
  </w:style>
  <w:style w:type="paragraph" w:styleId="Nadpis6">
    <w:name w:val="Nadpis 6"/>
    <w:qFormat/>
    <w:rsid w:val="00bd1a68"/>
    <w:basedOn w:val="Normal"/>
    <w:pPr>
      <w:keepNext/>
      <w:ind w:left="360" w:right="0" w:hanging="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styleId="DefaultParagraphFont" w:default="1">
    <w:name w:val="Default Paragraph Font"/>
    <w:uiPriority w:val="1"/>
    <w:semiHidden/>
    <w:unhideWhenUsed/>
    <w:rPr/>
  </w:style>
  <w:style w:type="character" w:styleId="Footnotereference">
    <w:name w:val="footnote reference"/>
    <w:semiHidden/>
    <w:rsid w:val="00bd1a68"/>
    <w:rPr>
      <w:vertAlign w:val="superscript"/>
    </w:rPr>
  </w:style>
  <w:style w:type="character" w:styleId="Pagenumber">
    <w:name w:val="page number"/>
    <w:semiHidden/>
    <w:rsid w:val="00bd1a68"/>
    <w:basedOn w:val="DefaultParagraphFont"/>
    <w:rPr/>
  </w:style>
  <w:style w:type="character" w:styleId="PtaChar" w:customStyle="1">
    <w:name w:val="Päta Char"/>
    <w:uiPriority w:val="99"/>
    <w:link w:val="Pta"/>
    <w:rsid w:val="00f570bd"/>
    <w:rPr>
      <w:sz w:val="24"/>
      <w:szCs w:val="24"/>
    </w:rPr>
  </w:style>
  <w:style w:type="character" w:styleId="TextkoncovejpoznmkyChar" w:customStyle="1">
    <w:name w:val="Text koncovej poznámky Char"/>
    <w:uiPriority w:val="99"/>
    <w:semiHidden/>
    <w:link w:val="Textkoncovejpoznmky"/>
    <w:rsid w:val="009502d0"/>
    <w:basedOn w:val="DefaultParagraphFont"/>
    <w:rPr/>
  </w:style>
  <w:style w:type="character" w:styleId="Endnotereference">
    <w:name w:val="endnote reference"/>
    <w:uiPriority w:val="99"/>
    <w:semiHidden/>
    <w:unhideWhenUsed/>
    <w:rsid w:val="009502d0"/>
    <w:rPr>
      <w:vertAlign w:val="superscript"/>
    </w:rPr>
  </w:style>
  <w:style w:type="character" w:styleId="HlavikaChar" w:customStyle="1">
    <w:name w:val="Hlavička Char"/>
    <w:uiPriority w:val="99"/>
    <w:link w:val="Hlavika"/>
    <w:rsid w:val="006c0f8a"/>
    <w:rPr>
      <w:sz w:val="24"/>
      <w:szCs w:val="24"/>
    </w:rPr>
  </w:style>
  <w:style w:type="character" w:styleId="TextbublinyChar" w:customStyle="1">
    <w:name w:val="Text bubliny Char"/>
    <w:uiPriority w:val="99"/>
    <w:semiHidden/>
    <w:link w:val="Textbubliny"/>
    <w:rsid w:val="005e6d20"/>
    <w:rPr>
      <w:rFonts w:ascii="Tahoma" w:hAnsi="Tahoma" w:cs="Tahoma"/>
      <w:sz w:val="16"/>
      <w:szCs w:val="16"/>
    </w:rPr>
  </w:style>
  <w:style w:type="character" w:styleId="Tl" w:customStyle="1">
    <w:name w:val="tl"/>
    <w:rsid w:val="000a4158"/>
    <w:basedOn w:val="DefaultParagraphFont"/>
    <w:rPr/>
  </w:style>
  <w:style w:type="character" w:styleId="Tl1Char" w:customStyle="1">
    <w:name w:val="Štýl1 Char"/>
    <w:link w:val="tl1"/>
    <w:rsid w:val="007b7ebe"/>
    <w:basedOn w:val="PtaChar"/>
    <w:rPr/>
  </w:style>
  <w:style w:type="character" w:styleId="Ra" w:customStyle="1">
    <w:name w:val="ra"/>
    <w:rsid w:val="000a4158"/>
    <w:basedOn w:val="DefaultParagraphFont"/>
    <w:rPr/>
  </w:style>
  <w:style w:type="character" w:styleId="OdsekzoznamuChar" w:customStyle="1">
    <w:name w:val="Odsek zoznamu Char"/>
    <w:uiPriority w:val="34"/>
    <w:link w:val="Odsekzoznamu"/>
    <w:locked/>
    <w:rsid w:val="00cd1488"/>
    <w:rPr>
      <w:sz w:val="24"/>
      <w:szCs w:val="24"/>
    </w:rPr>
  </w:style>
  <w:style w:type="character" w:styleId="ListLabel1">
    <w:name w:val="ListLabel 1"/>
    <w:rPr>
      <w:rFonts w:cs="Times New Roman"/>
      <w:b/>
      <w:bCs w:val="false"/>
      <w:i w:val="false"/>
      <w:iCs w:val="false"/>
      <w:caps w:val="false"/>
      <w:smallCaps w:val="false"/>
      <w:strike w:val="false"/>
      <w:dstrike w:val="false"/>
      <w:outline w:val="false"/>
      <w:shadow w:val="false"/>
      <w:emboss w:val="false"/>
      <w:imprint w:val="false"/>
      <w:vanish w:val="false"/>
      <w:color w:val="000000"/>
      <w:spacing w:val="0"/>
      <w:w w:val="0"/>
      <w:position w:val="0"/>
      <w:sz w:val="24"/>
      <w:sz w:val="24"/>
      <w:szCs w:val="24"/>
      <w:u w:val="none"/>
      <w:vertAlign w:val="baseline"/>
      <w:em w:val="none"/>
    </w:rPr>
  </w:style>
  <w:style w:type="character" w:styleId="ListLabel2">
    <w:name w:val="ListLabel 2"/>
    <w:rPr>
      <w:rFonts w:cs="Times New Roman"/>
      <w:sz w:val="24"/>
      <w:szCs w:val="24"/>
    </w:rPr>
  </w:style>
  <w:style w:type="character" w:styleId="ListLabel3">
    <w:name w:val="ListLabel 3"/>
    <w:rPr>
      <w:rFonts w:cs="Times New Roman"/>
      <w:b w:val="false"/>
      <w:i w:val="false"/>
      <w:sz w:val="20"/>
      <w:szCs w:val="24"/>
    </w:rPr>
  </w:style>
  <w:style w:type="character" w:styleId="ListLabel4">
    <w:name w:val="ListLabel 4"/>
    <w:rPr>
      <w:b/>
      <w:bCs w:val="false"/>
      <w:i w:val="false"/>
      <w:iCs w:val="false"/>
      <w:caps w:val="false"/>
      <w:smallCaps w:val="false"/>
      <w:strike w:val="false"/>
      <w:dstrike w:val="false"/>
      <w:outline w:val="false"/>
      <w:shadow w:val="false"/>
      <w:emboss w:val="false"/>
      <w:imprint w:val="false"/>
      <w:vanish w:val="false"/>
      <w:color w:val="000000"/>
      <w:spacing w:val="0"/>
      <w:w w:val="0"/>
      <w:position w:val="0"/>
      <w:sz w:val="24"/>
      <w:sz w:val="24"/>
      <w:szCs w:val="24"/>
      <w:u w:val="none"/>
      <w:vertAlign w:val="baseline"/>
      <w:em w:val="none"/>
    </w:rPr>
  </w:style>
  <w:style w:type="character" w:styleId="ListLabel5">
    <w:name w:val="ListLabel 5"/>
    <w:rPr>
      <w:sz w:val="24"/>
      <w:szCs w:val="24"/>
    </w:rPr>
  </w:style>
  <w:style w:type="character" w:styleId="ListLabel6">
    <w:name w:val="ListLabel 6"/>
    <w:rPr>
      <w:b w:val="false"/>
      <w:i w:val="false"/>
      <w:sz w:val="20"/>
      <w:szCs w:val="24"/>
    </w:rPr>
  </w:style>
  <w:style w:type="character" w:styleId="ListLabel7">
    <w:name w:val="ListLabel 7"/>
    <w:rPr>
      <w:sz w:val="24"/>
      <w:szCs w:val="24"/>
    </w:rPr>
  </w:style>
  <w:style w:type="character" w:styleId="ListLabel8">
    <w:name w:val="ListLabel 8"/>
    <w:rPr>
      <w:b w:val="false"/>
      <w:i w:val="false"/>
      <w:sz w:val="20"/>
      <w:szCs w:val="24"/>
    </w:rPr>
  </w:style>
  <w:style w:type="paragraph" w:styleId="Nadpis">
    <w:name w:val="Nadpis"/>
    <w:basedOn w:val="Normal"/>
    <w:next w:val="Telotextu"/>
    <w:pPr>
      <w:keepNext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Telotextu">
    <w:name w:val="Telo textu"/>
    <w:semiHidden/>
    <w:rsid w:val="00bd1a68"/>
    <w:basedOn w:val="Normal"/>
    <w:pPr>
      <w:spacing w:lineRule="auto" w:line="288" w:before="0" w:after="140"/>
    </w:pPr>
    <w:rPr>
      <w:rFonts w:ascii="Arial" w:hAnsi="Arial" w:cs="Arial"/>
      <w:sz w:val="20"/>
      <w:szCs w:val="18"/>
      <w:lang w:val="en-GB"/>
    </w:rPr>
  </w:style>
  <w:style w:type="paragraph" w:styleId="Zoznam">
    <w:name w:val="Zoznam"/>
    <w:basedOn w:val="Telotextu"/>
    <w:pPr/>
    <w:rPr>
      <w:rFonts w:cs="Mangal"/>
    </w:rPr>
  </w:style>
  <w:style w:type="paragraph" w:styleId="Popis">
    <w:name w:val="Popis"/>
    <w:basedOn w:val="Normal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Index">
    <w:name w:val="Index"/>
    <w:basedOn w:val="Normal"/>
    <w:pPr>
      <w:suppressLineNumbers/>
    </w:pPr>
    <w:rPr>
      <w:rFonts w:cs="Mangal"/>
    </w:rPr>
  </w:style>
  <w:style w:type="paragraph" w:styleId="Zkladntext" w:customStyle="1">
    <w:name w:val="Základní text"/>
    <w:rsid w:val="00bd1a68"/>
    <w:pPr>
      <w:widowControl/>
      <w:suppressAutoHyphens w:val="true"/>
      <w:bidi w:val="0"/>
      <w:spacing w:before="0" w:after="240"/>
      <w:jc w:val="both"/>
    </w:pPr>
    <w:rPr>
      <w:rFonts w:ascii="Times New Roman" w:hAnsi="Times New Roman" w:eastAsia="Times New Roman" w:cs="Times New Roman"/>
      <w:color w:val="000000"/>
      <w:sz w:val="24"/>
      <w:szCs w:val="20"/>
      <w:lang w:val="sk-SK" w:eastAsia="sk-SK" w:bidi="ar-SA"/>
    </w:rPr>
  </w:style>
  <w:style w:type="paragraph" w:styleId="Footnotetext">
    <w:name w:val="footnote text"/>
    <w:semiHidden/>
    <w:rsid w:val="00bd1a68"/>
    <w:basedOn w:val="Normal"/>
    <w:pPr/>
    <w:rPr>
      <w:sz w:val="20"/>
      <w:szCs w:val="20"/>
    </w:rPr>
  </w:style>
  <w:style w:type="paragraph" w:styleId="Pta">
    <w:name w:val="Päta"/>
    <w:uiPriority w:val="99"/>
    <w:link w:val="PtaChar"/>
    <w:rsid w:val="00f570bd"/>
    <w:basedOn w:val="Normal"/>
    <w:pPr>
      <w:tabs>
        <w:tab w:val="center" w:pos="4536" w:leader="none"/>
        <w:tab w:val="right" w:pos="9072" w:leader="none"/>
      </w:tabs>
      <w:jc w:val="right"/>
    </w:pPr>
    <w:rPr/>
  </w:style>
  <w:style w:type="paragraph" w:styleId="BodyText2">
    <w:name w:val="Body Text 2"/>
    <w:semiHidden/>
    <w:rsid w:val="00bd1a68"/>
    <w:basedOn w:val="Normal"/>
    <w:pPr>
      <w:jc w:val="both"/>
    </w:pPr>
    <w:rPr/>
  </w:style>
  <w:style w:type="paragraph" w:styleId="Odsadenietelatextu">
    <w:name w:val="Odsadenie tela textu"/>
    <w:semiHidden/>
    <w:rsid w:val="00bd1a68"/>
    <w:basedOn w:val="Normal"/>
    <w:pPr>
      <w:ind w:left="0" w:right="0" w:firstLine="360"/>
      <w:jc w:val="both"/>
    </w:pPr>
    <w:rPr/>
  </w:style>
  <w:style w:type="paragraph" w:styleId="BodyTextIndent2">
    <w:name w:val="Body Text Indent 2"/>
    <w:semiHidden/>
    <w:rsid w:val="00bd1a68"/>
    <w:basedOn w:val="Normal"/>
    <w:pPr>
      <w:ind w:left="0" w:right="0" w:firstLine="360"/>
    </w:pPr>
    <w:rPr/>
  </w:style>
  <w:style w:type="paragraph" w:styleId="BodyText3">
    <w:name w:val="Body Text 3"/>
    <w:semiHidden/>
    <w:rsid w:val="00bd1a68"/>
    <w:basedOn w:val="Normal"/>
    <w:pPr>
      <w:ind w:left="0" w:right="-468" w:hanging="0"/>
      <w:jc w:val="both"/>
    </w:pPr>
    <w:rPr>
      <w:b/>
      <w:bCs/>
    </w:rPr>
  </w:style>
  <w:style w:type="paragraph" w:styleId="BlockText">
    <w:name w:val="Block Text"/>
    <w:semiHidden/>
    <w:rsid w:val="00bd1a68"/>
    <w:basedOn w:val="Normal"/>
    <w:pPr>
      <w:ind w:left="1680" w:right="-468" w:hanging="240"/>
    </w:pPr>
    <w:rPr/>
  </w:style>
  <w:style w:type="paragraph" w:styleId="BodyTextIndent3">
    <w:name w:val="Body Text Indent 3"/>
    <w:semiHidden/>
    <w:rsid w:val="00bd1a68"/>
    <w:basedOn w:val="Normal"/>
    <w:pPr>
      <w:ind w:left="0" w:right="-468" w:firstLine="720"/>
      <w:jc w:val="both"/>
    </w:pPr>
    <w:rPr>
      <w:bCs/>
    </w:rPr>
  </w:style>
  <w:style w:type="paragraph" w:styleId="Hlavika">
    <w:name w:val="Hlavička"/>
    <w:uiPriority w:val="99"/>
    <w:link w:val="HlavikaChar"/>
    <w:rsid w:val="00bd1a68"/>
    <w:basedOn w:val="Normal"/>
    <w:pPr>
      <w:tabs>
        <w:tab w:val="center" w:pos="4703" w:leader="none"/>
        <w:tab w:val="right" w:pos="9406" w:leader="none"/>
      </w:tabs>
    </w:pPr>
    <w:rPr/>
  </w:style>
  <w:style w:type="paragraph" w:styleId="ListParagraph">
    <w:name w:val="List Paragraph"/>
    <w:uiPriority w:val="34"/>
    <w:qFormat/>
    <w:link w:val="OdsekzoznamuChar"/>
    <w:rsid w:val="00ab5218"/>
    <w:basedOn w:val="Normal"/>
    <w:pPr>
      <w:ind w:left="708" w:right="0" w:hanging="0"/>
    </w:pPr>
    <w:rPr/>
  </w:style>
  <w:style w:type="paragraph" w:styleId="Endnotetext">
    <w:name w:val="endnote text"/>
    <w:uiPriority w:val="99"/>
    <w:semiHidden/>
    <w:unhideWhenUsed/>
    <w:link w:val="TextkoncovejpoznmkyChar"/>
    <w:rsid w:val="009502d0"/>
    <w:basedOn w:val="Normal"/>
    <w:pPr/>
    <w:rPr>
      <w:sz w:val="20"/>
      <w:szCs w:val="20"/>
    </w:rPr>
  </w:style>
  <w:style w:type="paragraph" w:styleId="BalloonText">
    <w:name w:val="Balloon Text"/>
    <w:uiPriority w:val="99"/>
    <w:semiHidden/>
    <w:unhideWhenUsed/>
    <w:link w:val="TextbublinyChar"/>
    <w:rsid w:val="005e6d20"/>
    <w:basedOn w:val="Normal"/>
    <w:pPr/>
    <w:rPr>
      <w:rFonts w:ascii="Tahoma" w:hAnsi="Tahoma"/>
      <w:sz w:val="16"/>
      <w:szCs w:val="16"/>
    </w:rPr>
  </w:style>
  <w:style w:type="paragraph" w:styleId="Tl1" w:customStyle="1">
    <w:name w:val="Štýl1"/>
    <w:qFormat/>
    <w:link w:val="tl1Char"/>
    <w:rsid w:val="007b7ebe"/>
    <w:basedOn w:val="Pta"/>
    <w:pPr/>
    <w:rPr/>
  </w:style>
  <w:style w:type="numbering" w:styleId="NoList" w:default="1">
    <w:name w:val="No List"/>
    <w:uiPriority w:val="99"/>
    <w:semiHidden/>
    <w:unhideWhenUsed/>
  </w:style>
  <w:style w:type="table" w:default="1" w:styleId="Normlnatabuka">
    <w:name w:val="Normal Table"/>
    <w:uiPriority w:val="99"/>
    <w:qFormat/>
    <w:semiHidden/>
    <w:unhideWhenUsed/>
    <w:tblPr>
      <w:tblInd w:type="dxa" w:w="0"/>
      <w:tblCellMar>
        <w:top w:w="0" w:type="dxa"/>
        <w:left w:w="108" w:type="dxa"/>
        <w:bottom w:w="0" w:type="dxa"/>
        <w:right w:w="108" w:type="dxa"/>
      </w:tblCellMar>
    </w:tblPr>
  </w:style>
  <w:style w:type="table" w:styleId="Mriekatabuky">
    <w:name w:val="Table Grid"/>
    <w:basedOn w:val="Normlnatabuka"/>
    <w:uiPriority w:val="99"/>
    <w:rsid w:val="006c0f8a"/>
    <w:tblPr>
      <w:tblInd w:type="dxa" w:w="0"/>
      <w:tblBorders>
        <w:top w:space="0" w:sz="4" w:color="000000" w:val="single"/>
        <w:left w:space="0" w:sz="4" w:color="000000" w:val="single"/>
        <w:bottom w:space="0" w:sz="4" w:color="000000" w:val="single"/>
        <w:right w:space="0" w:sz="4" w:color="000000" w:val="single"/>
        <w:insideH w:space="0" w:sz="4" w:color="000000" w:val="single"/>
        <w:insideV w:space="0" w:sz="4" w:color="000000" w:val="single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E87B73B-33FA-4114-9D9D-26D287EF687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Application>Microsoft Office Word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2021-05-02T14:22:00Z</dcterms:created>
  <dc:creator>maria</dc:creator>
  <dc:language>sk-SK</dc:language>
  <cp:lastModifiedBy>User1</cp:lastModifiedBy>
  <cp:lastPrinted>2015-01-28T08:23:00Z</cp:lastPrinted>
  <dcterms:modified xsi:type="dcterms:W3CDTF">2021-05-02T14:22:00Z</dcterms:modified>
  <cp:revision>2</cp:revision>
  <dc:title>Opatrenie</dc:title>
</cp:coreProperties>
</file>