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_rels/document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W w:w="9806" w:type="dxa"/>
        <w:jc w:val="left"/>
        <w:tblInd w:w="43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1"/>
        <w:gridCol w:w="2664"/>
        <w:gridCol w:w="340"/>
        <w:gridCol w:w="341"/>
        <w:gridCol w:w="339"/>
        <w:gridCol w:w="340"/>
        <w:gridCol w:w="341"/>
        <w:gridCol w:w="340"/>
        <w:gridCol w:w="339"/>
        <w:gridCol w:w="340"/>
        <w:gridCol w:w="341"/>
        <w:gridCol w:w="340"/>
        <w:gridCol w:w="339"/>
        <w:gridCol w:w="340"/>
      </w:tblGrid>
      <w:tr>
        <w:trPr/>
        <w:tc>
          <w:tcPr>
            <w:tcW w:w="30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outlineLvl w:val="2"/>
              <w:rPr/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4" w:type="dxa"/>
            <w:tcBorders>
              <w:left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120"/>
              <w:ind w:left="0" w:right="0" w:hanging="0"/>
              <w:jc w:val="right"/>
              <w:outlineLvl w:val="2"/>
              <w:rPr/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keepNext w:val="true"/>
              <w:numPr>
                <w:ilvl w:val="0"/>
                <w:numId w:val="0"/>
              </w:numPr>
              <w:tabs>
                <w:tab w:val="clear" w:pos="709"/>
              </w:tabs>
              <w:bidi w:val="0"/>
              <w:spacing w:before="0" w:after="0"/>
              <w:ind w:left="0" w:righ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2"/>
        <w:rPr/>
      </w:pPr>
      <w:r>
        <w:rPr>
          <w:b/>
          <w:bCs/>
          <w:sz w:val="22"/>
          <w:szCs w:val="22"/>
        </w:rPr>
        <w:t>Čl. I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Všeobecné informácie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(1) </w:t>
      </w:r>
      <w:r>
        <w:rPr>
          <w:sz w:val="22"/>
          <w:szCs w:val="22"/>
        </w:rPr>
        <w:t>Názov a sídlo OZ: Štyria mušketieri, Štúrova 34/6, 017 01 Považská Bystrica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(2) </w:t>
      </w:r>
      <w:r>
        <w:rPr>
          <w:sz w:val="22"/>
          <w:szCs w:val="22"/>
        </w:rPr>
        <w:t>Predseda správnej rady: JUDr. Lucia Bajzová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(3) Opis činnosti, na účel ktorej bola účtovná jednotka zriadená a opis druhu podnikateľskej činnosti, ak ju účtovná jednotka vykonáva: </w:t>
      </w:r>
      <w:r>
        <w:rPr>
          <w:sz w:val="22"/>
          <w:szCs w:val="22"/>
        </w:rPr>
        <w:t>Pomoc rodinám a deťom trpiacim Duchennovou muskulárnou dystrofiou. Ďakujeme, že ste s nami, a že nám pomáhate naplniť sny chlapcov, ktorých telíčka sužuje DMD.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(4) Počet zamestnancov </w:t>
      </w:r>
      <w:r>
        <w:rPr>
          <w:sz w:val="22"/>
          <w:szCs w:val="22"/>
        </w:rPr>
        <w:t>0</w:t>
      </w:r>
    </w:p>
    <w:p>
      <w:pPr>
        <w:pStyle w:val="Normalpodnadpis"/>
        <w:bidi w:val="0"/>
        <w:spacing w:before="0" w:after="120"/>
        <w:ind w:left="0" w:right="0" w:hanging="0"/>
        <w:rPr>
          <w:sz w:val="22"/>
          <w:szCs w:val="22"/>
        </w:rPr>
      </w:pPr>
      <w:r>
        <w:rPr/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0"/>
        <w:rPr/>
      </w:pPr>
      <w:r>
        <w:rPr>
          <w:b/>
          <w:bCs/>
          <w:kern w:val="2"/>
          <w:sz w:val="22"/>
          <w:szCs w:val="22"/>
        </w:rPr>
        <w:t>Čl. II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Informácie o účtovných zásadách a účtovných metódach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(1) </w:t>
      </w:r>
      <w:r>
        <w:rPr>
          <w:sz w:val="22"/>
          <w:szCs w:val="22"/>
        </w:rPr>
        <w:t>Účtovná závierka zostavená za splnenia predpokladu nepretržitého pokračovania činnosti účtovnej jednotky.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>(2) Zmeny účtov</w:t>
      </w:r>
      <w:r>
        <w:rPr>
          <w:sz w:val="22"/>
          <w:szCs w:val="22"/>
        </w:rPr>
        <w:t>o</w:t>
      </w:r>
      <w:r>
        <w:rPr>
          <w:sz w:val="22"/>
          <w:szCs w:val="22"/>
        </w:rPr>
        <w:t xml:space="preserve">ých zásad a zmeny účtovných metód </w:t>
      </w:r>
      <w:r>
        <w:rPr>
          <w:sz w:val="22"/>
          <w:szCs w:val="22"/>
        </w:rPr>
        <w:t>nenastali.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(3) Spôsoby ocenenia jednotlivých položiek majetku a záväzkov. </w:t>
      </w:r>
      <w:r>
        <w:rPr>
          <w:sz w:val="22"/>
          <w:szCs w:val="22"/>
        </w:rPr>
        <w:t>Majetok aj záväzky sa oceňujú obstarávacou cenou.</w:t>
      </w:r>
    </w:p>
    <w:p>
      <w:pPr>
        <w:pStyle w:val="Normalpodnadpis"/>
        <w:bidi w:val="0"/>
        <w:spacing w:before="0" w:after="240"/>
        <w:ind w:left="0" w:right="0" w:hanging="0"/>
        <w:rPr/>
      </w:pPr>
      <w:r>
        <w:rPr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W w:w="10195" w:type="dxa"/>
        <w:jc w:val="left"/>
        <w:tblInd w:w="5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8"/>
        <w:gridCol w:w="2549"/>
        <w:gridCol w:w="2549"/>
        <w:gridCol w:w="2548"/>
      </w:tblGrid>
      <w:tr>
        <w:trPr>
          <w:trHeight w:val="416" w:hRule="atLeast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24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24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24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keepNext w:val="true"/>
              <w:tabs>
                <w:tab w:val="clear" w:pos="709"/>
              </w:tabs>
              <w:bidi w:val="0"/>
              <w:spacing w:before="0" w:after="24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Odpisová metóda</w:t>
            </w:r>
          </w:p>
        </w:tc>
      </w:tr>
      <w:tr>
        <w:trPr>
          <w:trHeight w:val="374" w:hRule="atLeast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Stroje prístroje a zariadenia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 roky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25%</w:t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>
        <w:trPr>
          <w:trHeight w:val="374" w:hRule="atLeast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4" w:hRule="atLeast"/>
        </w:trPr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5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(5) </w:t>
      </w:r>
      <w:r>
        <w:rPr>
          <w:sz w:val="22"/>
          <w:szCs w:val="22"/>
        </w:rPr>
        <w:t>Ú</w:t>
      </w:r>
      <w:r>
        <w:rPr>
          <w:sz w:val="22"/>
          <w:szCs w:val="22"/>
        </w:rPr>
        <w:t xml:space="preserve">čtovná jednotka </w:t>
      </w:r>
      <w:r>
        <w:rPr>
          <w:sz w:val="22"/>
          <w:szCs w:val="22"/>
        </w:rPr>
        <w:t>ne</w:t>
      </w:r>
      <w:r>
        <w:rPr>
          <w:sz w:val="22"/>
          <w:szCs w:val="22"/>
        </w:rPr>
        <w:t>uplatňuje opravné položky a rezervy.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240" w:after="120"/>
        <w:ind w:left="0" w:right="0" w:hanging="0"/>
        <w:jc w:val="center"/>
        <w:outlineLvl w:val="0"/>
        <w:rPr>
          <w:b/>
          <w:bCs/>
          <w:kern w:val="2"/>
          <w:sz w:val="22"/>
          <w:szCs w:val="22"/>
        </w:rPr>
      </w:pPr>
      <w:r>
        <w:rPr/>
      </w:r>
    </w:p>
    <w:p>
      <w:pPr>
        <w:pStyle w:val="Normalpodnadpis"/>
        <w:numPr>
          <w:ilvl w:val="0"/>
          <w:numId w:val="0"/>
        </w:numPr>
        <w:bidi w:val="0"/>
        <w:spacing w:before="240" w:after="120"/>
        <w:ind w:left="0" w:right="0" w:hanging="0"/>
        <w:jc w:val="center"/>
        <w:outlineLvl w:val="0"/>
        <w:rPr/>
      </w:pPr>
      <w:r>
        <w:rPr>
          <w:b/>
          <w:bCs/>
          <w:kern w:val="2"/>
          <w:sz w:val="22"/>
          <w:szCs w:val="22"/>
        </w:rPr>
        <w:t>Čl. III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Informácie, ktoré dopĺňajú a vysvetľujú údaje v súvahe</w:t>
      </w:r>
    </w:p>
    <w:p>
      <w:pPr>
        <w:pStyle w:val="Normalpodnadpis"/>
        <w:numPr>
          <w:ilvl w:val="0"/>
          <w:numId w:val="5"/>
        </w:numPr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V roku 2022 bol obstaraný</w:t>
      </w:r>
      <w:r>
        <w:rPr>
          <w:sz w:val="22"/>
          <w:szCs w:val="22"/>
        </w:rPr>
        <w:t> dlhodob</w:t>
      </w:r>
      <w:r>
        <w:rPr>
          <w:sz w:val="22"/>
          <w:szCs w:val="22"/>
        </w:rPr>
        <w:t>ý</w:t>
      </w:r>
      <w:r>
        <w:rPr>
          <w:sz w:val="22"/>
          <w:szCs w:val="22"/>
        </w:rPr>
        <w:t xml:space="preserve"> hmotn</w:t>
      </w:r>
      <w:r>
        <w:rPr>
          <w:sz w:val="22"/>
          <w:szCs w:val="22"/>
        </w:rPr>
        <w:t>ý</w:t>
      </w:r>
      <w:r>
        <w:rPr>
          <w:sz w:val="22"/>
          <w:szCs w:val="22"/>
        </w:rPr>
        <w:t xml:space="preserve"> majet</w:t>
      </w:r>
      <w:r>
        <w:rPr>
          <w:sz w:val="22"/>
          <w:szCs w:val="22"/>
        </w:rPr>
        <w:t>o</w:t>
      </w:r>
      <w:r>
        <w:rPr>
          <w:sz w:val="22"/>
          <w:szCs w:val="22"/>
        </w:rPr>
        <w:t>k.</w:t>
      </w:r>
    </w:p>
    <w:p>
      <w:pPr>
        <w:pStyle w:val="Normalpodnadpis"/>
        <w:keepNext w:val="true"/>
        <w:numPr>
          <w:ilvl w:val="0"/>
          <w:numId w:val="5"/>
        </w:numPr>
        <w:bidi w:val="0"/>
        <w:ind w:left="0" w:right="0" w:hanging="0"/>
        <w:rPr/>
      </w:pPr>
      <w:r>
        <w:rPr>
          <w:sz w:val="22"/>
          <w:szCs w:val="22"/>
        </w:rPr>
        <w:t>Informácia o rozdelení účtovného zisku alebo o vysporiadaní účtovnej straty za bezprostredne predchádzajúce účtovné obdobie.</w:t>
      </w:r>
    </w:p>
    <w:tbl>
      <w:tblPr>
        <w:tblW w:w="9890" w:type="dxa"/>
        <w:jc w:val="left"/>
        <w:tblInd w:w="11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44"/>
        <w:gridCol w:w="5245"/>
      </w:tblGrid>
      <w:tr>
        <w:trPr>
          <w:trHeight w:val="765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keepNext w:val="true"/>
              <w:tabs>
                <w:tab w:val="clear" w:pos="709"/>
              </w:tabs>
              <w:bidi w:val="0"/>
              <w:ind w:left="0" w:right="0" w:hanging="0"/>
              <w:rPr/>
            </w:pPr>
            <w:r>
              <w:rPr>
                <w:rFonts w:cs="Arial"/>
              </w:rPr>
              <w:t>Názov položky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keepNext w:val="true"/>
              <w:tabs>
                <w:tab w:val="clear" w:pos="709"/>
              </w:tabs>
              <w:bidi w:val="0"/>
              <w:ind w:left="0" w:right="0" w:hanging="0"/>
              <w:rPr/>
            </w:pPr>
            <w:r>
              <w:rPr>
                <w:rFonts w:cs="Arial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18722</w:t>
            </w:r>
          </w:p>
        </w:tc>
      </w:tr>
      <w:tr>
        <w:trPr>
          <w:trHeight w:val="330" w:hRule="atLeast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18722</w:t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98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>Prevod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46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rPr/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</w:tbl>
    <w:p>
      <w:pPr>
        <w:pStyle w:val="Normalpodnadpis"/>
        <w:numPr>
          <w:ilvl w:val="0"/>
          <w:numId w:val="0"/>
        </w:numPr>
        <w:bidi w:val="0"/>
        <w:ind w:left="0" w:right="0" w:hanging="0"/>
        <w:rPr>
          <w:b/>
          <w:bCs/>
          <w:kern w:val="2"/>
          <w:sz w:val="22"/>
          <w:szCs w:val="22"/>
        </w:rPr>
      </w:pPr>
      <w:r>
        <w:rPr/>
      </w:r>
    </w:p>
    <w:p>
      <w:pPr>
        <w:pStyle w:val="Normalpodnadpis"/>
        <w:bidi w:val="0"/>
        <w:ind w:left="0" w:right="0" w:hanging="0"/>
        <w:rPr>
          <w:b/>
          <w:bCs/>
          <w:kern w:val="2"/>
          <w:sz w:val="22"/>
          <w:szCs w:val="22"/>
        </w:rPr>
      </w:pPr>
      <w:r>
        <w:rPr/>
      </w:r>
    </w:p>
    <w:p>
      <w:pPr>
        <w:pStyle w:val="Normalpodnadpis"/>
        <w:bidi w:val="0"/>
        <w:ind w:left="0" w:right="0" w:hanging="0"/>
        <w:jc w:val="center"/>
        <w:rPr/>
      </w:pPr>
      <w:r>
        <w:rPr>
          <w:b/>
          <w:bCs/>
          <w:kern w:val="2"/>
          <w:sz w:val="22"/>
          <w:szCs w:val="22"/>
        </w:rPr>
        <w:t>Čl. IV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tbl>
      <w:tblPr>
        <w:tblW w:w="10014" w:type="dxa"/>
        <w:jc w:val="left"/>
        <w:tblInd w:w="15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2"/>
        <w:gridCol w:w="2455"/>
        <w:gridCol w:w="2727"/>
      </w:tblGrid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</w:t>
            </w: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od organizácií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1600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2670</w:t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Príspevky od fyzických osôb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590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3658</w:t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2% daní</w:t>
            </w:r>
          </w:p>
        </w:tc>
        <w:tc>
          <w:tcPr>
            <w:tcW w:w="2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13564,35</w:t>
            </w:r>
          </w:p>
        </w:tc>
        <w:tc>
          <w:tcPr>
            <w:tcW w:w="2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16243,16</w:t>
            </w:r>
          </w:p>
        </w:tc>
      </w:tr>
    </w:tbl>
    <w:p>
      <w:pPr>
        <w:pStyle w:val="Normalpodnadpis"/>
        <w:keepNext w:val="true"/>
        <w:numPr>
          <w:ilvl w:val="0"/>
          <w:numId w:val="6"/>
        </w:numPr>
        <w:bidi w:val="0"/>
        <w:spacing w:before="240" w:after="120"/>
        <w:ind w:left="284" w:right="0" w:hanging="284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W w:w="10014" w:type="dxa"/>
        <w:jc w:val="left"/>
        <w:tblInd w:w="15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32"/>
        <w:gridCol w:w="2809"/>
        <w:gridCol w:w="2373"/>
      </w:tblGrid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12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Grant</w:t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11600</w:t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8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podnadpis"/>
              <w:bidi w:val="0"/>
              <w:spacing w:before="0" w:after="0"/>
              <w:ind w:left="0" w:right="0" w:hanging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3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6"/>
        </w:numPr>
        <w:bidi w:val="0"/>
        <w:spacing w:before="240" w:after="120"/>
        <w:ind w:left="284" w:right="0" w:hanging="284"/>
        <w:rPr/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 účele a výške použitia zostatku prijatého podielu zaplatenej dane v minulých účtovných obdobiach a prijatého podielu zaplatenej dane v bežnom účtovnom období.</w:t>
      </w:r>
    </w:p>
    <w:tbl>
      <w:tblPr>
        <w:tblW w:w="10276" w:type="dxa"/>
        <w:jc w:val="left"/>
        <w:tblInd w:w="15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8"/>
        <w:gridCol w:w="2240"/>
        <w:gridCol w:w="2268"/>
      </w:tblGrid>
      <w:tr>
        <w:trPr/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/>
            </w:pPr>
            <w:r>
              <w:rPr>
                <w:b/>
                <w:sz w:val="22"/>
                <w:szCs w:val="22"/>
              </w:rPr>
              <w:t>Použitá suma z bežného účtovného obdobia</w:t>
            </w:r>
          </w:p>
        </w:tc>
      </w:tr>
      <w:tr>
        <w:trPr>
          <w:trHeight w:val="397" w:hRule="atLeast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Lieky a vitamínové doplnky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1409</w:t>
            </w:r>
          </w:p>
        </w:tc>
      </w:tr>
      <w:tr>
        <w:trPr>
          <w:trHeight w:val="397" w:hRule="atLeast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Rehabilitácie a ostatné služby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11198,71</w:t>
            </w:r>
          </w:p>
        </w:tc>
      </w:tr>
      <w:tr>
        <w:trPr>
          <w:trHeight w:val="397" w:hRule="atLeast"/>
        </w:trPr>
        <w:tc>
          <w:tcPr>
            <w:tcW w:w="57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bidi w:val="0"/>
              <w:spacing w:before="0" w:after="0"/>
              <w:ind w:left="0" w:right="0" w:hanging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Ostatné drobné výdaje </w:t>
            </w:r>
          </w:p>
        </w:tc>
        <w:tc>
          <w:tcPr>
            <w:tcW w:w="2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bidi w:val="0"/>
              <w:spacing w:before="0" w:after="0"/>
              <w:ind w:left="0" w:right="0" w:hanging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213,98</w:t>
            </w:r>
          </w:p>
        </w:tc>
      </w:tr>
      <w:tr>
        <w:trPr>
          <w:trHeight w:val="397" w:hRule="atLeast"/>
        </w:trPr>
        <w:tc>
          <w:tcPr>
            <w:tcW w:w="800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/>
            </w:pPr>
            <w:r>
              <w:rPr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podnadpis"/>
              <w:tabs>
                <w:tab w:val="clear" w:pos="709"/>
              </w:tabs>
              <w:bidi w:val="0"/>
              <w:spacing w:before="0" w:after="0"/>
              <w:ind w:left="0" w:right="0" w:hanging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podnadpis"/>
        <w:keepNext w:val="true"/>
        <w:numPr>
          <w:ilvl w:val="0"/>
          <w:numId w:val="0"/>
        </w:numPr>
        <w:bidi w:val="0"/>
        <w:spacing w:before="240" w:after="120"/>
        <w:ind w:left="0" w:right="0" w:hanging="0"/>
        <w:jc w:val="center"/>
        <w:outlineLvl w:val="0"/>
        <w:rPr/>
      </w:pPr>
      <w:r>
        <w:rPr>
          <w:b/>
          <w:bCs/>
          <w:kern w:val="2"/>
          <w:sz w:val="22"/>
          <w:szCs w:val="22"/>
        </w:rPr>
        <w:t>Čl. V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Opis údajov na podsúvahových účtoch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Významné položky zásob prijatých na komisionálny predaj, prenajatého majetku, majetku prijatého do úschovy, odpísané pohľadávky a prípadné ďalšie položky – </w:t>
      </w:r>
      <w:r>
        <w:rPr>
          <w:sz w:val="22"/>
          <w:szCs w:val="22"/>
        </w:rPr>
        <w:t xml:space="preserve">neevidujeme.  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24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Čl. VI</w:t>
      </w:r>
    </w:p>
    <w:p>
      <w:pPr>
        <w:pStyle w:val="Normalpodnadpis"/>
        <w:keepNext w:val="true"/>
        <w:numPr>
          <w:ilvl w:val="0"/>
          <w:numId w:val="0"/>
        </w:numPr>
        <w:bidi w:val="0"/>
        <w:spacing w:before="0" w:after="120"/>
        <w:ind w:left="0" w:right="0" w:hanging="0"/>
        <w:jc w:val="center"/>
        <w:outlineLvl w:val="1"/>
        <w:rPr/>
      </w:pPr>
      <w:r>
        <w:rPr>
          <w:b/>
          <w:bCs/>
          <w:sz w:val="22"/>
          <w:szCs w:val="22"/>
        </w:rPr>
        <w:t>Ďalšie informácie</w:t>
      </w:r>
    </w:p>
    <w:p>
      <w:pPr>
        <w:pStyle w:val="Textopatrenia"/>
        <w:numPr>
          <w:ilvl w:val="0"/>
          <w:numId w:val="0"/>
        </w:numPr>
        <w:bidi w:val="0"/>
        <w:ind w:left="0" w:right="0" w:hanging="0"/>
        <w:rPr/>
      </w:pPr>
      <w:r>
        <w:rPr/>
        <w:t xml:space="preserve"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 - </w:t>
      </w:r>
      <w:r>
        <w:rPr/>
        <w:t>neevidujeme</w:t>
      </w:r>
      <w:r>
        <w:rPr/>
        <w:t>.</w:t>
      </w:r>
    </w:p>
    <w:p>
      <w:pPr>
        <w:pStyle w:val="Textopatrenia"/>
        <w:numPr>
          <w:ilvl w:val="0"/>
          <w:numId w:val="0"/>
        </w:numPr>
        <w:bidi w:val="0"/>
        <w:ind w:left="0" w:right="0" w:hanging="0"/>
        <w:rPr/>
      </w:pPr>
      <w:r>
        <w:rPr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0"/>
        </w:numPr>
        <w:bidi w:val="0"/>
        <w:ind w:left="0" w:right="0" w:hanging="0"/>
        <w:rPr/>
      </w:pPr>
      <w:r>
        <w:rPr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0"/>
        </w:numPr>
        <w:bidi w:val="0"/>
        <w:ind w:left="0" w:right="0" w:hanging="0"/>
        <w:rPr/>
      </w:pPr>
      <w:r>
        <w:rPr>
          <w:lang w:eastAsia="sk-SK"/>
        </w:rPr>
        <w:t xml:space="preserve">b) povinnosť, ktorá vznikla ako dôsledok minulej udalosti, ale ktorá sa nevykazuje v súvahe, pretože nie je pravdepodobné, že na splnenie tejto povinnosti bude potrebný úbytok ekonomických úžitkov, alebo výška tejto povinnosti sa nedá spoľahlivo oceniť - </w:t>
      </w:r>
      <w:r>
        <w:rPr>
          <w:lang w:eastAsia="sk-SK"/>
        </w:rPr>
        <w:t>neevidujeme</w:t>
      </w:r>
      <w:r>
        <w:rPr>
          <w:lang w:eastAsia="sk-SK"/>
        </w:rPr>
        <w:t xml:space="preserve">. </w:t>
      </w:r>
    </w:p>
    <w:p>
      <w:pPr>
        <w:pStyle w:val="Textopatrenia"/>
        <w:numPr>
          <w:ilvl w:val="0"/>
          <w:numId w:val="0"/>
        </w:numPr>
        <w:bidi w:val="0"/>
        <w:ind w:left="0" w:right="0" w:hanging="0"/>
        <w:rPr/>
      </w:pPr>
      <w:r>
        <w:rPr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0"/>
        </w:numPr>
        <w:bidi w:val="0"/>
        <w:ind w:left="0" w:right="0" w:hanging="0"/>
        <w:rPr/>
      </w:pPr>
      <w:r>
        <w:rPr/>
        <w:t>a) povinnosť z devízových termínovaných obchodov a iných finančných derivátov,</w:t>
      </w:r>
    </w:p>
    <w:p>
      <w:pPr>
        <w:pStyle w:val="Textopatrenia"/>
        <w:numPr>
          <w:ilvl w:val="0"/>
          <w:numId w:val="0"/>
        </w:numPr>
        <w:bidi w:val="0"/>
        <w:ind w:left="0" w:right="0" w:hanging="0"/>
        <w:rPr/>
      </w:pPr>
      <w:r>
        <w:rPr/>
        <w:t>b) povinnosť z opčných obchodov,</w:t>
      </w:r>
    </w:p>
    <w:p>
      <w:pPr>
        <w:pStyle w:val="Textopatrenia"/>
        <w:numPr>
          <w:ilvl w:val="0"/>
          <w:numId w:val="0"/>
        </w:numPr>
        <w:bidi w:val="0"/>
        <w:ind w:left="0" w:right="0" w:hanging="0"/>
        <w:rPr/>
      </w:pPr>
      <w:r>
        <w:rPr/>
        <w:t>c) zákonná povinnosť alebo zmluvná povinnosť odobrať určité produkty alebo služby, napríklad z dodávateľských zmlúv alebo odberateľských zmlúv,</w:t>
      </w:r>
    </w:p>
    <w:p>
      <w:pPr>
        <w:pStyle w:val="Textopatrenia"/>
        <w:numPr>
          <w:ilvl w:val="0"/>
          <w:numId w:val="0"/>
        </w:numPr>
        <w:bidi w:val="0"/>
        <w:ind w:left="0" w:right="0" w:hanging="0"/>
        <w:rPr/>
      </w:pPr>
      <w:r>
        <w:rPr/>
        <w:t>d) povinnosť z lízingových zmlúv, nájomných zmlúv, servisných zmlúv, poistných zmlúv, koncesionárskych zmlúv, licenčných zmlúv a podobných zmlúv,</w:t>
      </w:r>
    </w:p>
    <w:p>
      <w:pPr>
        <w:pStyle w:val="Textopatrenia"/>
        <w:numPr>
          <w:ilvl w:val="0"/>
          <w:numId w:val="0"/>
        </w:numPr>
        <w:bidi w:val="0"/>
        <w:ind w:left="0" w:right="0" w:hanging="0"/>
        <w:rPr/>
      </w:pPr>
      <w:r>
        <w:rPr/>
        <w:t xml:space="preserve">e) iné povinnosti - </w:t>
      </w:r>
      <w:r>
        <w:rPr/>
        <w:t>neevidujeme</w:t>
      </w:r>
      <w:r>
        <w:rPr/>
        <w:t>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(4) Prehľad nehnuteľných kultúrnych pamiatok, ktoré sú v správe alebo vo vlastníctve účtovnej jednotky, a to názov, adresa a číslo kultúrnej pamiatky v Ústrednom zozname pamiatkového fondu - </w:t>
      </w:r>
      <w:r>
        <w:rPr>
          <w:sz w:val="22"/>
          <w:szCs w:val="22"/>
        </w:rPr>
        <w:t>neevidujeme</w:t>
      </w:r>
      <w:r>
        <w:rPr>
          <w:sz w:val="22"/>
          <w:szCs w:val="22"/>
        </w:rPr>
        <w:t>.</w:t>
      </w:r>
    </w:p>
    <w:p>
      <w:pPr>
        <w:pStyle w:val="Normalpodnadpis"/>
        <w:bidi w:val="0"/>
        <w:spacing w:before="0" w:after="120"/>
        <w:ind w:left="0" w:right="0" w:hanging="0"/>
        <w:rPr/>
      </w:pPr>
      <w:r>
        <w:rPr>
          <w:sz w:val="22"/>
          <w:szCs w:val="22"/>
        </w:rPr>
        <w:t xml:space="preserve">(5) Informácie o významných skutočnostiach, ktoré nastali medzi dňom, ku ktorému sa zostavuje účtovná závierka a dňom jej zostavenia - </w:t>
      </w:r>
      <w:r>
        <w:rPr>
          <w:sz w:val="22"/>
          <w:szCs w:val="22"/>
        </w:rPr>
        <w:t>neevidujeme</w:t>
      </w:r>
      <w:r>
        <w:rPr>
          <w:sz w:val="22"/>
          <w:szCs w:val="22"/>
        </w:rPr>
        <w:t>.</w:t>
      </w:r>
    </w:p>
    <w:sectPr>
      <w:headerReference w:type="first" r:id="rId2"/>
      <w:footerReference w:type="default" r:id="rId3"/>
      <w:footerReference w:type="first" r:id="rId4"/>
      <w:type w:val="nextPage"/>
      <w:pgSz w:w="11906" w:h="16838"/>
      <w:pgMar w:left="993" w:right="851" w:gutter="0" w:header="709" w:top="851" w:footer="709" w:bottom="851"/>
      <w:pgNumType w:start="1" w:fmt="decimal"/>
      <w:formProt w:val="false"/>
      <w:titlePg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spacing w:lineRule="auto" w:line="360" w:before="120" w:after="120"/>
      <w:ind w:left="0" w:right="0" w:hanging="0"/>
      <w:jc w:val="right"/>
      <w:rPr/>
    </w:pPr>
    <w:r>
      <w:rPr/>
      <w:t xml:space="preserve">Strana </w:t>
    </w:r>
    <w:r>
      <w:rPr>
        <w:lang w:eastAsia="sk-SK"/>
      </w:rPr>
      <w:fldChar w:fldCharType="begin"/>
    </w:r>
    <w:r>
      <w:rPr>
        <w:lang w:eastAsia="sk-SK"/>
      </w:rPr>
      <w:instrText xml:space="preserve"> PAGE </w:instrText>
    </w:r>
    <w:r>
      <w:rPr>
        <w:lang w:eastAsia="sk-SK"/>
      </w:rPr>
      <w:fldChar w:fldCharType="separate"/>
    </w:r>
    <w:r>
      <w:rPr>
        <w:lang w:eastAsia="sk-SK"/>
      </w:rPr>
      <w:t>4</w:t>
    </w:r>
    <w:r>
      <w:rPr>
        <w:lang w:eastAsia="sk-SK"/>
      </w:rPr>
      <w:fldChar w:fldCharType="end"/>
    </w:r>
  </w:p>
  <w:p>
    <w:pPr>
      <w:pStyle w:val="Pta"/>
      <w:tabs>
        <w:tab w:val="clear" w:pos="4536"/>
        <w:tab w:val="clear" w:pos="9072"/>
        <w:tab w:val="center" w:pos="5102" w:leader="none"/>
        <w:tab w:val="right" w:pos="10204" w:leader="none"/>
      </w:tabs>
      <w:bidi w:val="0"/>
      <w:spacing w:lineRule="auto" w:line="360" w:before="120" w:after="120"/>
      <w:ind w:left="0" w:right="36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spacing w:lineRule="auto" w:line="360" w:before="120" w:after="120"/>
      <w:ind w:left="0" w:right="0" w:hanging="0"/>
      <w:jc w:val="right"/>
      <w:rPr/>
    </w:pPr>
    <w:r>
      <w:rPr/>
      <w:t>Strana 7</w:t>
    </w:r>
  </w:p>
  <w:p>
    <w:pPr>
      <w:pStyle w:val="Pta"/>
      <w:bidi w:val="0"/>
      <w:spacing w:lineRule="auto" w:line="360" w:before="120" w:after="12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spacing w:lineRule="auto" w:line="360" w:before="120" w:after="120"/>
      <w:ind w:left="0" w:right="0" w:hanging="0"/>
      <w:jc w:val="right"/>
      <w:rPr/>
    </w:pPr>
    <w:r>
      <w:rPr/>
    </w:r>
  </w:p>
  <w:p>
    <w:pPr>
      <w:pStyle w:val="Zhlavie"/>
      <w:bidi w:val="0"/>
      <w:spacing w:lineRule="auto" w:line="360" w:before="120" w:after="12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i w:val="false"/>
        <w:b w:val="false"/>
        <w:iCs w:val="false"/>
        <w:bCs w:val="false"/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>
    <w:lvl w:ilvl="0">
      <w:start w:val="1"/>
      <w:numFmt w:val="decimal"/>
      <w:lvlText w:val="K bodu %1"/>
      <w:lvlJc w:val="left"/>
      <w:pPr>
        <w:tabs>
          <w:tab w:val="num" w:pos="0"/>
        </w:tabs>
        <w:ind w:left="0" w:hanging="0"/>
      </w:pPr>
      <w:rPr>
        <w:i w:val="false"/>
        <w:b/>
        <w:iCs w:val="false"/>
        <w:bCs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(%1)"/>
      <w:lvlJc w:val="left"/>
      <w:pPr>
        <w:tabs>
          <w:tab w:val="num" w:pos="0"/>
        </w:tabs>
        <w:ind w:left="0" w:hanging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smallCaps w:val="false"/>
        <w:caps w:val="false"/>
        <w:dstrike w:val="false"/>
        <w:strike w:val="false"/>
        <w:sz w:val="24"/>
        <w:spacing w:val="0"/>
        <w:i w:val="false"/>
        <w:b w:val="false"/>
        <w:kern w:val="0"/>
        <w:szCs w:val="24"/>
        <w:iCs w:val="false"/>
        <w:bCs w:val="false"/>
        <w:w w:val="100"/>
        <w:vanish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644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6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b w:val="false"/>
        <w:rFonts w:ascii="Arial Narrow" w:hAnsi="Arial Narrow"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7"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i w:val="false"/>
        <w:b w:val="false"/>
        <w:iCs w:val="false"/>
        <w:bCs w:val="false"/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</w:numbering>
</file>

<file path=word/settings.xml><?xml version="1.0" encoding="utf-8"?>
<w:settings xmlns:w="http://schemas.openxmlformats.org/wordprocessingml/2006/main">
  <w:zoom w:percent="11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Mangal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bidi w:val="0"/>
    </w:pPr>
    <w:rPr>
      <w:rFonts w:ascii="Liberation Serif" w:hAnsi="Liberation Serif" w:eastAsia="NSimSun" w:cs="Mangal"/>
      <w:color w:val="auto"/>
      <w:kern w:val="2"/>
      <w:sz w:val="24"/>
      <w:szCs w:val="24"/>
      <w:lang w:val="sk-SK" w:eastAsia="zh-CN" w:bidi="hi-IN"/>
    </w:rPr>
  </w:style>
  <w:style w:type="paragraph" w:styleId="Nadpis2">
    <w:name w:val="Heading 2"/>
    <w:basedOn w:val="Normalpodnadpis"/>
    <w:next w:val="Normalpodnadpis"/>
    <w:qFormat/>
    <w:pPr>
      <w:keepNext w:val="true"/>
      <w:spacing w:before="240" w:after="60"/>
      <w:outlineLvl w:val="1"/>
    </w:pPr>
    <w:rPr>
      <w:b/>
      <w:bCs/>
      <w:i/>
      <w:iCs/>
      <w:sz w:val="28"/>
      <w:szCs w:val="28"/>
    </w:rPr>
  </w:style>
  <w:style w:type="character" w:styleId="DefaultParagraphFont">
    <w:name w:val="Default Paragraph Font"/>
    <w:qFormat/>
    <w:rPr/>
  </w:style>
  <w:style w:type="character" w:styleId="Nadpis1CharNadpisopatrenia1Char">
    <w:name w:val="Nadpis 1 Char,Nadpis opatrenia  1 Char"/>
    <w:basedOn w:val="DefaultParagraphFont"/>
    <w:qFormat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styleId="TltlnzovChar115ptAntiqueOliveNiejeTun">
    <w:name w:val="Štýl Štýl § názov Char + 115 pt + Antique Olive Nie je Tučné"/>
    <w:basedOn w:val="DefaultParagraphFont"/>
    <w:qFormat/>
    <w:rPr>
      <w:rFonts w:ascii="Arial" w:hAnsi="Arial"/>
      <w:b/>
      <w:bCs/>
      <w:szCs w:val="20"/>
      <w:lang w:eastAsia="sk-SK"/>
    </w:rPr>
  </w:style>
  <w:style w:type="character" w:styleId="PtaChar">
    <w:name w:val="Päta Char"/>
    <w:basedOn w:val="DefaultParagraphFont"/>
    <w:qFormat/>
    <w:rPr>
      <w:rFonts w:ascii="Arial" w:hAnsi="Arial"/>
      <w:sz w:val="24"/>
    </w:rPr>
  </w:style>
  <w:style w:type="character" w:styleId="Pagenumber">
    <w:name w:val="page number"/>
    <w:basedOn w:val="DefaultParagraphFont"/>
    <w:qFormat/>
    <w:rPr>
      <w:rFonts w:ascii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qFormat/>
    <w:rPr>
      <w:rFonts w:ascii="Times New Roman" w:hAnsi="Times New Roman" w:cs="Times New Roman"/>
      <w:b/>
      <w:bCs/>
      <w:sz w:val="24"/>
      <w:szCs w:val="24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</w:rPr>
  </w:style>
  <w:style w:type="character" w:styleId="HlavikaChar">
    <w:name w:val="Hlavička Char"/>
    <w:basedOn w:val="DefaultParagraphFont"/>
    <w:qFormat/>
    <w:rPr>
      <w:sz w:val="24"/>
    </w:rPr>
  </w:style>
  <w:style w:type="character" w:styleId="Annotationreference">
    <w:name w:val="annotation reference"/>
    <w:basedOn w:val="DefaultParagraphFont"/>
    <w:qFormat/>
    <w:rPr>
      <w:rFonts w:ascii="Times New Roman" w:hAnsi="Times New Roman" w:cs="Times New Roman"/>
      <w:sz w:val="16"/>
      <w:szCs w:val="16"/>
    </w:rPr>
  </w:style>
  <w:style w:type="character" w:styleId="TextkomentraChar">
    <w:name w:val="Text komentára Char"/>
    <w:basedOn w:val="DefaultParagraphFont"/>
    <w:qFormat/>
    <w:rPr>
      <w:sz w:val="24"/>
      <w:szCs w:val="24"/>
    </w:rPr>
  </w:style>
  <w:style w:type="character" w:styleId="PredmetkomentraChar">
    <w:name w:val="Predmet komentára Char"/>
    <w:basedOn w:val="TextkomentraChar"/>
    <w:qFormat/>
    <w:rPr>
      <w:b/>
      <w:bCs/>
      <w:sz w:val="24"/>
      <w:szCs w:val="24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Mangal"/>
    </w:rPr>
  </w:style>
  <w:style w:type="paragraph" w:styleId="Normalpodnadpis">
    <w:name w:val="Normal,podnadpis"/>
    <w:qFormat/>
    <w:pPr>
      <w:widowControl/>
      <w:bidi w:val="0"/>
      <w:spacing w:lineRule="auto" w:line="360" w:before="120" w:after="120"/>
      <w:jc w:val="both"/>
      <w:textAlignment w:val="auto"/>
    </w:pPr>
    <w:rPr>
      <w:rFonts w:ascii="Arial Narrow" w:hAnsi="Arial Narrow" w:eastAsia="Cambria Math" w:cs="Arial"/>
      <w:color w:val="auto"/>
      <w:kern w:val="2"/>
      <w:sz w:val="20"/>
      <w:szCs w:val="24"/>
      <w:lang w:val="sk-SK" w:eastAsia="cs-CZ" w:bidi="ar-SA"/>
    </w:rPr>
  </w:style>
  <w:style w:type="paragraph" w:styleId="Heading1Nadpisopatrenia1">
    <w:name w:val="heading 1,Nadpis opatrenia  1"/>
    <w:basedOn w:val="Normalpodnadpis"/>
    <w:qFormat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b/>
      <w:bCs/>
      <w:lang w:eastAsia="sk-SK"/>
    </w:rPr>
  </w:style>
  <w:style w:type="paragraph" w:styleId="NormalTable">
    <w:name w:val="Normal Table"/>
    <w:qFormat/>
    <w:pPr>
      <w:widowControl/>
      <w:bidi w:val="0"/>
      <w:jc w:val="left"/>
      <w:textAlignment w:val="auto"/>
    </w:pPr>
    <w:rPr>
      <w:rFonts w:ascii="Times New Roman" w:hAnsi="Times New Roman" w:eastAsia="Cambria Math" w:cs="Times New Roman"/>
      <w:color w:val="auto"/>
      <w:kern w:val="2"/>
      <w:sz w:val="20"/>
      <w:szCs w:val="20"/>
      <w:lang w:val="sk-SK" w:eastAsia="sk-SK" w:bidi="ar-SA"/>
    </w:rPr>
  </w:style>
  <w:style w:type="paragraph" w:styleId="Tl11ptTuniernaPodaokrajaVavo019cmRiadkova">
    <w:name w:val="Štýl 11 pt Tučné Čierna Podľa okraja Vľavo:  019 cm Riadkova..."/>
    <w:next w:val="Normalpodnadpis"/>
    <w:qFormat/>
    <w:pPr>
      <w:widowControl/>
      <w:bidi w:val="0"/>
      <w:spacing w:lineRule="auto" w:line="360"/>
      <w:jc w:val="both"/>
      <w:textAlignment w:val="auto"/>
    </w:pPr>
    <w:rPr>
      <w:rFonts w:ascii="Arial" w:hAnsi="Arial" w:eastAsia="Cambria Math" w:cs="Arial"/>
      <w:color w:val="000000"/>
      <w:kern w:val="2"/>
      <w:sz w:val="24"/>
      <w:szCs w:val="24"/>
      <w:lang w:val="sk-SK" w:eastAsia="cs-CZ" w:bidi="ar-SA"/>
    </w:rPr>
  </w:style>
  <w:style w:type="paragraph" w:styleId="TlPodaokrajaVavo019cmRiadkovanie15riadka">
    <w:name w:val="Štýl Podľa okraja Vľavo:  019 cm Riadkovanie:  15 riadka"/>
    <w:basedOn w:val="Normalpodnadpis"/>
    <w:autoRedefine/>
    <w:qFormat/>
    <w:pPr>
      <w:ind w:left="108" w:hanging="0"/>
    </w:pPr>
    <w:rPr/>
  </w:style>
  <w:style w:type="paragraph" w:styleId="Bododvodnenie">
    <w:name w:val="Bod odôvodnenie"/>
    <w:qFormat/>
    <w:pPr>
      <w:widowControl/>
      <w:numPr>
        <w:ilvl w:val="0"/>
        <w:numId w:val="2"/>
      </w:numPr>
      <w:tabs>
        <w:tab w:val="clear" w:pos="709"/>
        <w:tab w:val="left" w:pos="0" w:leader="none"/>
      </w:tabs>
      <w:bidi w:val="0"/>
      <w:spacing w:before="120" w:after="120"/>
      <w:jc w:val="left"/>
      <w:textAlignment w:val="auto"/>
    </w:pPr>
    <w:rPr>
      <w:rFonts w:ascii="Arial" w:hAnsi="Arial" w:eastAsia="Cambria Math" w:cs="Arial"/>
      <w:b/>
      <w:bCs/>
      <w:color w:val="auto"/>
      <w:kern w:val="2"/>
      <w:sz w:val="24"/>
      <w:szCs w:val="24"/>
      <w:lang w:val="sk-SK" w:eastAsia="cs-CZ" w:bidi="ar-SA"/>
    </w:rPr>
  </w:style>
  <w:style w:type="paragraph" w:styleId="TlArialPodaokraja">
    <w:name w:val="Štýl Arial Podľa okraja"/>
    <w:autoRedefine/>
    <w:qFormat/>
    <w:pPr>
      <w:widowControl/>
      <w:bidi w:val="0"/>
      <w:jc w:val="both"/>
      <w:textAlignment w:val="auto"/>
    </w:pPr>
    <w:rPr>
      <w:rFonts w:ascii="Arial" w:hAnsi="Arial" w:eastAsia="Cambria Math" w:cs="Arial"/>
      <w:color w:val="auto"/>
      <w:kern w:val="2"/>
      <w:sz w:val="16"/>
      <w:szCs w:val="16"/>
      <w:lang w:val="sk-SK" w:eastAsia="cs-CZ" w:bidi="ar-SA"/>
    </w:rPr>
  </w:style>
  <w:style w:type="paragraph" w:styleId="Textpoznmky">
    <w:name w:val="Text poznámky"/>
    <w:basedOn w:val="Normalpodnadpis"/>
    <w:autoRedefine/>
    <w:qFormat/>
    <w:pPr>
      <w:numPr>
        <w:ilvl w:val="0"/>
        <w:numId w:val="3"/>
      </w:numPr>
      <w:tabs>
        <w:tab w:val="clear" w:pos="709"/>
        <w:tab w:val="left" w:pos="0" w:leader="none"/>
      </w:tabs>
      <w:spacing w:lineRule="auto" w:line="240"/>
    </w:pPr>
    <w:rPr/>
  </w:style>
  <w:style w:type="paragraph" w:styleId="TableGrid">
    <w:name w:val="Table Grid"/>
    <w:basedOn w:val="NormalTable"/>
    <w:qFormat/>
    <w:pPr>
      <w:pBdr/>
      <w:spacing w:lineRule="auto" w:line="240" w:before="0" w:after="0"/>
      <w:jc w:val="left"/>
    </w:pPr>
    <w:rPr>
      <w:rFonts w:ascii="Arial" w:hAnsi="Arial"/>
      <w:szCs w:val="20"/>
      <w:lang w:eastAsia="sk-SK"/>
    </w:rPr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podnadpis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Normlny1">
    <w:name w:val="Normálny1"/>
    <w:next w:val="Normalpodnadpis"/>
    <w:qFormat/>
    <w:pPr>
      <w:widowControl/>
      <w:bidi w:val="0"/>
      <w:spacing w:lineRule="auto" w:line="360" w:before="120" w:after="120"/>
      <w:ind w:firstLine="709"/>
      <w:jc w:val="both"/>
      <w:textAlignment w:val="auto"/>
    </w:pPr>
    <w:rPr>
      <w:rFonts w:ascii="Arial" w:hAnsi="Arial" w:eastAsia="Cambria Math" w:cs="Arial"/>
      <w:color w:val="auto"/>
      <w:kern w:val="2"/>
      <w:sz w:val="24"/>
      <w:szCs w:val="24"/>
      <w:lang w:val="sk-SK" w:eastAsia="cs-CZ" w:bidi="ar-SA"/>
    </w:rPr>
  </w:style>
  <w:style w:type="paragraph" w:styleId="Textopatrenia">
    <w:name w:val="Text opatrenia"/>
    <w:qFormat/>
    <w:pPr>
      <w:widowControl/>
      <w:numPr>
        <w:ilvl w:val="0"/>
        <w:numId w:val="4"/>
      </w:numPr>
      <w:tabs>
        <w:tab w:val="clear" w:pos="709"/>
        <w:tab w:val="left" w:pos="1440" w:leader="none"/>
      </w:tabs>
      <w:bidi w:val="0"/>
      <w:spacing w:before="120" w:after="120"/>
      <w:ind w:left="1440" w:hanging="360"/>
      <w:jc w:val="both"/>
      <w:textAlignment w:val="auto"/>
    </w:pPr>
    <w:rPr>
      <w:rFonts w:ascii="Arial Narrow" w:hAnsi="Arial Narrow" w:eastAsia="Cambria Math" w:cs="Arial"/>
      <w:color w:val="auto"/>
      <w:kern w:val="2"/>
      <w:sz w:val="22"/>
      <w:szCs w:val="22"/>
      <w:lang w:val="sk-SK" w:eastAsia="cs-CZ" w:bidi="ar-SA"/>
    </w:rPr>
  </w:style>
  <w:style w:type="paragraph" w:styleId="TopHeader">
    <w:name w:val="Top Header"/>
    <w:basedOn w:val="Normalpodnadpis"/>
    <w:qFormat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podnadpis"/>
    <w:qFormat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Zhlavie">
    <w:name w:val="Header"/>
    <w:basedOn w:val="Normalpodnadpis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Annotationtext">
    <w:name w:val="annotation text"/>
    <w:basedOn w:val="Normalpodnadpis"/>
    <w:qFormat/>
    <w:pPr/>
    <w:rPr>
      <w:szCs w:val="20"/>
    </w:rPr>
  </w:style>
  <w:style w:type="paragraph" w:styleId="Annotationsubject">
    <w:name w:val="annotation subject"/>
    <w:basedOn w:val="Annotationtext"/>
    <w:next w:val="Annotationtext"/>
    <w:qFormat/>
    <w:pPr/>
    <w:rPr>
      <w:b/>
      <w:bCs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oter" Target="footer2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35</TotalTime>
  <Application>LibreOffice/7.5.0.3$Windows_X86_64 LibreOffice_project/c21113d003cd3efa8c53188764377a8272d9d6de</Application>
  <AppVersion>15.0000</AppVersion>
  <Pages>4</Pages>
  <Words>821</Words>
  <Characters>5000</Characters>
  <CharactersWithSpaces>5725</CharactersWithSpaces>
  <Paragraphs>110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2022-01-25T09:15:00Z</dcterms:created>
  <dc:creator>jvrskova</dc:creator>
  <dc:description/>
  <dc:language>sk-SK</dc:language>
  <cp:lastModifiedBy/>
  <cp:lastPrinted>2021-09-13T09:31:00Z</cp:lastPrinted>
  <dcterms:modified xsi:type="dcterms:W3CDTF">2023-06-29T00:25:46Z</dcterms:modified>
  <cp:revision>3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Salkovicova Ingrid</vt:lpwstr>
  </property>
</Properties>
</file>