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06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664"/>
        <w:gridCol w:w="340"/>
        <w:gridCol w:w="341"/>
        <w:gridCol w:w="339"/>
        <w:gridCol w:w="340"/>
        <w:gridCol w:w="341"/>
        <w:gridCol w:w="340"/>
        <w:gridCol w:w="339"/>
        <w:gridCol w:w="340"/>
        <w:gridCol w:w="341"/>
        <w:gridCol w:w="340"/>
        <w:gridCol w:w="339"/>
        <w:gridCol w:w="340"/>
      </w:tblGrid>
      <w:tr>
        <w:trPr/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outlineLvl w:val="2"/>
              <w:rPr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120"/>
              <w:ind w:left="0" w:right="0" w:hanging="0"/>
              <w:jc w:val="right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keepNext w:val="tru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2"/>
        <w:rPr/>
      </w:pPr>
      <w:r>
        <w:rPr>
          <w:b/>
          <w:bCs/>
          <w:sz w:val="22"/>
          <w:szCs w:val="22"/>
        </w:rPr>
        <w:t>Čl. 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Všeobecné informácie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(1) </w:t>
      </w:r>
      <w:r>
        <w:rPr>
          <w:sz w:val="22"/>
          <w:szCs w:val="22"/>
        </w:rPr>
        <w:t>Názov a sídlo OZ: Štyria mušketieri, Štúrova 34/6, 017 01 Považská Bystrica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(2) </w:t>
      </w:r>
      <w:r>
        <w:rPr>
          <w:sz w:val="22"/>
          <w:szCs w:val="22"/>
        </w:rPr>
        <w:t>Predseda správnej rady: JUDr. Lucia Bajzová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(3) Opis činnosti, na účel ktorej bola účtovná jednotka zriadená a opis druhu podnikateľskej činnosti, ak ju účtovná jednotka vykonáva: </w:t>
      </w:r>
      <w:r>
        <w:rPr>
          <w:sz w:val="22"/>
          <w:szCs w:val="22"/>
        </w:rPr>
        <w:t>Pomoc rodinám a deťom trpiacim Duchennovou muskulárnou dystrofiou. Ďakujeme, že ste s nami, a že nám pomáhate naplniť sny chlapcov, ktorých telíčka sužuje DMD.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(4) Počet zamestnancov </w:t>
      </w:r>
      <w:r>
        <w:rPr>
          <w:sz w:val="22"/>
          <w:szCs w:val="22"/>
        </w:rPr>
        <w:t>0</w:t>
      </w:r>
    </w:p>
    <w:p>
      <w:pPr>
        <w:pStyle w:val="Normalpodnadpis"/>
        <w:bidi w:val="0"/>
        <w:spacing w:before="0" w:after="120"/>
        <w:ind w:left="0" w:right="0" w:hanging="0"/>
        <w:rPr>
          <w:sz w:val="22"/>
          <w:szCs w:val="22"/>
        </w:rPr>
      </w:pPr>
      <w:r>
        <w:rPr/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0"/>
        <w:rPr/>
      </w:pPr>
      <w:r>
        <w:rPr>
          <w:b/>
          <w:bCs/>
          <w:kern w:val="2"/>
          <w:sz w:val="22"/>
          <w:szCs w:val="22"/>
        </w:rPr>
        <w:t>Čl. II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(1) </w:t>
      </w:r>
      <w:r>
        <w:rPr>
          <w:sz w:val="22"/>
          <w:szCs w:val="22"/>
        </w:rPr>
        <w:t>Účtovná závierka zostavená za splnenia predpokladu nepretržitého pokračovania činnosti účtovnej jednotky.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(2) Zmeny účtov</w:t>
      </w:r>
      <w:r>
        <w:rPr>
          <w:sz w:val="22"/>
          <w:szCs w:val="22"/>
        </w:rPr>
        <w:t>o</w:t>
      </w:r>
      <w:r>
        <w:rPr>
          <w:sz w:val="22"/>
          <w:szCs w:val="22"/>
        </w:rPr>
        <w:t xml:space="preserve">ých zásad a zmeny účtovných metód </w:t>
      </w:r>
      <w:r>
        <w:rPr>
          <w:sz w:val="22"/>
          <w:szCs w:val="22"/>
        </w:rPr>
        <w:t>nenastali.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(3) Spôsoby ocenenia jednotlivých položiek majetku a záväzkov. </w:t>
      </w:r>
      <w:r>
        <w:rPr>
          <w:sz w:val="22"/>
          <w:szCs w:val="22"/>
        </w:rPr>
        <w:t>Majetok aj záväzky sa oceňujú obstarávacou cenou.</w:t>
      </w:r>
    </w:p>
    <w:p>
      <w:pPr>
        <w:pStyle w:val="Normalpodnadpis"/>
        <w:bidi w:val="0"/>
        <w:spacing w:before="0" w:after="240"/>
        <w:ind w:left="0" w:right="0" w:hanging="0"/>
        <w:rPr/>
      </w:pPr>
      <w:r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1019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2549"/>
        <w:gridCol w:w="2549"/>
        <w:gridCol w:w="2548"/>
      </w:tblGrid>
      <w:tr>
        <w:trPr>
          <w:trHeight w:val="416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keepNext w:val="true"/>
              <w:tabs>
                <w:tab w:val="clear" w:pos="709"/>
              </w:tabs>
              <w:bidi w:val="0"/>
              <w:spacing w:before="0" w:after="24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keepNext w:val="true"/>
              <w:tabs>
                <w:tab w:val="clear" w:pos="709"/>
              </w:tabs>
              <w:bidi w:val="0"/>
              <w:spacing w:before="0" w:after="24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keepNext w:val="true"/>
              <w:tabs>
                <w:tab w:val="clear" w:pos="709"/>
              </w:tabs>
              <w:bidi w:val="0"/>
              <w:spacing w:before="0" w:after="24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keepNext w:val="true"/>
              <w:tabs>
                <w:tab w:val="clear" w:pos="709"/>
              </w:tabs>
              <w:bidi w:val="0"/>
              <w:spacing w:before="0" w:after="24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>
        <w:trPr>
          <w:trHeight w:val="374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 prístroje a zariadenia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>
        <w:trPr>
          <w:trHeight w:val="374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(5) </w:t>
      </w:r>
      <w:r>
        <w:rPr>
          <w:sz w:val="22"/>
          <w:szCs w:val="22"/>
        </w:rPr>
        <w:t>Ú</w:t>
      </w:r>
      <w:r>
        <w:rPr>
          <w:sz w:val="22"/>
          <w:szCs w:val="22"/>
        </w:rPr>
        <w:t xml:space="preserve">čtovná jednotka </w:t>
      </w:r>
      <w:r>
        <w:rPr>
          <w:sz w:val="22"/>
          <w:szCs w:val="22"/>
        </w:rPr>
        <w:t>ne</w:t>
      </w:r>
      <w:r>
        <w:rPr>
          <w:sz w:val="22"/>
          <w:szCs w:val="22"/>
        </w:rPr>
        <w:t>uplatňuje opravné položky a rezervy.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0"/>
        <w:rPr>
          <w:b/>
          <w:bCs/>
          <w:kern w:val="2"/>
          <w:sz w:val="22"/>
          <w:szCs w:val="22"/>
        </w:rPr>
      </w:pPr>
      <w:r>
        <w:rPr/>
      </w:r>
    </w:p>
    <w:p>
      <w:pPr>
        <w:pStyle w:val="Normalpodnadpis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0"/>
        <w:rPr/>
      </w:pPr>
      <w:r>
        <w:rPr>
          <w:b/>
          <w:bCs/>
          <w:kern w:val="2"/>
          <w:sz w:val="22"/>
          <w:szCs w:val="22"/>
        </w:rPr>
        <w:t>Čl. III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pStyle w:val="Normalpodnadpis"/>
        <w:numPr>
          <w:ilvl w:val="0"/>
          <w:numId w:val="5"/>
        </w:numPr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 roku 2022 bol obstaraný</w:t>
      </w:r>
      <w:r>
        <w:rPr>
          <w:sz w:val="22"/>
          <w:szCs w:val="22"/>
        </w:rPr>
        <w:t> dlhodob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hmotn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majet</w:t>
      </w:r>
      <w:r>
        <w:rPr>
          <w:sz w:val="22"/>
          <w:szCs w:val="22"/>
        </w:rPr>
        <w:t>o</w:t>
      </w:r>
      <w:r>
        <w:rPr>
          <w:sz w:val="22"/>
          <w:szCs w:val="22"/>
        </w:rPr>
        <w:t>k.</w:t>
      </w:r>
    </w:p>
    <w:p>
      <w:pPr>
        <w:pStyle w:val="Normalpodnadpis"/>
        <w:keepNext w:val="true"/>
        <w:numPr>
          <w:ilvl w:val="0"/>
          <w:numId w:val="5"/>
        </w:numPr>
        <w:bidi w:val="0"/>
        <w:ind w:left="0" w:right="0" w:hanging="0"/>
        <w:rPr/>
      </w:pPr>
      <w:r>
        <w:rPr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9890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5245"/>
      </w:tblGrid>
      <w:tr>
        <w:trPr>
          <w:trHeight w:val="765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keepNext w:val="tru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keepNext w:val="tru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18722</w:t>
            </w:r>
          </w:p>
        </w:tc>
      </w:tr>
      <w:tr>
        <w:trPr>
          <w:trHeight w:val="330" w:hRule="atLeast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18722</w:t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0"/>
        </w:numPr>
        <w:bidi w:val="0"/>
        <w:ind w:left="0" w:right="0" w:hanging="0"/>
        <w:rPr>
          <w:b/>
          <w:bCs/>
          <w:kern w:val="2"/>
          <w:sz w:val="22"/>
          <w:szCs w:val="22"/>
        </w:rPr>
      </w:pPr>
      <w:r>
        <w:rPr/>
      </w:r>
    </w:p>
    <w:p>
      <w:pPr>
        <w:pStyle w:val="Normalpodnadpis"/>
        <w:bidi w:val="0"/>
        <w:ind w:left="0" w:right="0" w:hanging="0"/>
        <w:rPr>
          <w:b/>
          <w:bCs/>
          <w:kern w:val="2"/>
          <w:sz w:val="22"/>
          <w:szCs w:val="22"/>
        </w:rPr>
      </w:pPr>
      <w:r>
        <w:rPr/>
      </w:r>
    </w:p>
    <w:p>
      <w:pPr>
        <w:pStyle w:val="Normalpodnadpis"/>
        <w:bidi w:val="0"/>
        <w:ind w:left="0" w:right="0" w:hanging="0"/>
        <w:jc w:val="center"/>
        <w:rPr/>
      </w:pPr>
      <w:r>
        <w:rPr>
          <w:b/>
          <w:bCs/>
          <w:kern w:val="2"/>
          <w:sz w:val="22"/>
          <w:szCs w:val="22"/>
        </w:rPr>
        <w:t>Čl. IV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tbl>
      <w:tblPr>
        <w:tblW w:w="10014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2"/>
        <w:gridCol w:w="2455"/>
        <w:gridCol w:w="2727"/>
      </w:tblGrid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</w:t>
            </w: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</w:tr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organizácií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2670</w:t>
            </w:r>
          </w:p>
        </w:tc>
      </w:tr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fyzických osôb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3658</w:t>
            </w:r>
          </w:p>
        </w:tc>
      </w:tr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daní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13564,35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16243,16</w:t>
            </w:r>
          </w:p>
        </w:tc>
      </w:tr>
    </w:tbl>
    <w:p>
      <w:pPr>
        <w:pStyle w:val="Normalpodnadpis"/>
        <w:keepNext w:val="true"/>
        <w:numPr>
          <w:ilvl w:val="0"/>
          <w:numId w:val="6"/>
        </w:numPr>
        <w:bidi w:val="0"/>
        <w:spacing w:before="240" w:after="120"/>
        <w:ind w:left="284" w:right="0" w:hanging="284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10014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2"/>
        <w:gridCol w:w="2809"/>
        <w:gridCol w:w="2373"/>
      </w:tblGrid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6"/>
        </w:numPr>
        <w:bidi w:val="0"/>
        <w:spacing w:before="240" w:after="120"/>
        <w:ind w:left="284" w:right="0" w:hanging="284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8"/>
        <w:gridCol w:w="2240"/>
        <w:gridCol w:w="2268"/>
      </w:tblGrid>
      <w:tr>
        <w:trPr/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>
        <w:trPr>
          <w:trHeight w:val="397" w:hRule="atLeast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Lieky a vitamínové doplnky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1409</w:t>
            </w:r>
          </w:p>
        </w:tc>
      </w:tr>
      <w:tr>
        <w:trPr>
          <w:trHeight w:val="397" w:hRule="atLeast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Rehabilitácie a ostatné služby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11198,71</w:t>
            </w:r>
          </w:p>
        </w:tc>
      </w:tr>
      <w:tr>
        <w:trPr>
          <w:trHeight w:val="397" w:hRule="atLeast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drobné výdaje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213,98</w:t>
            </w:r>
          </w:p>
        </w:tc>
      </w:tr>
      <w:tr>
        <w:trPr>
          <w:trHeight w:val="397" w:hRule="atLeast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0"/>
        <w:rPr/>
      </w:pPr>
      <w:r>
        <w:rPr>
          <w:b/>
          <w:bCs/>
          <w:kern w:val="2"/>
          <w:sz w:val="22"/>
          <w:szCs w:val="22"/>
        </w:rPr>
        <w:t>Čl. V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Opis údajov na podsúvahových účtoch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 – </w:t>
      </w:r>
      <w:r>
        <w:rPr>
          <w:sz w:val="22"/>
          <w:szCs w:val="22"/>
        </w:rPr>
        <w:t xml:space="preserve">neevidujeme.  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Čl. VI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Ďalšie informácie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 xml:space="preserve"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 - </w:t>
      </w:r>
      <w:r>
        <w:rPr/>
        <w:t>neevidujeme</w:t>
      </w:r>
      <w:r>
        <w:rPr/>
        <w:t>.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 - </w:t>
      </w:r>
      <w:r>
        <w:rPr>
          <w:lang w:eastAsia="sk-SK"/>
        </w:rPr>
        <w:t>neevidujeme</w:t>
      </w:r>
      <w:r>
        <w:rPr>
          <w:lang w:eastAsia="sk-SK"/>
        </w:rPr>
        <w:t xml:space="preserve">. 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>a) povinnosť z devízových termínovaných obchodov a iných finančných derivátov,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>b) povinnosť z opčných obchodov,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>c) zákonná povinnosť alebo zmluvná povinnosť odobrať určité produkty alebo služby, napríklad z dodávateľských zmlúv alebo odberateľských zmlúv,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>d) povinnosť z lízingových zmlúv, nájomných zmlúv, servisných zmlúv, poistných zmlúv, koncesionárskych zmlúv, licenčných zmlúv a podobných zmlúv,</w:t>
      </w:r>
    </w:p>
    <w:p>
      <w:pPr>
        <w:pStyle w:val="Textopatrenia"/>
        <w:numPr>
          <w:ilvl w:val="0"/>
          <w:numId w:val="0"/>
        </w:numPr>
        <w:bidi w:val="0"/>
        <w:ind w:left="0" w:right="0" w:hanging="0"/>
        <w:rPr/>
      </w:pPr>
      <w:r>
        <w:rPr/>
        <w:t xml:space="preserve">e) iné povinnosti - </w:t>
      </w:r>
      <w:r>
        <w:rPr/>
        <w:t>neevidujeme</w:t>
      </w:r>
      <w:r>
        <w:rPr/>
        <w:t>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(4) Prehľad nehnuteľných kultúrnych pamiatok, ktoré sú v správe alebo vo vlastníctve účtovnej jednotky, a to názov, adresa a číslo kultúrnej pamiatky v Ústrednom zozname pamiatkového fondu - </w:t>
      </w:r>
      <w:r>
        <w:rPr>
          <w:sz w:val="22"/>
          <w:szCs w:val="22"/>
        </w:rPr>
        <w:t>neevidujeme</w:t>
      </w:r>
      <w:r>
        <w:rPr>
          <w:sz w:val="22"/>
          <w:szCs w:val="22"/>
        </w:rPr>
        <w:t>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(5) Informácie o významných skutočnostiach, ktoré nastali medzi dňom, ku ktorému sa zostavuje účtovná závierka a dňom jej zostavenia - </w:t>
      </w:r>
      <w:r>
        <w:rPr>
          <w:sz w:val="22"/>
          <w:szCs w:val="22"/>
        </w:rPr>
        <w:t>neevidujeme</w:t>
      </w:r>
      <w:r>
        <w:rPr>
          <w:sz w:val="22"/>
          <w:szCs w:val="22"/>
        </w:rPr>
        <w:t>.</w:t>
      </w:r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993" w:right="851" w:gutter="0" w:header="709" w:top="851" w:footer="709" w:bottom="851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spacing w:lineRule="auto" w:line="360" w:before="120" w:after="120"/>
      <w:ind w:left="0" w:right="0" w:hanging="0"/>
      <w:jc w:val="right"/>
      <w:rPr/>
    </w:pPr>
    <w:r>
      <w:rPr/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4</w:t>
    </w:r>
    <w:r>
      <w:rPr>
        <w:lang w:eastAsia="sk-SK"/>
      </w:rPr>
      <w:fldChar w:fldCharType="end"/>
    </w:r>
  </w:p>
  <w:p>
    <w:pPr>
      <w:pStyle w:val="Pta"/>
      <w:tabs>
        <w:tab w:val="clear" w:pos="4536"/>
        <w:tab w:val="clear" w:pos="9072"/>
        <w:tab w:val="center" w:pos="5102" w:leader="none"/>
        <w:tab w:val="right" w:pos="10204" w:leader="none"/>
      </w:tabs>
      <w:bidi w:val="0"/>
      <w:spacing w:lineRule="auto" w:line="360" w:before="120" w:after="120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spacing w:lineRule="auto" w:line="360" w:before="120" w:after="120"/>
      <w:ind w:left="0" w:right="0" w:hanging="0"/>
      <w:jc w:val="right"/>
      <w:rPr/>
    </w:pPr>
    <w:r>
      <w:rPr/>
      <w:t>Strana 7</w:t>
    </w:r>
  </w:p>
  <w:p>
    <w:pPr>
      <w:pStyle w:val="Pta"/>
      <w:bidi w:val="0"/>
      <w:spacing w:lineRule="auto" w:line="360" w:before="120" w:after="12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spacing w:lineRule="auto" w:line="360" w:before="120" w:after="120"/>
      <w:ind w:left="0" w:right="0" w:hanging="0"/>
      <w:jc w:val="right"/>
      <w:rPr/>
    </w:pPr>
    <w:r>
      <w:rPr/>
    </w:r>
  </w:p>
  <w:p>
    <w:pPr>
      <w:pStyle w:val="Zhlavie"/>
      <w:bidi w:val="0"/>
      <w:spacing w:lineRule="auto" w:line="360" w:before="120" w:after="12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K bodu %1"/>
      <w:lvlJc w:val="left"/>
      <w:pPr>
        <w:tabs>
          <w:tab w:val="num" w:pos="0"/>
        </w:tabs>
        <w:ind w:left="0" w:hanging="0"/>
      </w:pPr>
      <w:rPr>
        <w:i w:val="false"/>
        <w:b/>
        <w:iCs w:val="false"/>
        <w:bCs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dstrike w:val="false"/>
        <w:strike w:val="false"/>
        <w:sz w:val="24"/>
        <w:spacing w:val="0"/>
        <w:i w:val="false"/>
        <w:b w:val="false"/>
        <w:kern w:val="0"/>
        <w:szCs w:val="24"/>
        <w:iCs w:val="false"/>
        <w:bCs w:val="false"/>
        <w:w w:val="100"/>
        <w:vanish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false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sk-SK" w:eastAsia="zh-CN" w:bidi="hi-IN"/>
    </w:rPr>
  </w:style>
  <w:style w:type="paragraph" w:styleId="Nadpis2">
    <w:name w:val="Heading 2"/>
    <w:basedOn w:val="Normalpodnadpis"/>
    <w:next w:val="Normalpodnadpis"/>
    <w:qFormat/>
    <w:pPr>
      <w:keepNext w:val="true"/>
      <w:spacing w:before="240" w:after="60"/>
      <w:outlineLvl w:val="1"/>
    </w:pPr>
    <w:rPr>
      <w:b/>
      <w:bCs/>
      <w:i/>
      <w:iCs/>
      <w:sz w:val="28"/>
      <w:szCs w:val="28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/>
      <w:b/>
      <w:bCs/>
      <w:szCs w:val="20"/>
      <w:lang w:eastAsia="sk-SK"/>
    </w:rPr>
  </w:style>
  <w:style w:type="character" w:styleId="PtaChar">
    <w:name w:val="Päta Char"/>
    <w:basedOn w:val="DefaultParagraphFont"/>
    <w:qFormat/>
    <w:rPr>
      <w:rFonts w:ascii="Arial" w:hAnsi="Arial"/>
      <w:sz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Pr>
      <w:rFonts w:ascii="Times New Roman" w:hAnsi="Times New Roman" w:cs="Times New Roman"/>
      <w:b/>
      <w:bCs/>
      <w:sz w:val="24"/>
      <w:szCs w:val="24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>
      <w:sz w:val="24"/>
    </w:rPr>
  </w:style>
  <w:style w:type="character" w:styleId="Annotationreference">
    <w:name w:val="annotation reference"/>
    <w:basedOn w:val="DefaultParagraphFont"/>
    <w:qFormat/>
    <w:rPr>
      <w:rFonts w:ascii="Times New Roman" w:hAnsi="Times New Roman" w:cs="Times New Roman"/>
      <w:sz w:val="16"/>
      <w:szCs w:val="16"/>
    </w:rPr>
  </w:style>
  <w:style w:type="character" w:styleId="TextkomentraChar">
    <w:name w:val="Text komentára Char"/>
    <w:basedOn w:val="DefaultParagraphFont"/>
    <w:qFormat/>
    <w:rPr>
      <w:sz w:val="24"/>
      <w:szCs w:val="24"/>
    </w:rPr>
  </w:style>
  <w:style w:type="character" w:styleId="PredmetkomentraChar">
    <w:name w:val="Predmet komentára Char"/>
    <w:basedOn w:val="TextkomentraChar"/>
    <w:qFormat/>
    <w:rPr>
      <w:b/>
      <w:bCs/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alpodnadpis">
    <w:name w:val="Normal,podnadpis"/>
    <w:qFormat/>
    <w:pPr>
      <w:widowControl/>
      <w:bidi w:val="0"/>
      <w:spacing w:lineRule="auto" w:line="360" w:before="120" w:after="120"/>
      <w:jc w:val="both"/>
      <w:textAlignment w:val="auto"/>
    </w:pPr>
    <w:rPr>
      <w:rFonts w:ascii="Arial Narrow" w:hAnsi="Arial Narrow" w:eastAsia="Cambria Math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b/>
      <w:bCs/>
      <w:lang w:eastAsia="sk-SK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sk-SK" w:eastAsia="sk-SK" w:bidi="ar-SA"/>
    </w:rPr>
  </w:style>
  <w:style w:type="paragraph" w:styleId="Tl11ptTuniernaPodaokrajaVavo019cmRiadkova">
    <w:name w:val="Štýl 11 pt Tučné Čierna Podľa okraja Vľavo:  019 cm Riadkova..."/>
    <w:next w:val="Normalpodnadpis"/>
    <w:qFormat/>
    <w:pPr>
      <w:widowControl/>
      <w:bidi w:val="0"/>
      <w:spacing w:lineRule="auto" w:line="360"/>
      <w:jc w:val="both"/>
      <w:textAlignment w:val="auto"/>
    </w:pPr>
    <w:rPr>
      <w:rFonts w:ascii="Arial" w:hAnsi="Arial" w:eastAsia="Cambria Math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ind w:left="108" w:hanging="0"/>
    </w:pPr>
    <w:rPr/>
  </w:style>
  <w:style w:type="paragraph" w:styleId="Bododvodnenie">
    <w:name w:val="Bod odôvodnenie"/>
    <w:qFormat/>
    <w:pPr>
      <w:widowControl/>
      <w:numPr>
        <w:ilvl w:val="0"/>
        <w:numId w:val="2"/>
      </w:numPr>
      <w:tabs>
        <w:tab w:val="clear" w:pos="709"/>
        <w:tab w:val="left" w:pos="0" w:leader="none"/>
      </w:tabs>
      <w:bidi w:val="0"/>
      <w:spacing w:before="120" w:after="120"/>
      <w:jc w:val="left"/>
      <w:textAlignment w:val="auto"/>
    </w:pPr>
    <w:rPr>
      <w:rFonts w:ascii="Arial" w:hAnsi="Arial" w:eastAsia="Cambria Math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bidi w:val="0"/>
      <w:jc w:val="both"/>
      <w:textAlignment w:val="auto"/>
    </w:pPr>
    <w:rPr>
      <w:rFonts w:ascii="Arial" w:hAnsi="Arial" w:eastAsia="Cambria Math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numPr>
        <w:ilvl w:val="0"/>
        <w:numId w:val="3"/>
      </w:numPr>
      <w:tabs>
        <w:tab w:val="clear" w:pos="709"/>
        <w:tab w:val="left" w:pos="0" w:leader="none"/>
      </w:tabs>
      <w:spacing w:lineRule="auto" w:line="240"/>
    </w:pPr>
    <w:rPr/>
  </w:style>
  <w:style w:type="paragraph" w:styleId="TableGrid">
    <w:name w:val="Table Grid"/>
    <w:basedOn w:val="NormalTable"/>
    <w:qFormat/>
    <w:pPr>
      <w:pBdr/>
      <w:spacing w:lineRule="auto" w:line="240" w:before="0" w:after="0"/>
      <w:jc w:val="left"/>
    </w:pPr>
    <w:rPr>
      <w:rFonts w:ascii="Arial" w:hAnsi="Arial"/>
      <w:szCs w:val="20"/>
      <w:lang w:eastAsia="sk-SK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podnadpis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y1">
    <w:name w:val="Normálny1"/>
    <w:next w:val="Normalpodnadpis"/>
    <w:qFormat/>
    <w:pPr>
      <w:widowControl/>
      <w:bidi w:val="0"/>
      <w:spacing w:lineRule="auto" w:line="360" w:before="120" w:after="120"/>
      <w:ind w:firstLine="709"/>
      <w:jc w:val="both"/>
      <w:textAlignment w:val="auto"/>
    </w:pPr>
    <w:rPr>
      <w:rFonts w:ascii="Arial" w:hAnsi="Arial" w:eastAsia="Cambria Math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numPr>
        <w:ilvl w:val="0"/>
        <w:numId w:val="4"/>
      </w:numPr>
      <w:tabs>
        <w:tab w:val="clear" w:pos="709"/>
        <w:tab w:val="left" w:pos="1440" w:leader="none"/>
      </w:tabs>
      <w:bidi w:val="0"/>
      <w:spacing w:before="120" w:after="120"/>
      <w:ind w:left="1440" w:hanging="360"/>
      <w:jc w:val="both"/>
      <w:textAlignment w:val="auto"/>
    </w:pPr>
    <w:rPr>
      <w:rFonts w:ascii="Arial Narrow" w:hAnsi="Arial Narrow" w:eastAsia="Cambria Math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podnadpis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ie">
    <w:name w:val="Header"/>
    <w:basedOn w:val="Normalpodnadpis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podnadpis"/>
    <w:qFormat/>
    <w:pPr/>
    <w:rPr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LibreOffice/7.5.0.3$Windows_X86_64 LibreOffice_project/c21113d003cd3efa8c53188764377a8272d9d6de</Application>
  <AppVersion>15.0000</AppVersion>
  <Pages>4</Pages>
  <Words>821</Words>
  <Characters>5000</Characters>
  <CharactersWithSpaces>5725</CharactersWithSpaces>
  <Paragraphs>110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2022-01-25T09:15:00Z</dcterms:created>
  <dc:creator>jvrskova</dc:creator>
  <dc:description/>
  <dc:language>sk-SK</dc:language>
  <cp:lastModifiedBy/>
  <cp:lastPrinted>2021-09-13T09:31:00Z</cp:lastPrinted>
  <dcterms:modified xsi:type="dcterms:W3CDTF">2023-06-29T00:25:46Z</dcterms:modified>
  <cp:revision>3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Salkovicova Ingrid</vt:lpwstr>
  </property>
</Properties>
</file>