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13D0" w:rsidRDefault="006F13D0">
      <w:pPr>
        <w:widowControl w:val="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tabs>
          <w:tab w:val="center" w:pos="3897"/>
          <w:tab w:val="left" w:pos="5811"/>
          <w:tab w:val="right" w:pos="7937"/>
        </w:tabs>
        <w:spacing w:after="120" w:line="100" w:lineRule="atLeast"/>
        <w:ind w:left="-142" w:right="142"/>
        <w:jc w:val="center"/>
        <w:rPr>
          <w:rFonts w:ascii="Arial" w:hAnsi="Arial" w:cs="Arial"/>
          <w:color w:val="000000"/>
          <w:sz w:val="24"/>
          <w:szCs w:val="24"/>
        </w:rPr>
      </w:pPr>
      <w:bookmarkStart w:id="0" w:name="_GoBack"/>
      <w:bookmarkEnd w:id="0"/>
    </w:p>
    <w:p w:rsidR="006F13D0" w:rsidRDefault="0021380B">
      <w:pPr>
        <w:widowControl w:val="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tabs>
          <w:tab w:val="center" w:pos="3897"/>
          <w:tab w:val="left" w:pos="5811"/>
          <w:tab w:val="right" w:pos="7937"/>
        </w:tabs>
        <w:spacing w:after="120" w:line="100" w:lineRule="atLeast"/>
        <w:ind w:left="-142" w:right="142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POZNÁMKY K ÚČTOVNEJ ZÁVIERKE  ZOSTAVENEJ K 31. decembru 2022</w:t>
      </w:r>
    </w:p>
    <w:p w:rsidR="006F13D0" w:rsidRDefault="0021380B">
      <w:pPr>
        <w:widowControl w:val="0"/>
        <w:tabs>
          <w:tab w:val="left" w:pos="3375"/>
        </w:tabs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ab/>
      </w: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I. VŠEOBECNÉ INFORMÁCIE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(1)  Informácie o účtovnej jednotke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200" w:line="276" w:lineRule="auto"/>
        <w:rPr>
          <w:rFonts w:ascii="Calibri" w:hAnsi="Calibri" w:cs="Calibri"/>
          <w:color w:val="000000"/>
        </w:rPr>
      </w:pPr>
      <w:r>
        <w:rPr>
          <w:rFonts w:cs="Calibri"/>
          <w:color w:val="000000"/>
          <w:sz w:val="20"/>
          <w:szCs w:val="20"/>
        </w:rPr>
        <w:t>a) Základné informácie o účtovnej jednotke:</w:t>
      </w:r>
    </w:p>
    <w:tbl>
      <w:tblPr>
        <w:tblW w:w="9266" w:type="dxa"/>
        <w:tblInd w:w="98" w:type="dxa"/>
        <w:tblLayout w:type="fixed"/>
        <w:tblLook w:val="0000" w:firstRow="0" w:lastRow="0" w:firstColumn="0" w:lastColumn="0" w:noHBand="0" w:noVBand="0"/>
      </w:tblPr>
      <w:tblGrid>
        <w:gridCol w:w="2765"/>
        <w:gridCol w:w="6501"/>
      </w:tblGrid>
      <w:tr w:rsidR="006F13D0">
        <w:trPr>
          <w:trHeight w:val="336"/>
        </w:trPr>
        <w:tc>
          <w:tcPr>
            <w:tcW w:w="27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 xml:space="preserve">Mebachel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</w:rPr>
              <w:t>s.r.o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</w:rPr>
              <w:t>.</w:t>
            </w:r>
          </w:p>
        </w:tc>
      </w:tr>
      <w:tr w:rsidR="006F13D0">
        <w:trPr>
          <w:trHeight w:val="336"/>
        </w:trPr>
        <w:tc>
          <w:tcPr>
            <w:tcW w:w="27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Trstín 384, 919 05 Trstín</w:t>
            </w:r>
          </w:p>
        </w:tc>
      </w:tr>
      <w:tr w:rsidR="006F13D0">
        <w:trPr>
          <w:trHeight w:val="336"/>
        </w:trPr>
        <w:tc>
          <w:tcPr>
            <w:tcW w:w="27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sz w:val="20"/>
                <w:szCs w:val="20"/>
              </w:rPr>
              <w:t>3.mája 2005</w:t>
            </w:r>
          </w:p>
        </w:tc>
      </w:tr>
      <w:tr w:rsidR="006F13D0">
        <w:trPr>
          <w:trHeight w:val="336"/>
        </w:trPr>
        <w:tc>
          <w:tcPr>
            <w:tcW w:w="27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bottom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18.mája 2005</w:t>
            </w:r>
          </w:p>
        </w:tc>
      </w:tr>
    </w:tbl>
    <w:p w:rsidR="006F13D0" w:rsidRDefault="006F13D0">
      <w:pPr>
        <w:widowControl w:val="0"/>
        <w:spacing w:after="200" w:line="276" w:lineRule="auto"/>
        <w:ind w:left="720"/>
        <w:rPr>
          <w:rFonts w:ascii="Calibri" w:hAnsi="Calibri" w:cs="Calibri"/>
          <w:color w:val="000000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Calibri" w:hAnsi="Calibri" w:cs="Calibri"/>
          <w:color w:val="000000"/>
        </w:rPr>
      </w:pPr>
      <w:r>
        <w:rPr>
          <w:rFonts w:cs="Calibri"/>
          <w:color w:val="000000"/>
          <w:sz w:val="20"/>
          <w:szCs w:val="20"/>
        </w:rPr>
        <w:t>b) Opis hospodárskej činnosti účtovnej jednotky:</w:t>
      </w:r>
    </w:p>
    <w:p w:rsidR="006F13D0" w:rsidRDefault="006F13D0">
      <w:pPr>
        <w:widowControl w:val="0"/>
        <w:spacing w:after="0" w:line="100" w:lineRule="atLeast"/>
        <w:jc w:val="both"/>
        <w:rPr>
          <w:rFonts w:ascii="Calibri" w:hAnsi="Calibri" w:cs="Calibri"/>
          <w:color w:val="000000"/>
        </w:rPr>
      </w:pP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kúpa tovaru na účely jeho predaja konečnému spotrebiteľovi (maloobchod) v rozsahu voľnej živnosti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 xml:space="preserve">kúpa tovaru na účely jeho predaja iným prevádzkovateľom živnosti </w:t>
      </w:r>
      <w:r>
        <w:rPr>
          <w:rFonts w:cs="Calibri"/>
          <w:color w:val="000000"/>
          <w:sz w:val="20"/>
          <w:szCs w:val="20"/>
        </w:rPr>
        <w:t>(veľkoobchod) v rozsahu voľnej živnosti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sprostredkovateľská činnosť v rozsahu voľnej živnosti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prenájom motorových vozidiel a prívesných vozíkov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prenájom strojov a prístrojov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prenájom garáží a odstavných plôch pre motorové vozidlá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skladovanie, manipulácia s</w:t>
      </w:r>
      <w:r>
        <w:rPr>
          <w:rFonts w:cs="Calibri"/>
          <w:color w:val="000000"/>
          <w:sz w:val="20"/>
          <w:szCs w:val="20"/>
        </w:rPr>
        <w:t xml:space="preserve"> tovarom v rozsahu voľnej živnosti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prenájom nehnuteľností vrátane poskytovania základných a doplnkových činností (čistenie, upratovanie)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nákladná cestná doprava vykonávaná cestnými nákladnými vozidlami, ktorých celková hmotnosť vrátane prípojného vozidla n</w:t>
      </w:r>
      <w:r>
        <w:rPr>
          <w:rFonts w:cs="Calibri"/>
          <w:color w:val="000000"/>
          <w:sz w:val="20"/>
          <w:szCs w:val="20"/>
        </w:rPr>
        <w:t>epresahuje 3,5 t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cestná motorová doprava - vnútroštátna nákladná cestná doprava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zasielateľstvo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medzinárodná nákladná cestná doprava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prípravné práce k realizácii stavby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uskutočňovanie stavieb a ich zmien</w:t>
      </w:r>
    </w:p>
    <w:p w:rsidR="006F13D0" w:rsidRDefault="0021380B">
      <w:pPr>
        <w:widowControl w:val="0"/>
        <w:numPr>
          <w:ilvl w:val="0"/>
          <w:numId w:val="1"/>
        </w:numPr>
        <w:spacing w:after="200" w:line="276" w:lineRule="auto"/>
        <w:ind w:left="720" w:hanging="360"/>
        <w:rPr>
          <w:rFonts w:ascii="Calibri" w:hAnsi="Calibri" w:cs="Calibri"/>
          <w:color w:val="000000"/>
        </w:rPr>
      </w:pPr>
      <w:r>
        <w:rPr>
          <w:rFonts w:cs="Calibri"/>
          <w:color w:val="000000"/>
          <w:sz w:val="20"/>
          <w:szCs w:val="20"/>
        </w:rPr>
        <w:t>dokončovacie stavebné práce pri realizácii exteriérov</w:t>
      </w:r>
      <w:r>
        <w:rPr>
          <w:rFonts w:cs="Calibri"/>
          <w:color w:val="000000"/>
          <w:sz w:val="20"/>
          <w:szCs w:val="20"/>
        </w:rPr>
        <w:t xml:space="preserve"> a interiérov</w:t>
      </w: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lastRenderedPageBreak/>
        <w:t>(2) Schválenie účtovnej závierky za predchádzajúce obdobie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Účtovná závierka za rok 2021 bola schválená rozhodnutím jediného spoločníka dňa 27.12.2022.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(3) Právny dôvod na zostavenie účtovnej závierky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Účtovná závierka k 31.decembru 2022 je </w:t>
      </w:r>
      <w:r>
        <w:rPr>
          <w:rFonts w:cs="Calibri"/>
          <w:color w:val="000000"/>
          <w:sz w:val="20"/>
          <w:szCs w:val="20"/>
        </w:rPr>
        <w:t xml:space="preserve">zostavená ako riadna účtovná závierka podľa § 17 ods. 6 zákona NR SR  č. 431/2002 Z. z. o účtovníctve, za účtovné obdobie od 1. januára 2022 do 31. decembra 2022  k poslednému dňu kalendárneho roka 2022. 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 xml:space="preserve">(4) Údaje o skupine účtovných jednotiek, a to: 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Účtovná jednotka nie je súčasťou konsolidovaného celku a účtovná jednotka nie je materskou účtovnou jednotkou.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(5) Informácia o počte zamestnancov</w:t>
      </w:r>
    </w:p>
    <w:tbl>
      <w:tblPr>
        <w:tblW w:w="9629" w:type="dxa"/>
        <w:jc w:val="center"/>
        <w:tblLayout w:type="fixed"/>
        <w:tblLook w:val="0000" w:firstRow="0" w:lastRow="0" w:firstColumn="0" w:lastColumn="0" w:noHBand="0" w:noVBand="0"/>
      </w:tblPr>
      <w:tblGrid>
        <w:gridCol w:w="3946"/>
        <w:gridCol w:w="2952"/>
        <w:gridCol w:w="2731"/>
      </w:tblGrid>
      <w:tr w:rsidR="006F13D0">
        <w:trPr>
          <w:trHeight w:val="1"/>
          <w:jc w:val="center"/>
        </w:trPr>
        <w:tc>
          <w:tcPr>
            <w:tcW w:w="394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6F13D0">
        <w:trPr>
          <w:trHeight w:val="1"/>
          <w:jc w:val="center"/>
        </w:trPr>
        <w:tc>
          <w:tcPr>
            <w:tcW w:w="394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Priemerný prepočítaný poče</w:t>
            </w:r>
            <w:r>
              <w:rPr>
                <w:rFonts w:cs="Calibri"/>
                <w:color w:val="000000"/>
                <w:sz w:val="20"/>
                <w:szCs w:val="20"/>
              </w:rPr>
              <w:t>t zamestnancov</w:t>
            </w:r>
          </w:p>
        </w:tc>
        <w:tc>
          <w:tcPr>
            <w:tcW w:w="29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273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41</w:t>
            </w:r>
          </w:p>
        </w:tc>
      </w:tr>
      <w:tr w:rsidR="006F13D0">
        <w:trPr>
          <w:trHeight w:val="1"/>
          <w:jc w:val="center"/>
        </w:trPr>
        <w:tc>
          <w:tcPr>
            <w:tcW w:w="394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29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273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41</w:t>
            </w:r>
          </w:p>
        </w:tc>
      </w:tr>
      <w:tr w:rsidR="006F13D0">
        <w:trPr>
          <w:trHeight w:val="1"/>
          <w:jc w:val="center"/>
        </w:trPr>
        <w:tc>
          <w:tcPr>
            <w:tcW w:w="394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9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3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</w:tr>
    </w:tbl>
    <w:p w:rsidR="006F13D0" w:rsidRDefault="006F13D0">
      <w:pPr>
        <w:widowControl w:val="0"/>
        <w:spacing w:after="0" w:line="100" w:lineRule="atLeast"/>
        <w:jc w:val="center"/>
        <w:rPr>
          <w:rFonts w:ascii="Calibri" w:hAnsi="Calibri" w:cs="Calibri"/>
          <w:b/>
          <w:bCs/>
          <w:color w:val="00000A"/>
        </w:rPr>
      </w:pP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II. Informácie o orgánoch spoločnosti</w:t>
      </w: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Informácie o orgánoch účtovnej jednotky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 xml:space="preserve">Členovia štatutárneho orgánu </w:t>
      </w:r>
      <w:r>
        <w:rPr>
          <w:rFonts w:cs="Calibri"/>
          <w:color w:val="00000A"/>
          <w:sz w:val="20"/>
          <w:szCs w:val="20"/>
        </w:rPr>
        <w:t>spoločnosti nepoberali žiadne príjmy za výkon svojej funkcie člena tohto orgánu ani im neboli poskytnuté žiadne pôžičky alebo záruky.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 xml:space="preserve"> III. Informácie o prijatých postupoch</w:t>
      </w: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(1) Účtovná závierka spoločnosti bola zostavená za predpokladu nepretržitého trva</w:t>
      </w:r>
      <w:r>
        <w:rPr>
          <w:rFonts w:cs="Calibri"/>
          <w:color w:val="000000"/>
          <w:sz w:val="20"/>
          <w:szCs w:val="20"/>
        </w:rPr>
        <w:t>nia jej činnosti v súlade so zákonom o účtovníctve platným v Slovenskej republike a nadväzujúcimi postupmi účtovania. Predpokladáme, že bude tak aj v budúcnosti.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Účtovníctvo spoločnosť vedie na základe dodržania časovej a vecnej súvislosti nákladov a výno</w:t>
      </w:r>
      <w:r>
        <w:rPr>
          <w:rFonts w:cs="Calibri"/>
          <w:color w:val="000000"/>
          <w:sz w:val="20"/>
          <w:szCs w:val="20"/>
        </w:rPr>
        <w:t>sov. Za základ sa berú všetky náklady a výnosy, ktoré sa vzťahujú na účtovné obdobie bez ohľadu na dátum ich platenia.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Peňažné údaje v účtovnej závierke sú uvedené v celých EUR.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</w:rPr>
        <w:t xml:space="preserve"> (2) Zmena metód účtovania a zásad účtovania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Účtovné metódy a všeobecné účt</w:t>
      </w:r>
      <w:r>
        <w:rPr>
          <w:rFonts w:cs="Calibri"/>
          <w:color w:val="00000A"/>
          <w:sz w:val="20"/>
          <w:szCs w:val="20"/>
        </w:rPr>
        <w:t>ovné zásady spoločnosť aplikovala konzistentne s predchádzajúcim účtovným obdobím.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</w:rPr>
        <w:t xml:space="preserve">(3) Informácia o ocenení majetku a záväzkov 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6F13D0">
      <w:pPr>
        <w:widowControl w:val="0"/>
        <w:spacing w:after="120" w:line="100" w:lineRule="atLeast"/>
        <w:jc w:val="both"/>
        <w:rPr>
          <w:rFonts w:ascii="Calibri" w:hAnsi="Calibri" w:cs="Calibri"/>
          <w:b/>
          <w:bCs/>
          <w:color w:val="000000"/>
        </w:rPr>
      </w:pP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1. Dlhodobý nehmotný a dlhodobý hmotný majetok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Dlhodobý majetok nakupovaný sa oceňuje obstarávacou cenou, ktorá zahrňuje cenu</w:t>
      </w:r>
      <w:r>
        <w:rPr>
          <w:rFonts w:cs="Calibri"/>
          <w:color w:val="000000"/>
          <w:sz w:val="20"/>
          <w:szCs w:val="20"/>
        </w:rPr>
        <w:t xml:space="preserve">, za ktorú sa majetok obstaral a náklady súvisiace s obstaraním (clo, prepravu, montáž, poistné a pod.).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Dlhodobý hmotný majetok sa odpisuje podľa odpisového plánu, ktorý bol zostavený na základe predpokladanej doby jeho používania zodpovedajúcej spotrebe</w:t>
      </w:r>
      <w:r>
        <w:rPr>
          <w:rFonts w:cs="Calibri"/>
          <w:color w:val="000000"/>
          <w:sz w:val="20"/>
          <w:szCs w:val="20"/>
        </w:rPr>
        <w:t xml:space="preserve"> budúcich ekonomických úžitkov z majetku. Odpisovať sa začína v mesiaci uvedenia  majetku do používania. Drobný dlhodobý hmotný majetok, ktorého obstarávacia cena (resp. vlastné náklady) je 1 700 EUR a nižšia, sa odpisuje jednorazovo pri uvedení do používa</w:t>
      </w:r>
      <w:r>
        <w:rPr>
          <w:rFonts w:cs="Calibri"/>
          <w:color w:val="000000"/>
          <w:sz w:val="20"/>
          <w:szCs w:val="20"/>
        </w:rPr>
        <w:t xml:space="preserve">nia - účtuje sa na účet 501.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2" w:type="dxa"/>
        <w:tblInd w:w="98" w:type="dxa"/>
        <w:tblLayout w:type="fixed"/>
        <w:tblLook w:val="0000" w:firstRow="0" w:lastRow="0" w:firstColumn="0" w:lastColumn="0" w:noHBand="0" w:noVBand="0"/>
      </w:tblPr>
      <w:tblGrid>
        <w:gridCol w:w="4213"/>
        <w:gridCol w:w="1010"/>
        <w:gridCol w:w="2103"/>
        <w:gridCol w:w="2276"/>
      </w:tblGrid>
      <w:tr w:rsidR="006F13D0">
        <w:trPr>
          <w:trHeight w:val="1"/>
        </w:trPr>
        <w:tc>
          <w:tcPr>
            <w:tcW w:w="421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Dlhodobý hmotný a nehmotný</w:t>
            </w:r>
          </w:p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odpisovaný majetok</w:t>
            </w:r>
          </w:p>
        </w:tc>
        <w:tc>
          <w:tcPr>
            <w:tcW w:w="101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číslo</w:t>
            </w:r>
          </w:p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účtu</w:t>
            </w:r>
          </w:p>
        </w:tc>
        <w:tc>
          <w:tcPr>
            <w:tcW w:w="210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doba odpisovania</w:t>
            </w:r>
          </w:p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(počet rokov)</w:t>
            </w:r>
          </w:p>
        </w:tc>
        <w:tc>
          <w:tcPr>
            <w:tcW w:w="227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 xml:space="preserve">odpisová skupina </w:t>
            </w:r>
          </w:p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-sadzba v %</w:t>
            </w:r>
          </w:p>
        </w:tc>
      </w:tr>
      <w:tr w:rsidR="006F13D0">
        <w:trPr>
          <w:trHeight w:val="1"/>
        </w:trPr>
        <w:tc>
          <w:tcPr>
            <w:tcW w:w="421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both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 xml:space="preserve">Stavby </w:t>
            </w:r>
          </w:p>
        </w:tc>
        <w:tc>
          <w:tcPr>
            <w:tcW w:w="101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021</w:t>
            </w:r>
          </w:p>
        </w:tc>
        <w:tc>
          <w:tcPr>
            <w:tcW w:w="210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27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5 %</w:t>
            </w:r>
          </w:p>
        </w:tc>
      </w:tr>
      <w:tr w:rsidR="006F13D0">
        <w:trPr>
          <w:trHeight w:val="1"/>
        </w:trPr>
        <w:tc>
          <w:tcPr>
            <w:tcW w:w="421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both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101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022</w:t>
            </w:r>
          </w:p>
        </w:tc>
        <w:tc>
          <w:tcPr>
            <w:tcW w:w="210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7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25 %</w:t>
            </w:r>
          </w:p>
        </w:tc>
      </w:tr>
      <w:tr w:rsidR="006F13D0">
        <w:trPr>
          <w:trHeight w:val="1"/>
        </w:trPr>
        <w:tc>
          <w:tcPr>
            <w:tcW w:w="421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both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Stavebné stroje</w:t>
            </w:r>
          </w:p>
        </w:tc>
        <w:tc>
          <w:tcPr>
            <w:tcW w:w="101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022.A</w:t>
            </w:r>
          </w:p>
        </w:tc>
        <w:tc>
          <w:tcPr>
            <w:tcW w:w="210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7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16,67 %</w:t>
            </w:r>
          </w:p>
        </w:tc>
      </w:tr>
      <w:tr w:rsidR="006F13D0">
        <w:trPr>
          <w:trHeight w:val="1"/>
        </w:trPr>
        <w:tc>
          <w:tcPr>
            <w:tcW w:w="421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Návesy</w:t>
            </w:r>
          </w:p>
        </w:tc>
        <w:tc>
          <w:tcPr>
            <w:tcW w:w="1010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022.A</w:t>
            </w:r>
          </w:p>
        </w:tc>
        <w:tc>
          <w:tcPr>
            <w:tcW w:w="210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7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16,67 %</w:t>
            </w:r>
          </w:p>
        </w:tc>
      </w:tr>
    </w:tbl>
    <w:p w:rsidR="006F13D0" w:rsidRDefault="006F13D0">
      <w:pPr>
        <w:widowControl w:val="0"/>
        <w:spacing w:after="120" w:line="100" w:lineRule="atLeast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V prípade prechodného zníženia úžitkovej hodnoty dlhodobého majetku, ktorá bola zistená pri inventarizácii a je výrazne nižšia ako jeho ocenenie </w:t>
      </w:r>
      <w:r>
        <w:rPr>
          <w:rFonts w:cs="Calibri"/>
          <w:color w:val="000000"/>
          <w:sz w:val="20"/>
          <w:szCs w:val="20"/>
        </w:rPr>
        <w:t>v účtovníctve po odpočítaní oprávok, je vytvorená opravná položka na úroveň jeho zistenej úžitkovej hodnoty.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2. Zásoby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Zásoby nakupované sa oceňujú obstarávacou cenou, ktorá zahrňuje cenu, za ktorú sa majetok obstaral, a náklady súvisiace s obstaraním (clo, prepravu, poistné, provízie a pod.) znížené o zľavy z ceny. Zľava z ceny poskytnutá k už predaným alebo spotrebovaným</w:t>
      </w:r>
      <w:r>
        <w:rPr>
          <w:rFonts w:cs="Calibri"/>
          <w:color w:val="000000"/>
          <w:sz w:val="20"/>
          <w:szCs w:val="20"/>
        </w:rPr>
        <w:t xml:space="preserve"> zásobám sa účtuje ako zníženie nákladov na predané alebo spotrebované zásoby. Spoločnosť účtuje o zásobách spôsobom A tak, ako to definujú postupy účtovania. Úbytok zásob sa účtuje v cene zistenej metódou FIFO.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V prípade prechodného zníženia úžitkovej ho</w:t>
      </w:r>
      <w:r>
        <w:rPr>
          <w:rFonts w:cs="Calibri"/>
          <w:color w:val="000000"/>
          <w:sz w:val="20"/>
          <w:szCs w:val="20"/>
        </w:rPr>
        <w:t xml:space="preserve">dnoty zásob sa tvorí opravná položka.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3. Pohľadávky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</w:t>
      </w:r>
      <w:r>
        <w:rPr>
          <w:rFonts w:cs="Calibri"/>
          <w:color w:val="000000"/>
          <w:sz w:val="20"/>
          <w:szCs w:val="20"/>
        </w:rPr>
        <w:t>ožky k pohľadávkam u týchto pohľadávok: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-pohľadávok,  u ktorých sa dá predpokladať, že dlžník pohľadávku nevyrovná čiastočne alebo úplne,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-pri sporných pohľadávkach, </w:t>
      </w:r>
      <w:proofErr w:type="spellStart"/>
      <w:r>
        <w:rPr>
          <w:rFonts w:cs="Calibri"/>
          <w:color w:val="000000"/>
          <w:sz w:val="20"/>
          <w:szCs w:val="20"/>
        </w:rPr>
        <w:t>t.j</w:t>
      </w:r>
      <w:proofErr w:type="spellEnd"/>
      <w:r>
        <w:rPr>
          <w:rFonts w:cs="Calibri"/>
          <w:color w:val="000000"/>
          <w:sz w:val="20"/>
          <w:szCs w:val="20"/>
        </w:rPr>
        <w:t xml:space="preserve">. k pohľadávkam voči dlžníkom, s ktorými vedie spor o uznanie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Spoločnosť tvorí opravné</w:t>
      </w:r>
      <w:r>
        <w:rPr>
          <w:rFonts w:cs="Calibri"/>
          <w:color w:val="000000"/>
          <w:sz w:val="20"/>
          <w:szCs w:val="20"/>
        </w:rPr>
        <w:t xml:space="preserve"> položky nasledovne: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365 dní, sa zahrnie do výdavkov do výšky 20% menovitej hodnoty pohľadávky alebo jej nesplatenej časti bez príslušenstva v zdaňovacom období v ktorom uplynula táto doba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720 dní, sa zahrnie do výdavkov do výšky 50% menovitej hodnoty pohľ</w:t>
      </w:r>
      <w:r>
        <w:rPr>
          <w:rFonts w:cs="Calibri"/>
          <w:color w:val="000000"/>
          <w:sz w:val="20"/>
          <w:szCs w:val="20"/>
        </w:rPr>
        <w:t>adávky alebo jej nesplatenej časti bez príslušenstva v zdaňovacom období v ktorom uplynula táto doba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1080 dní, sa zahrnie do výdavkov do výšky 100% menovitej hodnoty pohľadávky alebo jej nesplatenej časti bez príslušenstva v zdaňovacom období v ktorom uply</w:t>
      </w:r>
      <w:r>
        <w:rPr>
          <w:rFonts w:cs="Calibri"/>
          <w:color w:val="000000"/>
          <w:sz w:val="20"/>
          <w:szCs w:val="20"/>
        </w:rPr>
        <w:t>nula táto doba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4. Finančné účty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Finančné účty tvorí peňažná hotovosť, zostatky na bankových účtoch a ceniny, pričom riziko zmeny hodnoty tohto majetku je zanedbateľne nízke.</w:t>
      </w:r>
    </w:p>
    <w:p w:rsidR="006F13D0" w:rsidRDefault="006F13D0">
      <w:pPr>
        <w:widowControl w:val="0"/>
        <w:spacing w:after="120" w:line="100" w:lineRule="atLeast"/>
        <w:jc w:val="both"/>
        <w:rPr>
          <w:rFonts w:ascii="Calibri" w:hAnsi="Calibri" w:cs="Calibri"/>
          <w:b/>
          <w:bCs/>
          <w:color w:val="000000"/>
        </w:rPr>
      </w:pP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5. Náklady budúcich období a príjmy budúcich období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Náklady budúcich období a prí</w:t>
      </w:r>
      <w:r>
        <w:rPr>
          <w:rFonts w:cs="Calibri"/>
          <w:color w:val="000000"/>
          <w:sz w:val="20"/>
          <w:szCs w:val="20"/>
        </w:rPr>
        <w:t>jmy budúcich období sú vykázané vo výške, ktorá je potrebná na dodržanie zásady vecnej a časovej súvislosti s účtovným obdobím.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6. Opravné položky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Opravné položky sa tvoria na základe zásady opatrnosti, ak je opodstatnené predpokladať, že došlo k zníženiu </w:t>
      </w:r>
      <w:r>
        <w:rPr>
          <w:rFonts w:cs="Calibri"/>
          <w:color w:val="000000"/>
          <w:sz w:val="20"/>
          <w:szCs w:val="20"/>
        </w:rPr>
        <w:t>hodnoty majetku oproti jeho oceneniu v účtovníctve. Opravná položka sa účtuje v sume opodstatneného predpokladu zníženia hodnoty majetku oproti jeho oceneniu v účtovníctve.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 xml:space="preserve"> 7. Rezervy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Rezerva je záväzok predstavujúci existujúcu povinnosť spoločnosti, ktor</w:t>
      </w:r>
      <w:r>
        <w:rPr>
          <w:rFonts w:cs="Calibri"/>
          <w:color w:val="000000"/>
          <w:sz w:val="20"/>
          <w:szCs w:val="20"/>
        </w:rPr>
        <w:t>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</w:t>
      </w:r>
      <w:r>
        <w:rPr>
          <w:rFonts w:cs="Calibri"/>
          <w:color w:val="000000"/>
          <w:sz w:val="20"/>
          <w:szCs w:val="20"/>
        </w:rPr>
        <w:t>tavuje účtovná závierka.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</w:t>
      </w:r>
      <w:r>
        <w:rPr>
          <w:rFonts w:cs="Calibri"/>
          <w:color w:val="000000"/>
          <w:sz w:val="20"/>
          <w:szCs w:val="20"/>
        </w:rPr>
        <w:t>väzkov. Rozpustenie nepotrebnej rezervy alebo jej časti sa účtuje opačným účtovným zápisom ako sa účtovala tvorba rezervy.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Rezerva na bonusy, rabaty, skontá a vrátenie kúpnej ceny pri reklamácii sa tvorí ako zníženie pôvodne dosiahnutých výnosov so súvzťaž</w:t>
      </w:r>
      <w:r>
        <w:rPr>
          <w:rFonts w:cs="Calibri"/>
          <w:color w:val="000000"/>
          <w:sz w:val="20"/>
          <w:szCs w:val="20"/>
        </w:rPr>
        <w:t>ným zápisom v prospech účtu rezerv.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Spoločnosť tvorila zákonné rezervy na zostatkové dovolenky a odvody .  Spoločnosť predpokladá, že rezervy použije v roku 2023.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8.  Záväzky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Záväzky pri ich vzniku sa oceňujú menovitou hodnotou. Záväzky pri ich prevzatí sa</w:t>
      </w:r>
      <w:r>
        <w:rPr>
          <w:rFonts w:cs="Calibri"/>
          <w:color w:val="000000"/>
          <w:sz w:val="20"/>
          <w:szCs w:val="20"/>
        </w:rPr>
        <w:t xml:space="preserve"> oceňujú obstarávacou cenou.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9. Zamestnanecké požitky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</w:t>
      </w:r>
      <w:r>
        <w:rPr>
          <w:rFonts w:cs="Calibri"/>
          <w:color w:val="000000"/>
          <w:sz w:val="20"/>
          <w:szCs w:val="20"/>
        </w:rPr>
        <w:t>tujú v účtovnom období, s ktorým vecne a časovo súvisia.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Zamestnanec má na základe Zákonníka práce pri odchode do starobného dôchodku nárok na odmenu vo výške jednej priemernej mesačnej mzdy.   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10. Splatná daň z príjmu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Daň z príjmov sa účtuje do nákladov</w:t>
      </w:r>
      <w:r>
        <w:rPr>
          <w:rFonts w:cs="Calibri"/>
          <w:color w:val="000000"/>
          <w:sz w:val="20"/>
          <w:szCs w:val="20"/>
        </w:rPr>
        <w:t xml:space="preserve">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</w:t>
      </w:r>
      <w:r>
        <w:rPr>
          <w:rFonts w:cs="Calibri"/>
          <w:color w:val="000000"/>
          <w:sz w:val="20"/>
          <w:szCs w:val="20"/>
        </w:rPr>
        <w:t>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</w:t>
      </w:r>
      <w:r>
        <w:rPr>
          <w:rFonts w:cs="Calibri"/>
          <w:color w:val="000000"/>
          <w:sz w:val="20"/>
          <w:szCs w:val="20"/>
        </w:rPr>
        <w:t>ť za tento rok, spoločnosť vykazuje výslednú daňovú pohľadávku.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11. Odložená daň z príjmu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Odložená daň z príjmu vyplýva z:</w:t>
      </w:r>
    </w:p>
    <w:p w:rsidR="006F13D0" w:rsidRDefault="0021380B">
      <w:pPr>
        <w:widowControl w:val="0"/>
        <w:spacing w:after="12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a) rozdielov medzi účtovnou hodnotou majetku a účtovnou hodnotou záväzkov vykázanou v súvahe a ich daňovou základňou,</w:t>
      </w:r>
    </w:p>
    <w:p w:rsidR="006F13D0" w:rsidRDefault="0021380B">
      <w:pPr>
        <w:widowControl w:val="0"/>
        <w:spacing w:after="12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b) možnosti umo</w:t>
      </w:r>
      <w:r>
        <w:rPr>
          <w:rFonts w:cs="Calibri"/>
          <w:color w:val="000000"/>
          <w:sz w:val="20"/>
          <w:szCs w:val="20"/>
        </w:rPr>
        <w:t>rovať daňovú stratu v budúcnosti, pod ktorou sa rozumie možnosť odpočítať daňovú stratu od základu dane v budúcnosti,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lastRenderedPageBreak/>
        <w:t>c) možnosti previesť nevyužité daňové odpočty a iné daňové nároky do budúcich období.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Odložená daňová pohľadávka sa účtuje iba do takej vý</w:t>
      </w:r>
      <w:r>
        <w:rPr>
          <w:rFonts w:cs="Calibri"/>
          <w:color w:val="000000"/>
          <w:sz w:val="20"/>
          <w:szCs w:val="20"/>
        </w:rPr>
        <w:t>šky, do akej je pravdepodobné, že bude možné dočasné rozdiely vyrovnať voči budúcemu základu dane.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 xml:space="preserve">12. Výdavky budúcich </w:t>
      </w:r>
      <w:r>
        <w:rPr>
          <w:rFonts w:cs="Calibri"/>
          <w:b/>
          <w:bCs/>
          <w:color w:val="000000"/>
        </w:rPr>
        <w:t>období a výnosy budúcich období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b/>
          <w:bCs/>
          <w:color w:val="000000"/>
          <w:sz w:val="21"/>
          <w:szCs w:val="21"/>
        </w:rPr>
      </w:pPr>
      <w:r>
        <w:rPr>
          <w:rFonts w:cs="Calibri"/>
          <w:b/>
          <w:bCs/>
          <w:color w:val="000000"/>
          <w:sz w:val="21"/>
          <w:szCs w:val="21"/>
        </w:rPr>
        <w:t>13. Prenájom (leasing)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cs="Calibri"/>
          <w:b/>
          <w:bCs/>
          <w:color w:val="000000"/>
          <w:sz w:val="21"/>
          <w:szCs w:val="21"/>
        </w:rPr>
        <w:t xml:space="preserve"> (Spoločnosť je nájomca)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Finančný leasing. Finančný leasing je obstaranie dlhodobého hmotného majetku na základe nájomnej zmluvy s dojednaným právom kúpy prenajatej veci za dohodnuté platby počas dohodnutej doby nájmu tohto majetku. Súčasťou dohodnutých platieb je aj kúpna cena, z</w:t>
      </w:r>
      <w:r>
        <w:rPr>
          <w:rFonts w:cs="Calibri"/>
          <w:color w:val="000000"/>
          <w:sz w:val="20"/>
          <w:szCs w:val="20"/>
        </w:rPr>
        <w:t>a ktorú na konci dohodnutej doby prechádza vlastnícke právo k prenajatému majetku z prenajímateľa na nájomcu. Dohodnutá doba nájmu je najmenej 60% doby odpisovania podľa daňových predpisov, nie však menej ako 3 roky. Finančné náklady sa vykazujú ako úroky.</w:t>
      </w:r>
      <w:r>
        <w:rPr>
          <w:rFonts w:cs="Calibri"/>
          <w:color w:val="000000"/>
          <w:sz w:val="20"/>
          <w:szCs w:val="20"/>
        </w:rPr>
        <w:t xml:space="preserve">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</w:t>
      </w:r>
      <w:r>
        <w:rPr>
          <w:rFonts w:cs="Calibri"/>
          <w:color w:val="000000"/>
          <w:sz w:val="20"/>
          <w:szCs w:val="20"/>
        </w:rPr>
        <w:t>ených o nerealizované finančné náklady. Majetok obstaraný formou finančného prenájmu sa odpisuje v účtovníctve nájomcu.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 xml:space="preserve">V roku 2022 spoločnosť Mebachel </w:t>
      </w:r>
      <w:proofErr w:type="spellStart"/>
      <w:r>
        <w:rPr>
          <w:rFonts w:cs="Calibri"/>
          <w:color w:val="000000"/>
          <w:sz w:val="20"/>
          <w:szCs w:val="20"/>
        </w:rPr>
        <w:t>s.r.o.obstarala</w:t>
      </w:r>
      <w:proofErr w:type="spellEnd"/>
      <w:r>
        <w:rPr>
          <w:rFonts w:cs="Calibri"/>
          <w:color w:val="000000"/>
          <w:sz w:val="20"/>
          <w:szCs w:val="20"/>
        </w:rPr>
        <w:t xml:space="preserve"> od spoločnosti ČSOB leasing, </w:t>
      </w:r>
      <w:proofErr w:type="spellStart"/>
      <w:r>
        <w:rPr>
          <w:rFonts w:cs="Calibri"/>
          <w:color w:val="000000"/>
          <w:sz w:val="20"/>
          <w:szCs w:val="20"/>
        </w:rPr>
        <w:t>a.s</w:t>
      </w:r>
      <w:proofErr w:type="spellEnd"/>
      <w:r>
        <w:rPr>
          <w:rFonts w:cs="Calibri"/>
          <w:color w:val="000000"/>
          <w:sz w:val="20"/>
          <w:szCs w:val="20"/>
        </w:rPr>
        <w:t xml:space="preserve">. na základe 11 nových Leasingových </w:t>
      </w:r>
      <w:proofErr w:type="spellStart"/>
      <w:r>
        <w:rPr>
          <w:rFonts w:cs="Calibri"/>
          <w:color w:val="000000"/>
          <w:sz w:val="20"/>
          <w:szCs w:val="20"/>
        </w:rPr>
        <w:t>zmluv</w:t>
      </w:r>
      <w:proofErr w:type="spellEnd"/>
      <w:r>
        <w:rPr>
          <w:rFonts w:cs="Calibri"/>
          <w:color w:val="000000"/>
          <w:sz w:val="20"/>
          <w:szCs w:val="20"/>
        </w:rPr>
        <w:t xml:space="preserve"> dopravné prost</w:t>
      </w:r>
      <w:r>
        <w:rPr>
          <w:rFonts w:cs="Calibri"/>
          <w:color w:val="000000"/>
          <w:sz w:val="20"/>
          <w:szCs w:val="20"/>
        </w:rPr>
        <w:t xml:space="preserve">riedky a 1 zmluva bola uzatvorená so spoločnosťou Mercedes </w:t>
      </w:r>
      <w:proofErr w:type="spellStart"/>
      <w:r>
        <w:rPr>
          <w:rFonts w:cs="Calibri"/>
          <w:color w:val="000000"/>
          <w:sz w:val="20"/>
          <w:szCs w:val="20"/>
        </w:rPr>
        <w:t>Benz</w:t>
      </w:r>
      <w:proofErr w:type="spellEnd"/>
      <w:r>
        <w:rPr>
          <w:rFonts w:cs="Calibri"/>
          <w:color w:val="000000"/>
          <w:sz w:val="20"/>
          <w:szCs w:val="20"/>
        </w:rPr>
        <w:t xml:space="preserve"> </w:t>
      </w:r>
      <w:proofErr w:type="spellStart"/>
      <w:r>
        <w:rPr>
          <w:rFonts w:cs="Calibri"/>
          <w:color w:val="000000"/>
          <w:sz w:val="20"/>
          <w:szCs w:val="20"/>
        </w:rPr>
        <w:t>Financial</w:t>
      </w:r>
      <w:proofErr w:type="spellEnd"/>
      <w:r>
        <w:rPr>
          <w:rFonts w:cs="Calibri"/>
          <w:color w:val="000000"/>
          <w:sz w:val="20"/>
          <w:szCs w:val="20"/>
        </w:rPr>
        <w:t xml:space="preserve"> </w:t>
      </w:r>
      <w:proofErr w:type="spellStart"/>
      <w:r>
        <w:rPr>
          <w:rFonts w:cs="Calibri"/>
          <w:color w:val="000000"/>
          <w:sz w:val="20"/>
          <w:szCs w:val="20"/>
        </w:rPr>
        <w:t>services</w:t>
      </w:r>
      <w:proofErr w:type="spellEnd"/>
      <w:r>
        <w:rPr>
          <w:rFonts w:cs="Calibri"/>
          <w:color w:val="000000"/>
          <w:sz w:val="20"/>
          <w:szCs w:val="20"/>
        </w:rPr>
        <w:t>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Spoločnosť na zabezpečenie a udržanie príjmu v roku 2022 uhradila zálohy  v sume 4000 EUR na obstaranie hmotného hnuteľného majetku konkrétne nákladných dopravných prostrie</w:t>
      </w:r>
      <w:r>
        <w:rPr>
          <w:rFonts w:cs="Calibri"/>
          <w:color w:val="000000"/>
          <w:sz w:val="20"/>
          <w:szCs w:val="20"/>
        </w:rPr>
        <w:t>dkov účtované na účte 052.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V roku 2022 boli dopravné prostriedky zaradené do dlhodobého hmotného majetku.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14. Cudzia mena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Majetok a záväzky vyjadrené v cudzej mene (okrem preddavkov prijatých a poskytnutých) sa prepočítavajú na eurá referenčným výmenným ku</w:t>
      </w:r>
      <w:r>
        <w:rPr>
          <w:rFonts w:cs="Calibri"/>
          <w:color w:val="000000"/>
          <w:sz w:val="20"/>
          <w:szCs w:val="20"/>
        </w:rPr>
        <w:t>rzom určeným a vyhláseným Európskou centrálnou bankou alebo Národnou bankou Slovenska v deň predchádzajúci  ku dňu uskutočnenia účtovného prípadu alebo v deň, ku ktorému sa zostavuje účtovná závierka. Vzniknuté kurzové rozdiely sa účtujú s vplyvom na výsle</w:t>
      </w:r>
      <w:r>
        <w:rPr>
          <w:rFonts w:cs="Calibri"/>
          <w:color w:val="000000"/>
          <w:sz w:val="20"/>
          <w:szCs w:val="20"/>
        </w:rPr>
        <w:t xml:space="preserve">dok hospodárenia.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0"/>
        </w:rPr>
        <w:t>15. Vykazovanie výnosov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Výnosy z predaja tovarov sa vykazujú v momente prenosu rizika a vlastníctva výrobku, obvykle po dodávke. Ak sa Spoločnosť zaviaže dopraviť výrobky na určité miesto, výnosy sa vykazujú v momente doručenia tovaru do</w:t>
      </w:r>
      <w:r>
        <w:rPr>
          <w:rFonts w:cs="Calibri"/>
          <w:color w:val="000000"/>
          <w:sz w:val="20"/>
          <w:szCs w:val="20"/>
        </w:rPr>
        <w:t xml:space="preserve"> cieľového miesta.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</w:t>
      </w:r>
      <w:r>
        <w:rPr>
          <w:rFonts w:cs="Calibri"/>
          <w:color w:val="000000"/>
          <w:sz w:val="20"/>
          <w:szCs w:val="20"/>
        </w:rPr>
        <w:t>dnutých služieb.</w:t>
      </w:r>
    </w:p>
    <w:p w:rsidR="006F13D0" w:rsidRDefault="0021380B">
      <w:pPr>
        <w:widowControl w:val="0"/>
        <w:spacing w:after="120" w:line="10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</w:rPr>
        <w:t xml:space="preserve">Výnosy sa vykazujú po odpočítaní dane z pridanej hodnoty, zliav a zrážok (rabaty, bonusy, skontá, dobropisy a pod.). Výnosové úroky sa účtujú rovnomerne v účtovných obdobiach, ktorých sa vecne a časovo týkajú. </w:t>
      </w:r>
    </w:p>
    <w:p w:rsidR="006F13D0" w:rsidRDefault="0021380B">
      <w:pPr>
        <w:widowControl w:val="0"/>
        <w:spacing w:after="12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>Výnosy spoločnosti tvoria na</w:t>
      </w:r>
      <w:r>
        <w:rPr>
          <w:rFonts w:cs="Calibri"/>
          <w:color w:val="000000"/>
          <w:sz w:val="20"/>
          <w:szCs w:val="20"/>
        </w:rPr>
        <w:t>jmä tržby z poskytovania vnútroštátnej nákladnej cestnej dopravy a medzinárodnej cestnej nákladnej dopravy a tržby z predaja motorových vozidiel.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IV. Informácie, ktoré vysvetľujú a dopĺňajú súvahu a výkaz ziskov a strát</w:t>
      </w: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 xml:space="preserve">(1) </w:t>
      </w:r>
      <w:r>
        <w:rPr>
          <w:rFonts w:cs="Calibri"/>
          <w:color w:val="00000A"/>
        </w:rPr>
        <w:t>Účtovná jednotka neúčtovala o</w:t>
      </w:r>
      <w:r>
        <w:rPr>
          <w:rFonts w:cs="Calibri"/>
          <w:color w:val="00000A"/>
        </w:rPr>
        <w:t xml:space="preserve"> </w:t>
      </w:r>
      <w:proofErr w:type="spellStart"/>
      <w:r>
        <w:rPr>
          <w:rFonts w:cs="Calibri"/>
          <w:color w:val="00000A"/>
        </w:rPr>
        <w:t>goodwille</w:t>
      </w:r>
      <w:proofErr w:type="spellEnd"/>
      <w:r>
        <w:rPr>
          <w:rFonts w:cs="Calibri"/>
          <w:color w:val="00000A"/>
        </w:rPr>
        <w:t xml:space="preserve"> v bežnom účtovnom období ani v minulých účtovných obdobiach.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>(2) Informácie o významných položkách majetku a záväzkoch zabezpečených derivátmi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ind w:left="-142" w:right="-468" w:firstLine="142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0"/>
          <w:sz w:val="20"/>
          <w:szCs w:val="20"/>
        </w:rPr>
        <w:t xml:space="preserve">V účtovnom období 2022  účtovná jednotka nevykonala žiadne derivátové operácie. </w:t>
      </w:r>
    </w:p>
    <w:p w:rsidR="006F13D0" w:rsidRDefault="006F13D0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 xml:space="preserve"> (3) Informácie o </w:t>
      </w:r>
      <w:r>
        <w:rPr>
          <w:rFonts w:cs="Calibri"/>
          <w:b/>
          <w:bCs/>
          <w:color w:val="00000A"/>
        </w:rPr>
        <w:t>záväzkoch</w:t>
      </w:r>
    </w:p>
    <w:p w:rsidR="006F13D0" w:rsidRDefault="006F13D0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4" w:line="100" w:lineRule="atLeast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 xml:space="preserve">a) Informácie o štruktúre záväzkov podľa zostatkovej doby splatnosti </w:t>
      </w:r>
    </w:p>
    <w:p w:rsidR="006F13D0" w:rsidRDefault="006F13D0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</w:p>
    <w:tbl>
      <w:tblPr>
        <w:tblW w:w="9596" w:type="dxa"/>
        <w:jc w:val="center"/>
        <w:tblLayout w:type="fixed"/>
        <w:tblLook w:val="0000" w:firstRow="0" w:lastRow="0" w:firstColumn="0" w:lastColumn="0" w:noHBand="0" w:noVBand="0"/>
      </w:tblPr>
      <w:tblGrid>
        <w:gridCol w:w="3766"/>
        <w:gridCol w:w="3072"/>
        <w:gridCol w:w="2758"/>
      </w:tblGrid>
      <w:tr w:rsidR="006F13D0">
        <w:trPr>
          <w:trHeight w:val="941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Názov položky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center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6F13D0">
        <w:trPr>
          <w:trHeight w:val="407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  <w:b/>
                <w:bCs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404572</w:t>
            </w: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531287</w:t>
            </w:r>
          </w:p>
        </w:tc>
      </w:tr>
      <w:tr w:rsidR="006F13D0">
        <w:trPr>
          <w:trHeight w:val="580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6F13D0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6F13D0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</w:p>
        </w:tc>
      </w:tr>
      <w:tr w:rsidR="006F13D0">
        <w:trPr>
          <w:trHeight w:val="580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</w:rPr>
              <w:t>404572</w:t>
            </w: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531287</w:t>
            </w:r>
          </w:p>
          <w:p w:rsidR="006F13D0" w:rsidRDefault="006F13D0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</w:p>
        </w:tc>
      </w:tr>
      <w:tr w:rsidR="006F13D0">
        <w:trPr>
          <w:trHeight w:val="407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</w:rPr>
              <w:t>878602</w:t>
            </w: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1268929</w:t>
            </w:r>
          </w:p>
        </w:tc>
      </w:tr>
      <w:tr w:rsidR="006F13D0">
        <w:trPr>
          <w:trHeight w:val="580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</w:rPr>
              <w:t>463320</w:t>
            </w: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1088005</w:t>
            </w:r>
          </w:p>
        </w:tc>
      </w:tr>
      <w:tr w:rsidR="006F13D0">
        <w:trPr>
          <w:trHeight w:val="407"/>
          <w:jc w:val="center"/>
        </w:trPr>
        <w:tc>
          <w:tcPr>
            <w:tcW w:w="376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307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</w:rPr>
              <w:t>415282</w:t>
            </w:r>
          </w:p>
          <w:p w:rsidR="006F13D0" w:rsidRDefault="006F13D0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</w:p>
        </w:tc>
        <w:tc>
          <w:tcPr>
            <w:tcW w:w="2758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:rsidR="006F13D0" w:rsidRDefault="0021380B">
            <w:pPr>
              <w:widowControl w:val="0"/>
              <w:spacing w:after="0" w:line="100" w:lineRule="atLeast"/>
              <w:jc w:val="right"/>
              <w:rPr>
                <w:rFonts w:ascii="Calibri" w:hAnsi="Calibri" w:cs="Calibri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180924</w:t>
            </w:r>
          </w:p>
        </w:tc>
      </w:tr>
    </w:tbl>
    <w:p w:rsidR="006F13D0" w:rsidRDefault="006F13D0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4" w:line="240" w:lineRule="auto"/>
        <w:rPr>
          <w:rFonts w:ascii="Calibri" w:hAnsi="Calibri" w:cs="Calibri"/>
          <w:b/>
          <w:bCs/>
          <w:sz w:val="21"/>
          <w:szCs w:val="21"/>
        </w:rPr>
      </w:pPr>
      <w:r>
        <w:rPr>
          <w:rFonts w:cs="Calibri"/>
          <w:b/>
          <w:bCs/>
          <w:sz w:val="21"/>
          <w:szCs w:val="21"/>
        </w:rPr>
        <w:t xml:space="preserve">b) </w:t>
      </w:r>
      <w:r>
        <w:rPr>
          <w:rFonts w:cs="Calibri"/>
          <w:b/>
          <w:bCs/>
          <w:sz w:val="21"/>
          <w:szCs w:val="21"/>
        </w:rPr>
        <w:t>Prijaté úvery a pôžičky</w:t>
      </w:r>
    </w:p>
    <w:p w:rsidR="006F13D0" w:rsidRDefault="0021380B">
      <w:pPr>
        <w:widowControl w:val="0"/>
        <w:spacing w:after="14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cs="Calibri"/>
          <w:sz w:val="20"/>
          <w:szCs w:val="20"/>
        </w:rPr>
        <w:t xml:space="preserve">Spoločnosť v roku 2021 uzatvorila s peňažným ústavom Tatra banka, </w:t>
      </w:r>
      <w:proofErr w:type="spellStart"/>
      <w:r>
        <w:rPr>
          <w:rFonts w:cs="Calibri"/>
          <w:sz w:val="20"/>
          <w:szCs w:val="20"/>
        </w:rPr>
        <w:t>a.s</w:t>
      </w:r>
      <w:proofErr w:type="spellEnd"/>
      <w:r>
        <w:rPr>
          <w:rFonts w:cs="Calibri"/>
          <w:sz w:val="20"/>
          <w:szCs w:val="20"/>
        </w:rPr>
        <w:t xml:space="preserve">. Zmluvu o štruktúrovanom kontokorentnom úvere č. S00155/2021 na dohodnutú výšku úverového rámca 500 000 EUR. Zmluva bola uzatvorená dňa 24.2.2021. Úroková sadzba </w:t>
      </w:r>
      <w:r>
        <w:rPr>
          <w:rFonts w:cs="Calibri"/>
          <w:sz w:val="20"/>
          <w:szCs w:val="20"/>
        </w:rPr>
        <w:t xml:space="preserve">v zmysle zmluvy je stanovaná  1M EURIBIR menený mesačne + 2,30 % </w:t>
      </w:r>
      <w:proofErr w:type="spellStart"/>
      <w:r>
        <w:rPr>
          <w:rFonts w:cs="Calibri"/>
          <w:sz w:val="20"/>
          <w:szCs w:val="20"/>
        </w:rPr>
        <w:t>p.a</w:t>
      </w:r>
      <w:proofErr w:type="spellEnd"/>
      <w:r>
        <w:rPr>
          <w:rFonts w:cs="Calibri"/>
          <w:sz w:val="20"/>
          <w:szCs w:val="20"/>
        </w:rPr>
        <w:t xml:space="preserve">. V zmluve je deň konečnej splatnosti stanovený na 31.3.2022. Spoločnosť v roku 2022 štruktúrovaný kontokorentný úver obnovila. V peňažnom ústave Tatra banka </w:t>
      </w:r>
      <w:proofErr w:type="spellStart"/>
      <w:r>
        <w:rPr>
          <w:rFonts w:cs="Calibri"/>
          <w:sz w:val="20"/>
          <w:szCs w:val="20"/>
        </w:rPr>
        <w:t>a.s</w:t>
      </w:r>
      <w:proofErr w:type="spellEnd"/>
      <w:r>
        <w:rPr>
          <w:rFonts w:cs="Calibri"/>
          <w:sz w:val="20"/>
          <w:szCs w:val="20"/>
        </w:rPr>
        <w:t xml:space="preserve">. spoločnosť Mebachel </w:t>
      </w:r>
      <w:proofErr w:type="spellStart"/>
      <w:r>
        <w:rPr>
          <w:rFonts w:cs="Calibri"/>
          <w:sz w:val="20"/>
          <w:szCs w:val="20"/>
        </w:rPr>
        <w:t>s.r.o</w:t>
      </w:r>
      <w:proofErr w:type="spellEnd"/>
      <w:r>
        <w:rPr>
          <w:rFonts w:cs="Calibri"/>
          <w:sz w:val="20"/>
          <w:szCs w:val="20"/>
        </w:rPr>
        <w:t>. zároveň otvorila podnikateľské účty v mene CZK a  v mene SEK. Zabezpečenie kontokorentného úveru je formou zriadenia záložného práva na nehnuteľný majetok a formou záložného práva k pohľadávkam.</w:t>
      </w:r>
    </w:p>
    <w:p w:rsidR="006F13D0" w:rsidRDefault="006F13D0">
      <w:pPr>
        <w:widowControl w:val="0"/>
        <w:spacing w:after="14" w:line="240" w:lineRule="auto"/>
        <w:jc w:val="both"/>
        <w:rPr>
          <w:rFonts w:ascii="Calibri" w:hAnsi="Calibri" w:cs="Calibri"/>
          <w:sz w:val="20"/>
          <w:szCs w:val="20"/>
        </w:rPr>
      </w:pPr>
    </w:p>
    <w:p w:rsidR="006F13D0" w:rsidRDefault="0021380B">
      <w:pPr>
        <w:widowControl w:val="0"/>
        <w:spacing w:after="14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c) Informácie o záväzkoch s obmedzeným právom nakladania</w:t>
      </w: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Účtovná jednotka nemá záväzky kryté záložným právom, nemá zriadené obmedzenie v prospech veriteľov na ich pohľadávky.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4" w:line="100" w:lineRule="atLeast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 xml:space="preserve">(4) Informácie o vlastných akciách </w:t>
      </w: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Spoločnosť nevydala a nemá vlastné akcie.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>(5) Informácia o sume a dôvodoch vzniku jednotlivých polož</w:t>
      </w:r>
      <w:r>
        <w:rPr>
          <w:rFonts w:cs="Calibri"/>
          <w:b/>
          <w:bCs/>
          <w:color w:val="00000A"/>
        </w:rPr>
        <w:t>iek nákladov alebo výnosov, ktoré majú výnimočný rozsah .</w:t>
      </w:r>
    </w:p>
    <w:p w:rsidR="006F13D0" w:rsidRDefault="0021380B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Účtovná jednotka neúčtovala v roku 2022 o výnosoch alebo nákladoch, ktoré majú výnimočný rozsah alebo výskyt.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lastRenderedPageBreak/>
        <w:t>V. Informácie o iných aktívach a iných pasívach</w:t>
      </w: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7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 xml:space="preserve">(1) Informácie o iných aktívach a iných pasívach: </w:t>
      </w:r>
    </w:p>
    <w:p w:rsidR="006F13D0" w:rsidRDefault="006F13D0">
      <w:pPr>
        <w:widowControl w:val="0"/>
        <w:spacing w:after="17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7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a) Informácie o podmienenom majetku</w:t>
      </w:r>
    </w:p>
    <w:p w:rsidR="006F13D0" w:rsidRDefault="0021380B">
      <w:pPr>
        <w:widowControl w:val="0"/>
        <w:spacing w:after="17" w:line="100" w:lineRule="atLeast"/>
        <w:rPr>
          <w:rFonts w:ascii="Calibri" w:hAnsi="Calibri" w:cs="Calibri"/>
          <w:color w:val="00000A"/>
          <w:sz w:val="20"/>
          <w:szCs w:val="20"/>
        </w:rPr>
      </w:pPr>
      <w:r>
        <w:rPr>
          <w:rFonts w:cs="Calibri"/>
          <w:color w:val="00000A"/>
          <w:sz w:val="20"/>
          <w:szCs w:val="20"/>
        </w:rPr>
        <w:t>Účtovná jednotka nemá vedomosť o  žiadnom podmienenom majetku, ktorý sa nevykazuje v súvahe.</w:t>
      </w:r>
    </w:p>
    <w:p w:rsidR="006F13D0" w:rsidRDefault="0021380B">
      <w:pPr>
        <w:widowControl w:val="0"/>
        <w:spacing w:after="17" w:line="100" w:lineRule="atLeast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Prostredníctvom Ladislava Pospíšila  - Služby v oblasti inkasa a správy poh</w:t>
      </w:r>
      <w:r>
        <w:rPr>
          <w:rFonts w:cs="Calibri"/>
          <w:color w:val="00000A"/>
          <w:sz w:val="20"/>
          <w:szCs w:val="20"/>
        </w:rPr>
        <w:t>ľadávok, Břeclav vymáhame pohľadávky  priebežne , čo však je evidované v aktívach v Účtovnej závierke.</w:t>
      </w:r>
    </w:p>
    <w:p w:rsidR="006F13D0" w:rsidRDefault="006F13D0">
      <w:pPr>
        <w:widowControl w:val="0"/>
        <w:spacing w:after="17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keepNext/>
        <w:widowControl w:val="0"/>
        <w:spacing w:before="28" w:after="0" w:line="100" w:lineRule="atLeast"/>
        <w:rPr>
          <w:rFonts w:ascii="Calibri" w:hAnsi="Calibri" w:cs="Calibri"/>
          <w:b/>
          <w:bCs/>
          <w:color w:val="000000"/>
        </w:rPr>
      </w:pPr>
      <w:r>
        <w:rPr>
          <w:rFonts w:cs="Calibri"/>
          <w:b/>
          <w:bCs/>
          <w:color w:val="000000"/>
        </w:rPr>
        <w:t>b) Informácie o podmienených záväzkoch</w:t>
      </w:r>
    </w:p>
    <w:p w:rsidR="006F13D0" w:rsidRDefault="0021380B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Vzhľadom na to, že viaceré oblasti slovenského daňového práva (napr. legislatíva ohľadom transferového oceňovania</w:t>
      </w:r>
      <w:r>
        <w:rPr>
          <w:rFonts w:cs="Calibri"/>
          <w:color w:val="00000A"/>
          <w:sz w:val="20"/>
          <w:szCs w:val="20"/>
        </w:rPr>
        <w:t>) doteraz neboli dostatočne overené praxou, existuje neistota v tom, ako ich budú daňové orgány aplikovať. Mieru tejto neistoty nie je možné kvantifikovať a zanikne až potom, keď budú k dispozícii právne precedensy príp. oficiálne interpretácie príslušných</w:t>
      </w:r>
      <w:r>
        <w:rPr>
          <w:rFonts w:cs="Calibri"/>
          <w:color w:val="00000A"/>
          <w:sz w:val="20"/>
          <w:szCs w:val="20"/>
        </w:rPr>
        <w:t xml:space="preserve"> orgánov. Vedenie Spoločnosti si nie je vedomé žiadnych okolností, v dôsledku ktorých by jej vznikol v budúcnosti významný náklad.</w:t>
      </w:r>
    </w:p>
    <w:p w:rsidR="006F13D0" w:rsidRDefault="006F13D0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Zamestnanec má na základe Zákonníka práce pri odchode do starobného dôchodku nárok na odmenu vo výške jednej priemernej mesa</w:t>
      </w:r>
      <w:r>
        <w:rPr>
          <w:rFonts w:cs="Calibri"/>
          <w:color w:val="00000A"/>
          <w:sz w:val="20"/>
          <w:szCs w:val="20"/>
        </w:rPr>
        <w:t>čnej mzdy. Spoločnosť odhadla, že výška takéhoto záväzku spoločnosti voči zamestnancom nie je významná. Účtovné výkazy neobsahujú žiadnu úpravu z tohto titulu.</w:t>
      </w:r>
    </w:p>
    <w:p w:rsidR="006F13D0" w:rsidRDefault="006F13D0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 xml:space="preserve">Okrem vyššie uvedeného, nemá Spoločnosť vedomosť o inom podmienenom majetku alebo podmienených </w:t>
      </w:r>
      <w:r>
        <w:rPr>
          <w:rFonts w:cs="Calibri"/>
          <w:color w:val="00000A"/>
          <w:sz w:val="20"/>
          <w:szCs w:val="20"/>
        </w:rPr>
        <w:t>záväzkoch, ktoré sa nevykazujú v súvahe.</w:t>
      </w:r>
    </w:p>
    <w:p w:rsidR="006F13D0" w:rsidRDefault="006F13D0">
      <w:pPr>
        <w:widowControl w:val="0"/>
        <w:spacing w:after="17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 xml:space="preserve"> (2) Informácia o ostatných finančných povinnostiach, ktoré sa nevykazujú v účtovných výkazoch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276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t>Spoločnosti nebolo udelené výlučné právo alebo osobitné právo poskytovať služby vo verejnom záujme. Na spoločnosť sa r</w:t>
      </w:r>
      <w:r>
        <w:rPr>
          <w:rFonts w:cs="Calibri"/>
          <w:color w:val="00000A"/>
          <w:sz w:val="20"/>
          <w:szCs w:val="20"/>
        </w:rPr>
        <w:t>ovnako nevzťahuje § 23d ods. 6 zákona o účtovníctve.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rPr>
          <w:rFonts w:ascii="Calibri" w:hAnsi="Calibri" w:cs="Calibri"/>
          <w:b/>
          <w:bCs/>
          <w:color w:val="00000A"/>
        </w:rPr>
      </w:pPr>
      <w:r>
        <w:rPr>
          <w:rFonts w:cs="Calibri"/>
          <w:b/>
          <w:bCs/>
          <w:color w:val="00000A"/>
        </w:rPr>
        <w:t xml:space="preserve">(3) Informácie ku sledovaných skutočnostiach   </w:t>
      </w:r>
    </w:p>
    <w:p w:rsidR="006F13D0" w:rsidRDefault="006F13D0">
      <w:pPr>
        <w:widowControl w:val="0"/>
        <w:spacing w:after="0" w:line="100" w:lineRule="atLeast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276" w:lineRule="auto"/>
        <w:jc w:val="both"/>
        <w:rPr>
          <w:rFonts w:ascii="Calibri" w:hAnsi="Calibri" w:cs="Calibri"/>
          <w:color w:val="00000A"/>
          <w:sz w:val="20"/>
          <w:szCs w:val="20"/>
        </w:rPr>
      </w:pPr>
      <w:r>
        <w:rPr>
          <w:rFonts w:cs="Calibri"/>
          <w:color w:val="00000A"/>
          <w:sz w:val="20"/>
          <w:szCs w:val="20"/>
        </w:rPr>
        <w:t xml:space="preserve"> Spoločnosť dňa 10.4.2022 ukončila nájom na adrese Ľudová 10, Trnava a presťahovala sa na adresu Skladová 7272, Trnava. V týchto priestoroch má spoločnos</w:t>
      </w:r>
      <w:r>
        <w:rPr>
          <w:rFonts w:cs="Calibri"/>
          <w:color w:val="00000A"/>
          <w:sz w:val="20"/>
          <w:szCs w:val="20"/>
        </w:rPr>
        <w:t>ť v súčasnosti svoju prevádzku.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cs="Calibri"/>
          <w:sz w:val="20"/>
          <w:szCs w:val="20"/>
        </w:rPr>
        <w:t>Spoločnosť má v dlhodobom prenájme pozemok určený na realizáciu investičných činností od  prenajímateľa Peter Kučera (Zmluva o nájme nebytových priestorov uzavretá v súlade s §663 a </w:t>
      </w:r>
      <w:proofErr w:type="spellStart"/>
      <w:r>
        <w:rPr>
          <w:rFonts w:cs="Calibri"/>
          <w:sz w:val="20"/>
          <w:szCs w:val="20"/>
        </w:rPr>
        <w:t>nasl</w:t>
      </w:r>
      <w:proofErr w:type="spellEnd"/>
      <w:r>
        <w:rPr>
          <w:rFonts w:cs="Calibri"/>
          <w:sz w:val="20"/>
          <w:szCs w:val="20"/>
        </w:rPr>
        <w:t xml:space="preserve">. Občianskeho zákonníka uzatvorená </w:t>
      </w:r>
      <w:r>
        <w:rPr>
          <w:rFonts w:cs="Calibri"/>
          <w:sz w:val="20"/>
          <w:szCs w:val="20"/>
        </w:rPr>
        <w:t>dňa 01.marca 2011). Ročné nájomné je stanovené vo výške 500 Eur. Nájomná zmluva je uzatvorená na dobu neurčitú odo dňa podpísania nájomnej zmluvy.</w:t>
      </w:r>
    </w:p>
    <w:p w:rsidR="006F13D0" w:rsidRDefault="006F13D0">
      <w:pPr>
        <w:widowControl w:val="0"/>
        <w:spacing w:after="0" w:line="100" w:lineRule="atLeast"/>
        <w:jc w:val="both"/>
        <w:rPr>
          <w:rFonts w:ascii="Calibri" w:hAnsi="Calibri" w:cs="Calibri"/>
          <w:sz w:val="20"/>
          <w:szCs w:val="20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sz w:val="20"/>
          <w:szCs w:val="20"/>
        </w:rPr>
        <w:t>Okrem vyššie uvedených Spoločnosť nemá vedomosť o inom podmienenom majetku alebo podmienených záväzkoch,</w:t>
      </w:r>
      <w:r>
        <w:rPr>
          <w:rFonts w:cs="Calibri"/>
          <w:color w:val="00000A"/>
          <w:sz w:val="20"/>
          <w:szCs w:val="20"/>
        </w:rPr>
        <w:t xml:space="preserve"> kto</w:t>
      </w:r>
      <w:r>
        <w:rPr>
          <w:rFonts w:cs="Calibri"/>
          <w:color w:val="00000A"/>
          <w:sz w:val="20"/>
          <w:szCs w:val="20"/>
        </w:rPr>
        <w:t>ré sa nevykazujú v súvahe.</w:t>
      </w:r>
    </w:p>
    <w:p w:rsidR="006F13D0" w:rsidRDefault="006F13D0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b/>
          <w:bCs/>
          <w:color w:val="00000A"/>
        </w:rPr>
        <w:t>VI. Udalosti, ktoré nastali po dni, ku ktorému sa zostavuje účtovná závierka</w:t>
      </w:r>
    </w:p>
    <w:p w:rsidR="006F13D0" w:rsidRDefault="006F13D0">
      <w:pPr>
        <w:widowControl w:val="0"/>
        <w:spacing w:after="0" w:line="100" w:lineRule="atLeast"/>
        <w:jc w:val="center"/>
        <w:rPr>
          <w:rFonts w:ascii="Arial" w:hAnsi="Arial" w:cs="Arial"/>
          <w:color w:val="000000"/>
          <w:sz w:val="24"/>
          <w:szCs w:val="24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Calibri" w:hAnsi="Calibri" w:cs="Calibri"/>
          <w:color w:val="00000A"/>
          <w:sz w:val="20"/>
          <w:szCs w:val="20"/>
        </w:rPr>
      </w:pPr>
      <w:r>
        <w:rPr>
          <w:rFonts w:cs="Calibri"/>
          <w:color w:val="00000A"/>
          <w:sz w:val="20"/>
          <w:szCs w:val="20"/>
        </w:rPr>
        <w:t>Od mája 2023 má spoločnosť prenajatý priestor na predaj ojazdených automobilov na podporu predaja, už nakúpených vozidiel.</w:t>
      </w:r>
    </w:p>
    <w:p w:rsidR="006F13D0" w:rsidRDefault="006F13D0">
      <w:pPr>
        <w:widowControl w:val="0"/>
        <w:spacing w:after="0" w:line="100" w:lineRule="atLeast"/>
        <w:jc w:val="both"/>
        <w:rPr>
          <w:rFonts w:ascii="Calibri" w:hAnsi="Calibri" w:cs="Calibri"/>
          <w:color w:val="00000A"/>
          <w:sz w:val="20"/>
          <w:szCs w:val="20"/>
        </w:rPr>
      </w:pPr>
    </w:p>
    <w:p w:rsidR="006F13D0" w:rsidRDefault="006F13D0">
      <w:pPr>
        <w:widowControl w:val="0"/>
        <w:spacing w:after="0" w:line="100" w:lineRule="atLeast"/>
        <w:jc w:val="both"/>
        <w:rPr>
          <w:rFonts w:ascii="Calibri" w:hAnsi="Calibri" w:cs="Calibri"/>
          <w:color w:val="00000A"/>
          <w:sz w:val="20"/>
          <w:szCs w:val="20"/>
        </w:rPr>
      </w:pPr>
    </w:p>
    <w:p w:rsidR="006F13D0" w:rsidRDefault="0021380B">
      <w:pPr>
        <w:widowControl w:val="0"/>
        <w:spacing w:after="0" w:line="100" w:lineRule="atLeas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cs="Calibri"/>
          <w:color w:val="00000A"/>
          <w:sz w:val="20"/>
          <w:szCs w:val="20"/>
        </w:rPr>
        <w:lastRenderedPageBreak/>
        <w:t xml:space="preserve"> </w:t>
      </w:r>
    </w:p>
    <w:sectPr w:rsidR="006F13D0">
      <w:pgSz w:w="12240" w:h="15840"/>
      <w:pgMar w:top="1417" w:right="1417" w:bottom="1417" w:left="1417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C317A"/>
    <w:multiLevelType w:val="multilevel"/>
    <w:tmpl w:val="9BEC37B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EFF3F75"/>
    <w:multiLevelType w:val="multilevel"/>
    <w:tmpl w:val="4816F14A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autoHyphenation/>
  <w:hyphenationZone w:val="425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3D0"/>
    <w:rsid w:val="0021380B"/>
    <w:rsid w:val="006F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A7B0E5-4F49-44BF-9234-D8BB22BA0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2562</Words>
  <Characters>14606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dc:description/>
  <cp:lastModifiedBy>Uzivatel</cp:lastModifiedBy>
  <cp:revision>2</cp:revision>
  <dcterms:created xsi:type="dcterms:W3CDTF">2023-06-27T18:10:00Z</dcterms:created>
  <dcterms:modified xsi:type="dcterms:W3CDTF">2023-06-27T18:10:00Z</dcterms:modified>
  <dc:language>sk-SK</dc:language>
</cp:coreProperties>
</file>