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3783" w:rsidRDefault="00C33783">
      <w:pPr>
        <w:pStyle w:val="Default"/>
        <w:ind w:left="-660"/>
        <w:rPr>
          <w:sz w:val="20"/>
        </w:rPr>
      </w:pPr>
    </w:p>
    <w:p w:rsidR="00C33783" w:rsidRDefault="00D719F5">
      <w:pPr>
        <w:pStyle w:val="Default"/>
      </w:pPr>
      <w: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sz w:val="18"/>
        </w:rPr>
        <w:t>Účtovná závierka</w:t>
      </w:r>
      <w:r>
        <w:rPr>
          <w:sz w:val="20"/>
        </w:rPr>
        <w:t xml:space="preserve"> MO-ES, spol. s r.o., IČO: 35855436, DIČ: 2020289777, SK NACE: 46.90.0.</w:t>
      </w:r>
    </w:p>
    <w:p w:rsidR="00C33783" w:rsidRDefault="00D719F5">
      <w:pPr>
        <w:pStyle w:val="Default"/>
        <w:rPr>
          <w:sz w:val="20"/>
        </w:rPr>
      </w:pPr>
      <w:r>
        <w:rPr>
          <w:sz w:val="20"/>
        </w:rPr>
        <w:t xml:space="preserve">                                                                </w:t>
      </w:r>
    </w:p>
    <w:p w:rsidR="00C33783" w:rsidRDefault="00D719F5">
      <w:pPr>
        <w:pStyle w:val="Default"/>
        <w:jc w:val="center"/>
        <w:rPr>
          <w:sz w:val="20"/>
        </w:rPr>
      </w:pPr>
      <w:r>
        <w:rPr>
          <w:sz w:val="20"/>
        </w:rPr>
        <w:t xml:space="preserve">        Poznámky </w:t>
      </w:r>
      <w:proofErr w:type="spellStart"/>
      <w:r>
        <w:rPr>
          <w:sz w:val="20"/>
        </w:rPr>
        <w:t>Úč</w:t>
      </w:r>
      <w:proofErr w:type="spellEnd"/>
      <w:r>
        <w:rPr>
          <w:sz w:val="20"/>
        </w:rPr>
        <w:t xml:space="preserve"> MÚJ 3 - 01  </w:t>
      </w:r>
    </w:p>
    <w:p w:rsidR="00C33783" w:rsidRDefault="00C33783">
      <w:pPr>
        <w:pStyle w:val="Default"/>
        <w:rPr>
          <w:sz w:val="20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t xml:space="preserve"> </w:t>
      </w:r>
      <w:r>
        <w:rPr>
          <w:rFonts w:ascii="Times New Roman" w:hAnsi="Times New Roman"/>
          <w:b/>
          <w:sz w:val="18"/>
        </w:rPr>
        <w:t xml:space="preserve">I. VŠEOBECNÉ ÚDAJE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b/>
          <w:sz w:val="18"/>
        </w:rPr>
        <w:t>1. Informácie o Spoločnosti</w:t>
      </w:r>
      <w:r>
        <w:rPr>
          <w:sz w:val="20"/>
        </w:rPr>
        <w:t xml:space="preserve"> </w:t>
      </w:r>
    </w:p>
    <w:p w:rsidR="00C33783" w:rsidRDefault="00D719F5">
      <w:pPr>
        <w:pStyle w:val="Default"/>
        <w:rPr>
          <w:sz w:val="20"/>
        </w:rPr>
      </w:pPr>
      <w:r>
        <w:rPr>
          <w:rFonts w:ascii="Times New Roman" w:hAnsi="Times New Roman"/>
          <w:sz w:val="18"/>
        </w:rPr>
        <w:t>Názov  a sídlo spoločnosti</w:t>
      </w:r>
      <w:r>
        <w:rPr>
          <w:sz w:val="20"/>
        </w:rPr>
        <w:t xml:space="preserve"> MO-ES, spol. s r.o., Záhradnícka 4 , 811 08 Bratislava</w:t>
      </w:r>
    </w:p>
    <w:p w:rsidR="00C33783" w:rsidRDefault="00C33783">
      <w:pPr>
        <w:pStyle w:val="Default"/>
        <w:rPr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Údaje o konsolidovanom celku </w:t>
      </w:r>
    </w:p>
    <w:p w:rsidR="00C33783" w:rsidRDefault="00D719F5" w:rsidP="0050215D">
      <w:pPr>
        <w:pStyle w:val="Default"/>
        <w:numPr>
          <w:ilvl w:val="0"/>
          <w:numId w:val="1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Spoločnosť sa nezahŕňa do konsolidovanej účtovnej závierky inej spoločnosti. </w:t>
      </w:r>
    </w:p>
    <w:p w:rsidR="00C33783" w:rsidRDefault="00D719F5" w:rsidP="0050215D">
      <w:pPr>
        <w:pStyle w:val="Default"/>
        <w:numPr>
          <w:ilvl w:val="0"/>
          <w:numId w:val="2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Spoločnosť nie je materskou účtovnou jednotkou.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Počet zamestnancov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Priemerný prepočítaný poč</w:t>
      </w:r>
      <w:r w:rsidR="007F1C19">
        <w:rPr>
          <w:rFonts w:ascii="Times New Roman" w:hAnsi="Times New Roman"/>
          <w:sz w:val="18"/>
        </w:rPr>
        <w:t>et zamestnancov k 31.12.2022</w:t>
      </w:r>
      <w:r>
        <w:rPr>
          <w:rFonts w:ascii="Times New Roman" w:hAnsi="Times New Roman"/>
          <w:sz w:val="18"/>
        </w:rPr>
        <w:t xml:space="preserve"> je 2.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II INFORMÁCIE O PRIJATÝCH POSTUPOCH</w:t>
      </w:r>
    </w:p>
    <w:p w:rsidR="00C33783" w:rsidRDefault="00D719F5" w:rsidP="0050215D">
      <w:pPr>
        <w:pStyle w:val="Default"/>
        <w:numPr>
          <w:ilvl w:val="0"/>
          <w:numId w:val="3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1.Predpoklad pre zostavenie účtovnej závierky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Účtovná závierka bola zostavená za predpokladu, že Spoločnosť bude nepretržite pokračovať vo svojej činnosti. </w:t>
      </w:r>
    </w:p>
    <w:p w:rsidR="00C33783" w:rsidRDefault="00D719F5" w:rsidP="0050215D">
      <w:pPr>
        <w:pStyle w:val="Default"/>
        <w:numPr>
          <w:ilvl w:val="0"/>
          <w:numId w:val="4"/>
        </w:numPr>
        <w:tabs>
          <w:tab w:val="left" w:pos="0"/>
        </w:tabs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>Spôsob oceňovania jednotlivých položiek majetku a záväzkov</w:t>
      </w:r>
    </w:p>
    <w:p w:rsidR="00C33783" w:rsidRDefault="00D719F5" w:rsidP="0050215D">
      <w:pPr>
        <w:pStyle w:val="Default"/>
        <w:numPr>
          <w:ilvl w:val="0"/>
          <w:numId w:val="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Dlhodobý nehmotný majetok, dlhodobý hmotný majetok a dlhodobý finančný majetok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hmotného majetku nie sú úroky z cudzích zdrojov ani realizované kurzové rozdiely, ktoré vznikli do momentu uvedenia dlhodobého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Súčasťou obstarávacej ceny dlhodobého nehmotného majetku nie sú úroky z cudzích zdrojov, ktoré vznikli do momentu zaradenia dlhodobého nehmotného majetku do používania.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D719F5" w:rsidP="0050215D">
      <w:pPr>
        <w:pStyle w:val="Default"/>
        <w:numPr>
          <w:ilvl w:val="0"/>
          <w:numId w:val="6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Zásoby obstarané kúpu, zásoby vytvorené vlastnou činnosťou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Čistá realizačná hodnota je predpokladaná predajná cena znížená o predpokladané náklady na ich dokončenie a o predpokladané náklady súvisiace s ich predajom. </w:t>
      </w:r>
    </w:p>
    <w:p w:rsidR="00C33783" w:rsidRDefault="00D719F5" w:rsidP="0050215D">
      <w:pPr>
        <w:pStyle w:val="Default"/>
        <w:numPr>
          <w:ilvl w:val="0"/>
          <w:numId w:val="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c) Pohľadávky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C33783" w:rsidRDefault="00D719F5" w:rsidP="0050215D">
      <w:pPr>
        <w:pStyle w:val="Default"/>
        <w:numPr>
          <w:ilvl w:val="0"/>
          <w:numId w:val="8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Krátkodobý finančný majetok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Cenné papiere a podiely sa oceňujú obstarávacími cenami vrátane nákladov súvisiacich s obstaraním. </w:t>
      </w:r>
    </w:p>
    <w:p w:rsidR="00C33783" w:rsidRDefault="00C33783" w:rsidP="0050215D">
      <w:pPr>
        <w:pStyle w:val="Default"/>
        <w:numPr>
          <w:ilvl w:val="0"/>
          <w:numId w:val="9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Záväzky, vrátane rezerv, dlhopisov, pôžičiek a úverov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Záväzky (vrátane dlhopisov a pôžičiek a úverov)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 Spoločnosť nemá náplň pre tento bod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C33783" w:rsidRDefault="00D719F5" w:rsidP="0050215D">
      <w:pPr>
        <w:pStyle w:val="Default"/>
        <w:numPr>
          <w:ilvl w:val="0"/>
          <w:numId w:val="11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f) Derivátové operácie </w:t>
      </w:r>
    </w:p>
    <w:p w:rsidR="00C33783" w:rsidRDefault="00C33783">
      <w:pPr>
        <w:pStyle w:val="Default"/>
        <w:rPr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Derivátové operácie sa oceňujú obstarávacou cenou.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Spôsob zostavenia odpisového plánu </w:t>
      </w:r>
    </w:p>
    <w:tbl>
      <w:tblPr>
        <w:tblW w:w="0" w:type="auto"/>
        <w:tblInd w:w="-47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634"/>
        <w:gridCol w:w="76"/>
      </w:tblGrid>
      <w:tr w:rsidR="00C33783">
        <w:tc>
          <w:tcPr>
            <w:tcW w:w="1063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lastRenderedPageBreak/>
      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      </w:r>
          </w:p>
          <w:p w:rsidR="00C33783" w:rsidRDefault="007F1C19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Pred</w:t>
            </w:r>
            <w:r w:rsidR="00395413">
              <w:rPr>
                <w:rFonts w:ascii="Times New Roman" w:hAnsi="Times New Roman"/>
                <w:sz w:val="18"/>
              </w:rPr>
              <w:t>pokladaná doba používania, metóda odpisovania a odpisová sadzba sú uvedené v nasledujúcej tabuľke</w:t>
            </w:r>
          </w:p>
          <w:p w:rsidR="00C33783" w:rsidRDefault="00395413" w:rsidP="00395413">
            <w:pPr>
              <w:pStyle w:val="Default"/>
              <w:ind w:left="-3" w:right="-3" w:hanging="150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 </w:t>
            </w:r>
          </w:p>
        </w:tc>
        <w:tc>
          <w:tcPr>
            <w:tcW w:w="7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Ročná odpisová </w:t>
            </w:r>
          </w:p>
        </w:tc>
      </w:tr>
    </w:tbl>
    <w:p w:rsidR="00C33783" w:rsidRDefault="00C33783">
      <w:pPr>
        <w:pStyle w:val="Default"/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57"/>
        <w:gridCol w:w="686"/>
        <w:gridCol w:w="1371"/>
        <w:gridCol w:w="1372"/>
        <w:gridCol w:w="685"/>
        <w:gridCol w:w="2058"/>
      </w:tblGrid>
      <w:tr w:rsidR="00C33783">
        <w:trPr>
          <w:trHeight w:val="185"/>
        </w:trPr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doba používania v rokoch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odpisovania </w:t>
            </w:r>
          </w:p>
        </w:tc>
        <w:tc>
          <w:tcPr>
            <w:tcW w:w="2743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sadzba v %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Aktivované náklady na vývoj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5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20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Softvér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25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Oceniteľné práva (licencia)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12,5 </w:t>
            </w:r>
          </w:p>
        </w:tc>
      </w:tr>
      <w:tr w:rsidR="00C33783">
        <w:trPr>
          <w:trHeight w:val="81"/>
        </w:trPr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nehmotný majetok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2057" w:type="dxa"/>
            <w:gridSpan w:val="2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  <w:tc>
          <w:tcPr>
            <w:tcW w:w="2057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100 </w:t>
            </w:r>
          </w:p>
        </w:tc>
      </w:tr>
    </w:tbl>
    <w:p w:rsidR="00C33783" w:rsidRDefault="00C33783">
      <w:pPr>
        <w:pStyle w:val="Default"/>
      </w:pP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tbl>
      <w:tblPr>
        <w:tblW w:w="0" w:type="auto"/>
        <w:tblInd w:w="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94"/>
        <w:gridCol w:w="2130"/>
        <w:gridCol w:w="6106"/>
      </w:tblGrid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</w:t>
            </w:r>
          </w:p>
          <w:p w:rsidR="00C33783" w:rsidRDefault="00D719F5">
            <w:pPr>
              <w:pStyle w:val="Default"/>
              <w:rPr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sz w:val="20"/>
              </w:rPr>
              <w:t xml:space="preserve">Predpokladaná doba používania, metóda odpisovania a odpisová sadzba sú uvedené v nasledujúcej tabuľke: </w:t>
            </w:r>
          </w:p>
          <w:p w:rsidR="00C33783" w:rsidRDefault="00C33783">
            <w:pPr>
              <w:pStyle w:val="Default"/>
              <w:tabs>
                <w:tab w:val="left" w:pos="-426"/>
              </w:tabs>
              <w:ind w:left="-93" w:right="-213" w:hanging="240"/>
              <w:rPr>
                <w:rFonts w:ascii="Times New Roman" w:hAnsi="Times New Roman"/>
                <w:sz w:val="18"/>
              </w:rPr>
            </w:pPr>
          </w:p>
        </w:tc>
      </w:tr>
      <w:tr w:rsidR="00C33783">
        <w:trPr>
          <w:trHeight w:val="81"/>
        </w:trPr>
        <w:tc>
          <w:tcPr>
            <w:tcW w:w="10230" w:type="dxa"/>
            <w:gridSpan w:val="3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Predpokladaná doba používania v rokoch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Stavby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40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Stroje, prístroje a zariadenia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8 až 12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Dopravné prostriedky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4 až 6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lineárna </w:t>
            </w:r>
          </w:p>
        </w:tc>
      </w:tr>
      <w:tr w:rsidR="00C33783">
        <w:trPr>
          <w:trHeight w:val="81"/>
        </w:trPr>
        <w:tc>
          <w:tcPr>
            <w:tcW w:w="1994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Drobný dlhodobý hmotný majetok </w:t>
            </w:r>
          </w:p>
        </w:tc>
        <w:tc>
          <w:tcPr>
            <w:tcW w:w="2130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rôzna </w:t>
            </w:r>
          </w:p>
        </w:tc>
        <w:tc>
          <w:tcPr>
            <w:tcW w:w="6106" w:type="dxa"/>
          </w:tcPr>
          <w:p w:rsidR="00C33783" w:rsidRDefault="00D719F5">
            <w:pPr>
              <w:pStyle w:val="Default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 xml:space="preserve">jednorazový odpis </w:t>
            </w:r>
          </w:p>
        </w:tc>
      </w:tr>
    </w:tbl>
    <w:p w:rsidR="00C33783" w:rsidRDefault="00C33783">
      <w:pPr>
        <w:pStyle w:val="Default"/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Dotácie sa v účtovníctve oceňujú menovitou hodnotou.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Spoločnosti nebo</w:t>
      </w:r>
      <w:r w:rsidR="0050215D">
        <w:rPr>
          <w:rFonts w:ascii="Times New Roman" w:hAnsi="Times New Roman"/>
          <w:sz w:val="18"/>
        </w:rPr>
        <w:t>l</w:t>
      </w:r>
      <w:r w:rsidR="007F1C19">
        <w:rPr>
          <w:rFonts w:ascii="Times New Roman" w:hAnsi="Times New Roman"/>
          <w:sz w:val="18"/>
        </w:rPr>
        <w:t>a v roku 2022  poskytnutá dotácia</w:t>
      </w:r>
      <w:r>
        <w:rPr>
          <w:rFonts w:ascii="Times New Roman" w:hAnsi="Times New Roman"/>
          <w:sz w:val="18"/>
        </w:rPr>
        <w:t>.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účtovaní významných a nevýznamných opráv chýb minulých účtovných období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významných chýb minulých účtovných období sa účtujú na účte 428 – Nerozdelený zisk minulých rokov alebo na účte 429 – Neuhradená strata minulých rokov.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Spoločnosť neúčtovala v účtovnom období 2</w:t>
      </w:r>
      <w:r w:rsidR="007F1C19">
        <w:rPr>
          <w:rFonts w:ascii="Times New Roman" w:hAnsi="Times New Roman"/>
          <w:sz w:val="18"/>
        </w:rPr>
        <w:t>022</w:t>
      </w:r>
      <w:r>
        <w:rPr>
          <w:rFonts w:ascii="Times New Roman" w:hAnsi="Times New Roman"/>
          <w:sz w:val="18"/>
        </w:rPr>
        <w:t xml:space="preserve"> o žiadnych významných chybách minulých účtovných období.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Opravy nevýznamných nákladov a nevýznamných výnosov minulých období sa účtujú ako účtovné prípady bežného účtovného obdobia na príslušných účtoch nákladov alebo výnosov z hospodárskej činnosti. </w:t>
      </w:r>
    </w:p>
    <w:p w:rsidR="00C33783" w:rsidRDefault="00C33783">
      <w:pPr>
        <w:pStyle w:val="Default"/>
        <w:rPr>
          <w:rFonts w:ascii="Times New Roman" w:hAnsi="Times New Roman"/>
          <w:b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III. INFORMÁCIE , KTORÉ VYSVETĽUJÚ A DOPĹŇAJÚ SÚVAHU A VÝKAZ ZISKOV A STRÁT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1. Informácie o sume a dôvodoch vzniku jednotlivých položiek nákladov alebo výnosov, ktoré majú výnimočný rozsah alebo výskyt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2. Informácie o záväzkoch </w:t>
      </w:r>
    </w:p>
    <w:p w:rsidR="00C33783" w:rsidRDefault="00D719F5" w:rsidP="0050215D">
      <w:pPr>
        <w:pStyle w:val="Default"/>
        <w:numPr>
          <w:ilvl w:val="0"/>
          <w:numId w:val="12"/>
        </w:numPr>
        <w:tabs>
          <w:tab w:val="left" w:pos="0"/>
        </w:tabs>
        <w:spacing w:after="12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Informácie o záväzkov so zostatkovou dobou splatnosti nad päť rokov a o zabezpečených záväzkoch </w:t>
      </w:r>
    </w:p>
    <w:p w:rsidR="00C33783" w:rsidRDefault="00D719F5" w:rsidP="0050215D">
      <w:pPr>
        <w:pStyle w:val="Default"/>
        <w:numPr>
          <w:ilvl w:val="0"/>
          <w:numId w:val="13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Opis a spôsob zabezpečenia záväzkov: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3. Informácie o vlastných akciách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4. Informácia o tom, či účtovná jednotka vytvorila kapitálový fond z príspevkov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5. Informácie o orgánoch účtovnej jednotky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Členom štatut</w:t>
      </w:r>
      <w:r w:rsidR="00395413">
        <w:rPr>
          <w:rFonts w:ascii="Times New Roman" w:hAnsi="Times New Roman"/>
          <w:sz w:val="18"/>
        </w:rPr>
        <w:t>árnemu orgánu neboli v roku 202</w:t>
      </w:r>
      <w:r w:rsidR="007F1C19">
        <w:rPr>
          <w:rFonts w:ascii="Times New Roman" w:hAnsi="Times New Roman"/>
          <w:sz w:val="18"/>
        </w:rPr>
        <w:t>2</w:t>
      </w:r>
      <w:r>
        <w:rPr>
          <w:rFonts w:ascii="Times New Roman" w:hAnsi="Times New Roman"/>
          <w:sz w:val="18"/>
        </w:rPr>
        <w:t xml:space="preserve"> poskytnuté žiadne pôžičky, záruky alebo iné formy zabezpečenia, ani finančné prostriedky alebo iné plnenia na súkromné účely členov, ktoré sa vyúčtovávajú.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6. Informácie o povinnostiach účtovnej jednotky </w:t>
      </w:r>
    </w:p>
    <w:p w:rsidR="00C33783" w:rsidRDefault="00D719F5" w:rsidP="0050215D">
      <w:pPr>
        <w:pStyle w:val="Default"/>
        <w:numPr>
          <w:ilvl w:val="0"/>
          <w:numId w:val="14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a) Finančné povinnosti, ktoré sa nevykazujú v súvahe, ale sú významné na posúdenie finančnej situácie Spoločnosti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15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b) Významné podmienené záväzky </w:t>
      </w:r>
    </w:p>
    <w:p w:rsidR="00C33783" w:rsidRDefault="00D719F5" w:rsidP="007F1C19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Vedenie Spoločnosti si nie je vedomé žiadnych okolností, v dôsledku ktorých </w:t>
      </w:r>
      <w:r w:rsidR="007F1C19">
        <w:rPr>
          <w:rFonts w:ascii="Times New Roman" w:hAnsi="Times New Roman"/>
          <w:sz w:val="18"/>
        </w:rPr>
        <w:t>by jej vznikol významný náklad.</w:t>
      </w:r>
      <w:bookmarkStart w:id="0" w:name="_GoBack"/>
      <w:bookmarkEnd w:id="0"/>
    </w:p>
    <w:p w:rsidR="00C33783" w:rsidRDefault="00D719F5" w:rsidP="0050215D">
      <w:pPr>
        <w:pStyle w:val="Default"/>
        <w:numPr>
          <w:ilvl w:val="0"/>
          <w:numId w:val="17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lastRenderedPageBreak/>
        <w:t xml:space="preserve">c) Opis významných finančných povinností a významných podmienených záväzkov </w:t>
      </w: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C33783" w:rsidP="0050215D">
      <w:pPr>
        <w:pStyle w:val="Default"/>
        <w:numPr>
          <w:ilvl w:val="0"/>
          <w:numId w:val="18"/>
        </w:numPr>
        <w:tabs>
          <w:tab w:val="left" w:pos="0"/>
        </w:tabs>
        <w:rPr>
          <w:rFonts w:ascii="Times New Roman" w:hAnsi="Times New Roman"/>
          <w:sz w:val="18"/>
        </w:rPr>
      </w:pPr>
    </w:p>
    <w:p w:rsidR="00C33783" w:rsidRDefault="00D719F5" w:rsidP="0050215D">
      <w:pPr>
        <w:pStyle w:val="Default"/>
        <w:numPr>
          <w:ilvl w:val="0"/>
          <w:numId w:val="19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d) Výška významných finančných povinností a významných podmienených záväzkov voči dcérskej účtovnej jednotke a účtovnej jednotke s podstatným vplyvom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 w:rsidP="0050215D">
      <w:pPr>
        <w:pStyle w:val="Default"/>
        <w:numPr>
          <w:ilvl w:val="0"/>
          <w:numId w:val="20"/>
        </w:numPr>
        <w:tabs>
          <w:tab w:val="left" w:pos="0"/>
        </w:tabs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e) Opis významných povinností Spoločnosti vyplývajúcich z dôchodkových programov pre zamestnancov </w:t>
      </w:r>
    </w:p>
    <w:p w:rsidR="00C33783" w:rsidRDefault="00C33783">
      <w:pPr>
        <w:pStyle w:val="Default"/>
        <w:rPr>
          <w:rFonts w:ascii="Times New Roman" w:hAnsi="Times New Roman"/>
          <w:sz w:val="18"/>
        </w:rPr>
      </w:pPr>
    </w:p>
    <w:p w:rsidR="00C33783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bod. </w:t>
      </w:r>
    </w:p>
    <w:p w:rsidR="00C33783" w:rsidRDefault="00D719F5">
      <w:pPr>
        <w:pStyle w:val="Default"/>
        <w:rPr>
          <w:rFonts w:ascii="Times New Roman" w:hAnsi="Times New Roman"/>
          <w:b/>
          <w:sz w:val="18"/>
        </w:rPr>
      </w:pPr>
      <w:r>
        <w:rPr>
          <w:rFonts w:ascii="Times New Roman" w:hAnsi="Times New Roman"/>
          <w:b/>
          <w:sz w:val="18"/>
        </w:rPr>
        <w:t xml:space="preserve">7. Informácie o udelení výlučného práva alebo osobitného práva, ktorým sa udelilo právo poskytovať služby vo verejnom záujme </w:t>
      </w:r>
    </w:p>
    <w:p w:rsidR="00D719F5" w:rsidRDefault="00D719F5">
      <w:pPr>
        <w:pStyle w:val="Defaul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 xml:space="preserve">Spoločnosť nemá náplň pre tento bod </w:t>
      </w:r>
    </w:p>
    <w:sectPr w:rsidR="00D719F5" w:rsidSect="00C33783">
      <w:footnotePr>
        <w:pos w:val="beneathText"/>
      </w:footnotePr>
      <w:pgSz w:w="11905" w:h="16837"/>
      <w:pgMar w:top="1134" w:right="556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CB8137A"/>
    <w:lvl w:ilvl="0">
      <w:numFmt w:val="bullet"/>
      <w:lvlText w:val="*"/>
      <w:lvlJc w:val="left"/>
    </w:lvl>
  </w:abstractNum>
  <w:abstractNum w:abstractNumId="1" w15:restartNumberingAfterBreak="0">
    <w:nsid w:val="188A0DDD"/>
    <w:multiLevelType w:val="singleLevel"/>
    <w:tmpl w:val="66E62228"/>
    <w:lvl w:ilvl="0">
      <w:start w:val="2"/>
      <w:numFmt w:val="upperRoman"/>
      <w:lvlText w:val="%1"/>
      <w:legacy w:legacy="1" w:legacySpace="0" w:legacyIndent="0"/>
      <w:lvlJc w:val="left"/>
    </w:lvl>
  </w:abstractNum>
  <w:abstractNum w:abstractNumId="2" w15:restartNumberingAfterBreak="0">
    <w:nsid w:val="71A87C5F"/>
    <w:multiLevelType w:val="singleLevel"/>
    <w:tmpl w:val="29783A62"/>
    <w:lvl w:ilvl="0">
      <w:start w:val="2"/>
      <w:numFmt w:val="decimal"/>
      <w:lvlText w:val="%1"/>
      <w:legacy w:legacy="1" w:legacySpace="0" w:legacyIndent="0"/>
      <w:lvlJc w:val="left"/>
    </w:lvl>
  </w:abstractNum>
  <w:num w:numId="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3">
    <w:abstractNumId w:val="1"/>
  </w:num>
  <w:num w:numId="4">
    <w:abstractNumId w:val="2"/>
  </w:num>
  <w:num w:numId="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1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2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3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4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5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6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7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8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19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  <w:num w:numId="20">
    <w:abstractNumId w:val="0"/>
    <w:lvlOverride w:ilvl="0">
      <w:lvl w:ilvl="0">
        <w:start w:val="1"/>
        <w:numFmt w:val="bullet"/>
        <w:lvlText w:val="%1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</w:foot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15D"/>
    <w:rsid w:val="003328CC"/>
    <w:rsid w:val="00395413"/>
    <w:rsid w:val="003D0C7C"/>
    <w:rsid w:val="0050215D"/>
    <w:rsid w:val="006E26FE"/>
    <w:rsid w:val="007F1C19"/>
    <w:rsid w:val="00B21AF8"/>
    <w:rsid w:val="00C33783"/>
    <w:rsid w:val="00D71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855273-0756-46F8-94A6-00093959E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783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kern w:val="1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C33783"/>
  </w:style>
  <w:style w:type="character" w:customStyle="1" w:styleId="Symbolypreslovanie">
    <w:name w:val="Symboly pre ?íslovanie"/>
    <w:rsid w:val="00C33783"/>
  </w:style>
  <w:style w:type="paragraph" w:customStyle="1" w:styleId="Nadpis">
    <w:name w:val="Nadpis"/>
    <w:basedOn w:val="Normlny"/>
    <w:next w:val="Zkladntext"/>
    <w:rsid w:val="00C33783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rsid w:val="00C33783"/>
    <w:pPr>
      <w:spacing w:after="120"/>
    </w:pPr>
  </w:style>
  <w:style w:type="paragraph" w:styleId="Zoznam">
    <w:name w:val="List"/>
    <w:basedOn w:val="Zkladntext"/>
    <w:semiHidden/>
    <w:rsid w:val="00C33783"/>
  </w:style>
  <w:style w:type="paragraph" w:customStyle="1" w:styleId="Popisok">
    <w:name w:val="Popisok"/>
    <w:basedOn w:val="Normlny"/>
    <w:rsid w:val="00C33783"/>
    <w:pPr>
      <w:suppressLineNumbers/>
      <w:spacing w:before="120" w:after="120"/>
    </w:pPr>
    <w:rPr>
      <w:i/>
    </w:rPr>
  </w:style>
  <w:style w:type="paragraph" w:customStyle="1" w:styleId="Index">
    <w:name w:val="Index"/>
    <w:basedOn w:val="Normlny"/>
    <w:rsid w:val="00C33783"/>
    <w:pPr>
      <w:suppressLineNumbers/>
    </w:pPr>
  </w:style>
  <w:style w:type="paragraph" w:styleId="Nzov">
    <w:name w:val="Title"/>
    <w:basedOn w:val="Nadpis"/>
    <w:next w:val="Podtitul"/>
    <w:qFormat/>
    <w:rsid w:val="00C33783"/>
  </w:style>
  <w:style w:type="paragraph" w:styleId="Podtitul">
    <w:name w:val="Subtitle"/>
    <w:basedOn w:val="Nadpis"/>
    <w:next w:val="Zkladntext"/>
    <w:qFormat/>
    <w:rsid w:val="00C33783"/>
    <w:pPr>
      <w:jc w:val="center"/>
    </w:pPr>
    <w:rPr>
      <w:i/>
    </w:rPr>
  </w:style>
  <w:style w:type="paragraph" w:customStyle="1" w:styleId="Default">
    <w:name w:val="Default"/>
    <w:basedOn w:val="Normlny"/>
    <w:rsid w:val="00C33783"/>
    <w:rPr>
      <w:rFonts w:ascii="Calibri" w:hAnsi="Calibri"/>
      <w:color w:val="000000"/>
    </w:rPr>
  </w:style>
  <w:style w:type="paragraph" w:customStyle="1" w:styleId="Obsahtabuky">
    <w:name w:val="Obsah tabu?ky"/>
    <w:basedOn w:val="Normlny"/>
    <w:rsid w:val="00C33783"/>
    <w:pPr>
      <w:suppressLineNumbers/>
    </w:pPr>
  </w:style>
  <w:style w:type="paragraph" w:customStyle="1" w:styleId="Nadpistabuky">
    <w:name w:val="Nadpis tabu?ky"/>
    <w:basedOn w:val="Obsahtabuky"/>
    <w:rsid w:val="00C33783"/>
    <w:pPr>
      <w:jc w:val="center"/>
    </w:pPr>
    <w:rPr>
      <w:b/>
    </w:rPr>
  </w:style>
  <w:style w:type="paragraph" w:customStyle="1" w:styleId="Obsahtabuky0">
    <w:name w:val="Obsah tabu?ky"/>
    <w:basedOn w:val="Normlny"/>
    <w:rsid w:val="00C33783"/>
    <w:pPr>
      <w:suppressLineNumbers/>
    </w:pPr>
  </w:style>
  <w:style w:type="paragraph" w:customStyle="1" w:styleId="Nadpistabuky0">
    <w:name w:val="Nadpis tabu?ky"/>
    <w:basedOn w:val="Obsahtabuky0"/>
    <w:rsid w:val="00C33783"/>
    <w:pPr>
      <w:jc w:val="center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1191</Words>
  <Characters>6794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3</cp:revision>
  <cp:lastPrinted>1899-12-31T22:00:00Z</cp:lastPrinted>
  <dcterms:created xsi:type="dcterms:W3CDTF">2023-06-12T09:23:00Z</dcterms:created>
  <dcterms:modified xsi:type="dcterms:W3CDTF">2023-06-12T09:26:00Z</dcterms:modified>
</cp:coreProperties>
</file>