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4"/>
        <w:tabs>
          <w:tab w:val="left" w:pos="9781"/>
        </w:tabs>
        <w:jc w:val="center"/>
        <w:rPr>
          <w:rFonts w:ascii="Arial Narrow" w:hAnsi="Arial Narrow"/>
          <w:b/>
          <w:bCs/>
          <w:color w:val="auto"/>
          <w:szCs w:val="22"/>
        </w:rPr>
      </w:pPr>
      <w:r>
        <w:rPr>
          <w:rFonts w:ascii="Arial Narrow" w:hAnsi="Arial Narrow"/>
          <w:b/>
          <w:bCs/>
          <w:color w:val="auto"/>
          <w:szCs w:val="22"/>
        </w:rPr>
        <w:t>Výročná správa registrovaného sociálneho podniku</w:t>
      </w:r>
    </w:p>
    <w:p>
      <w:pPr>
        <w:pStyle w:val="14"/>
        <w:tabs>
          <w:tab w:val="left" w:pos="9781"/>
        </w:tabs>
        <w:spacing w:before="120"/>
        <w:ind w:left="426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Názov spoločnosti: Obecný sociálny podnik Kendy s.r.o., r.s.p.</w:t>
      </w:r>
    </w:p>
    <w:p>
      <w:pPr>
        <w:pStyle w:val="14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Dátum vzniku: 29.8.2020 </w:t>
      </w:r>
    </w:p>
    <w:p>
      <w:pPr>
        <w:pStyle w:val="14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Sídlo: Kendice 274, 08201</w:t>
      </w:r>
    </w:p>
    <w:p>
      <w:pPr>
        <w:pStyle w:val="14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Druh</w:t>
      </w:r>
      <w:r>
        <w:rPr>
          <w:rFonts w:ascii="Arial Narrow" w:hAnsi="Arial Narrow"/>
          <w:color w:val="auto"/>
          <w:sz w:val="22"/>
          <w:szCs w:val="22"/>
        </w:rPr>
        <w:t xml:space="preserve"> </w:t>
      </w:r>
      <w:r>
        <w:rPr>
          <w:rFonts w:ascii="Arial Narrow" w:hAnsi="Arial Narrow"/>
          <w:b/>
          <w:color w:val="auto"/>
          <w:sz w:val="22"/>
          <w:szCs w:val="22"/>
        </w:rPr>
        <w:t>registrovaného sociálneho podniku (RSP)</w:t>
      </w:r>
      <w:r>
        <w:rPr>
          <w:rFonts w:ascii="Arial Narrow" w:hAnsi="Arial Narrow"/>
          <w:color w:val="auto"/>
          <w:sz w:val="22"/>
          <w:szCs w:val="22"/>
        </w:rPr>
        <w:t xml:space="preserve">: </w:t>
      </w:r>
      <w:r>
        <w:rPr>
          <w:rFonts w:ascii="Arial Narrow" w:hAnsi="Arial Narrow"/>
          <w:b/>
          <w:color w:val="auto"/>
          <w:sz w:val="22"/>
          <w:szCs w:val="22"/>
        </w:rPr>
        <w:t xml:space="preserve">integračný </w:t>
      </w:r>
      <w:r>
        <w:rPr>
          <w:rFonts w:ascii="Arial Narrow" w:hAnsi="Arial Narrow"/>
          <w:color w:val="auto"/>
          <w:sz w:val="22"/>
          <w:szCs w:val="22"/>
        </w:rPr>
        <w:tab/>
      </w:r>
    </w:p>
    <w:p>
      <w:pPr>
        <w:pStyle w:val="14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Dátum priznania štatútu: 9.10.2020</w:t>
      </w:r>
    </w:p>
    <w:p>
      <w:pPr>
        <w:pStyle w:val="14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Spôsob zapájania zainteresovaných osôb do správy RSP v zmysle základného dokumentu spoločnosti:     </w:t>
      </w:r>
    </w:p>
    <w:p>
      <w:pPr>
        <w:pStyle w:val="14"/>
        <w:tabs>
          <w:tab w:val="left" w:pos="9781"/>
        </w:tabs>
        <w:spacing w:before="60"/>
        <w:ind w:left="426"/>
        <w:jc w:val="center"/>
        <w:rPr>
          <w:rFonts w:ascii="Arial Narrow" w:hAnsi="Arial Narrow"/>
          <w:b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 xml:space="preserve">poradný výbor </w:t>
      </w:r>
    </w:p>
    <w:p>
      <w:pPr>
        <w:pStyle w:val="14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Dátum zriadenia poradného výboru / demokratickej správy - splnenie povinnosti v zmysle § 6 ods. 1 písm. b) zákona č. 112/2018 Z.z. o sociálnej ekonomike a sociálnych podnikoch v platnom znení (zákon o SE): do 8.10.2021</w:t>
      </w:r>
      <w:r>
        <w:rPr>
          <w:rFonts w:ascii="Arial Narrow" w:hAnsi="Arial Narrow"/>
          <w:color w:val="auto"/>
          <w:sz w:val="22"/>
          <w:szCs w:val="22"/>
        </w:rPr>
        <w:tab/>
      </w:r>
    </w:p>
    <w:p>
      <w:pPr>
        <w:pStyle w:val="14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Spôsob kreovania poradného výboru: </w:t>
      </w:r>
      <w:r>
        <w:rPr>
          <w:rFonts w:ascii="Arial Narrow" w:hAnsi="Arial Narrow"/>
          <w:b/>
          <w:color w:val="auto"/>
          <w:sz w:val="22"/>
          <w:szCs w:val="22"/>
        </w:rPr>
        <w:t xml:space="preserve">voľby* </w:t>
      </w:r>
    </w:p>
    <w:p>
      <w:pPr>
        <w:pStyle w:val="14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RSP </w:t>
      </w:r>
      <w:r>
        <w:rPr>
          <w:rFonts w:ascii="Arial Narrow" w:hAnsi="Arial Narrow"/>
          <w:b/>
          <w:color w:val="auto"/>
          <w:sz w:val="22"/>
          <w:szCs w:val="22"/>
        </w:rPr>
        <w:t xml:space="preserve">má </w:t>
      </w:r>
      <w:r>
        <w:rPr>
          <w:rFonts w:ascii="Arial Narrow" w:hAnsi="Arial Narrow"/>
          <w:color w:val="auto"/>
          <w:sz w:val="22"/>
          <w:szCs w:val="22"/>
        </w:rPr>
        <w:t xml:space="preserve"> vypracovaný interný dokument pre poradný výbor.</w:t>
      </w:r>
    </w:p>
    <w:p>
      <w:pPr>
        <w:pStyle w:val="14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RSP </w:t>
      </w:r>
      <w:r>
        <w:rPr>
          <w:rFonts w:ascii="Arial Narrow" w:hAnsi="Arial Narrow"/>
          <w:b/>
          <w:color w:val="auto"/>
          <w:sz w:val="22"/>
          <w:szCs w:val="22"/>
        </w:rPr>
        <w:t xml:space="preserve"> má</w:t>
      </w:r>
      <w:r>
        <w:rPr>
          <w:rFonts w:ascii="Arial Narrow" w:hAnsi="Arial Narrow"/>
          <w:color w:val="auto"/>
          <w:sz w:val="22"/>
          <w:szCs w:val="22"/>
        </w:rPr>
        <w:t xml:space="preserve"> vypracované zápisnice zo  zasadnutí poradného výboru</w:t>
      </w:r>
    </w:p>
    <w:p>
      <w:pPr>
        <w:pStyle w:val="10"/>
        <w:numPr>
          <w:ilvl w:val="1"/>
          <w:numId w:val="1"/>
        </w:numPr>
        <w:tabs>
          <w:tab w:val="left" w:pos="9781"/>
        </w:tabs>
        <w:ind w:left="426"/>
        <w:jc w:val="both"/>
      </w:pPr>
      <w:r>
        <w:t>opis hospodárskej činnosti účtovnej jednotky</w:t>
      </w:r>
    </w:p>
    <w:p>
      <w:pPr>
        <w:pStyle w:val="14"/>
        <w:tabs>
          <w:tab w:val="left" w:pos="9781"/>
        </w:tabs>
        <w:spacing w:before="12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Predmety činnosti RSP:</w:t>
      </w:r>
    </w:p>
    <w:p>
      <w:pPr>
        <w:pStyle w:val="14"/>
        <w:tabs>
          <w:tab w:val="left" w:pos="9781"/>
        </w:tabs>
        <w:ind w:left="1003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 služby na podporu regionálneho rozvoja a zamestnanosti </w:t>
      </w:r>
    </w:p>
    <w:p>
      <w:pPr>
        <w:pStyle w:val="14"/>
        <w:tabs>
          <w:tab w:val="left" w:pos="9781"/>
        </w:tabs>
        <w:ind w:left="1003"/>
        <w:jc w:val="both"/>
        <w:rPr>
          <w:rFonts w:ascii="Arial Narrow" w:hAnsi="Arial Narrow"/>
          <w:color w:val="auto"/>
          <w:sz w:val="22"/>
          <w:szCs w:val="22"/>
        </w:rPr>
      </w:pPr>
    </w:p>
    <w:p>
      <w:pPr>
        <w:pStyle w:val="14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RSP</w:t>
      </w:r>
      <w:r>
        <w:rPr>
          <w:rFonts w:ascii="Arial Narrow" w:hAnsi="Arial Narrow"/>
          <w:color w:val="auto"/>
          <w:sz w:val="22"/>
          <w:szCs w:val="22"/>
        </w:rPr>
        <w:t xml:space="preserve"> v období, za ktoré je zostavená účtovná závierka, </w:t>
      </w:r>
      <w:r>
        <w:rPr>
          <w:rFonts w:ascii="Arial Narrow" w:hAnsi="Arial Narrow"/>
          <w:b/>
          <w:color w:val="auto"/>
          <w:sz w:val="22"/>
          <w:szCs w:val="22"/>
        </w:rPr>
        <w:t xml:space="preserve"> nemenil</w:t>
      </w:r>
      <w:r>
        <w:rPr>
          <w:rFonts w:ascii="Arial Narrow" w:hAnsi="Arial Narrow"/>
          <w:color w:val="auto"/>
          <w:sz w:val="22"/>
          <w:szCs w:val="22"/>
        </w:rPr>
        <w:t xml:space="preserve">* predmety činnosti.    </w:t>
      </w:r>
      <w:r>
        <w:rPr>
          <w:rFonts w:ascii="Arial Narrow" w:hAnsi="Arial Narrow"/>
          <w:color w:val="auto"/>
          <w:sz w:val="22"/>
          <w:szCs w:val="22"/>
          <w:highlight w:val="yellow"/>
        </w:rPr>
        <w:t>§ 27a ods. 2 písm. e)</w:t>
      </w:r>
    </w:p>
    <w:p>
      <w:pPr>
        <w:pStyle w:val="14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Hlavným cieľom RSP v zmysle základného dokumentu spoločnosti je poskytovanie spoločensky prospešnej služby v oblasti:</w:t>
      </w:r>
    </w:p>
    <w:p>
      <w:pPr>
        <w:pStyle w:val="14"/>
        <w:numPr>
          <w:ilvl w:val="0"/>
          <w:numId w:val="2"/>
        </w:numPr>
        <w:tabs>
          <w:tab w:val="left" w:pos="9781"/>
        </w:tabs>
        <w:ind w:left="1003" w:hanging="357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služby na podporu regionálneho rozvoja a zamestnanosti </w:t>
      </w:r>
    </w:p>
    <w:p>
      <w:pPr>
        <w:pStyle w:val="14"/>
        <w:tabs>
          <w:tab w:val="left" w:pos="9781"/>
        </w:tabs>
        <w:ind w:left="1003"/>
        <w:jc w:val="both"/>
        <w:rPr>
          <w:rFonts w:ascii="Arial Narrow" w:hAnsi="Arial Narrow"/>
          <w:color w:val="auto"/>
          <w:sz w:val="22"/>
          <w:szCs w:val="22"/>
        </w:rPr>
      </w:pPr>
    </w:p>
    <w:p>
      <w:pPr>
        <w:pStyle w:val="14"/>
        <w:tabs>
          <w:tab w:val="left" w:pos="9781"/>
        </w:tabs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      Činnosť, ktorou spoločnosť dosahuje pozitívny sociálny vplyv v zmysle základného dokumentu  spoločnosti  bude najmä: </w:t>
      </w:r>
    </w:p>
    <w:p>
      <w:pPr>
        <w:pStyle w:val="14"/>
        <w:numPr>
          <w:ilvl w:val="0"/>
          <w:numId w:val="2"/>
        </w:numPr>
        <w:tabs>
          <w:tab w:val="left" w:pos="9781"/>
        </w:tabs>
        <w:ind w:left="1003" w:hanging="357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služby na podporu regionálneho rozvoja a zamestnanosti </w:t>
      </w:r>
    </w:p>
    <w:p>
      <w:pPr>
        <w:pStyle w:val="14"/>
        <w:tabs>
          <w:tab w:val="left" w:pos="9781"/>
        </w:tabs>
        <w:jc w:val="both"/>
        <w:rPr>
          <w:rFonts w:ascii="Arial Narrow" w:hAnsi="Arial Narrow"/>
          <w:color w:val="auto"/>
          <w:sz w:val="22"/>
          <w:szCs w:val="22"/>
        </w:rPr>
      </w:pPr>
    </w:p>
    <w:p>
      <w:pPr>
        <w:pStyle w:val="14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>
        <w:rPr>
          <w:rFonts w:ascii="Arial Narrow" w:hAnsi="Arial Narrow"/>
          <w:b/>
          <w:color w:val="auto"/>
          <w:sz w:val="22"/>
          <w:szCs w:val="22"/>
        </w:rPr>
        <w:t xml:space="preserve"> nezmenil*</w:t>
      </w:r>
      <w:r>
        <w:rPr>
          <w:rFonts w:ascii="Arial Narrow" w:hAnsi="Arial Narrow"/>
          <w:color w:val="auto"/>
          <w:sz w:val="22"/>
          <w:szCs w:val="22"/>
        </w:rPr>
        <w:t xml:space="preserve"> merateľný pozitívny sociálny vplyv ako </w:t>
      </w:r>
    </w:p>
    <w:p>
      <w:pPr>
        <w:pStyle w:val="14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  <w:u w:val="single"/>
        </w:rPr>
        <w:t xml:space="preserve"> Integračný  podnik</w:t>
      </w:r>
      <w:r>
        <w:rPr>
          <w:rFonts w:ascii="Arial Narrow" w:hAnsi="Arial Narrow"/>
          <w:color w:val="auto"/>
          <w:sz w:val="22"/>
          <w:szCs w:val="22"/>
        </w:rPr>
        <w:t>:</w:t>
      </w:r>
    </w:p>
    <w:p>
      <w:pPr>
        <w:pStyle w:val="14"/>
        <w:tabs>
          <w:tab w:val="left" w:pos="9781"/>
        </w:tabs>
        <w:spacing w:before="60"/>
        <w:ind w:left="567" w:hanging="283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- </w:t>
      </w:r>
      <w:r>
        <w:rPr>
          <w:rFonts w:ascii="Arial Narrow" w:hAnsi="Arial Narrow"/>
          <w:color w:val="auto"/>
          <w:sz w:val="22"/>
          <w:szCs w:val="22"/>
        </w:rPr>
        <w:tab/>
      </w:r>
      <w:r>
        <w:rPr>
          <w:rFonts w:ascii="Arial Narrow" w:hAnsi="Arial Narrow"/>
          <w:color w:val="auto"/>
          <w:sz w:val="22"/>
          <w:szCs w:val="22"/>
        </w:rPr>
        <w:t xml:space="preserve">percentom zamestnaných znevýhodnených osôb a/alebo zraniteľných osôb z celkového počtu zamestnancov spoločnosti v zmysle príslušných ustanovení zákona o SE. Pozitívny sociálny vplyv sa považuje za dosiahnutý, ak Spoločnosť zamestnáva príslušné percento zraniteľných a/alebo znevýhodnených osôb v zmysle príslušných ustanovení zákona o SE, </w:t>
      </w:r>
    </w:p>
    <w:p>
      <w:pPr>
        <w:pStyle w:val="14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resp. znenie v zmysle základného dokumentu, ak je % záväzok vyšší ako stanovuje zákon o SE v § 12 ods. 2.</w:t>
      </w:r>
    </w:p>
    <w:p>
      <w:pPr>
        <w:pStyle w:val="14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Záver</w:t>
      </w:r>
      <w:r>
        <w:rPr>
          <w:rFonts w:ascii="Arial Narrow" w:hAnsi="Arial Narrow"/>
          <w:color w:val="auto"/>
          <w:sz w:val="22"/>
          <w:szCs w:val="22"/>
        </w:rPr>
        <w:t>:</w:t>
      </w:r>
    </w:p>
    <w:p>
      <w:pPr>
        <w:pStyle w:val="14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RSP</w:t>
      </w:r>
      <w:r>
        <w:rPr>
          <w:rFonts w:ascii="Arial Narrow" w:hAnsi="Arial Narrow"/>
          <w:color w:val="auto"/>
          <w:sz w:val="22"/>
          <w:szCs w:val="22"/>
        </w:rPr>
        <w:t xml:space="preserve"> v období, za ktoré je zostavená účtovná závierka </w:t>
      </w:r>
      <w:r>
        <w:rPr>
          <w:rFonts w:ascii="Arial Narrow" w:hAnsi="Arial Narrow"/>
          <w:b/>
          <w:color w:val="auto"/>
          <w:sz w:val="22"/>
          <w:szCs w:val="22"/>
        </w:rPr>
        <w:t xml:space="preserve">splnil </w:t>
      </w:r>
      <w:r>
        <w:rPr>
          <w:rFonts w:ascii="Arial Narrow" w:hAnsi="Arial Narrow"/>
          <w:color w:val="auto"/>
          <w:sz w:val="22"/>
          <w:szCs w:val="22"/>
        </w:rPr>
        <w:t xml:space="preserve"> hlavný cieľ, ktorým je dosahovanie merateľného pozitívneho sociálneho vplyvu (PSV).</w:t>
      </w:r>
    </w:p>
    <w:p>
      <w:pPr>
        <w:pStyle w:val="14"/>
        <w:tabs>
          <w:tab w:val="left" w:pos="9781"/>
        </w:tabs>
        <w:ind w:left="709"/>
        <w:jc w:val="both"/>
        <w:rPr>
          <w:rFonts w:ascii="Arial Narrow" w:hAnsi="Arial Narrow"/>
          <w:color w:val="auto"/>
          <w:sz w:val="22"/>
          <w:szCs w:val="22"/>
          <w:u w:val="single"/>
        </w:rPr>
      </w:pPr>
    </w:p>
    <w:p>
      <w:pPr>
        <w:pStyle w:val="10"/>
        <w:numPr>
          <w:ilvl w:val="1"/>
          <w:numId w:val="1"/>
        </w:numPr>
        <w:tabs>
          <w:tab w:val="left" w:pos="9781"/>
        </w:tabs>
        <w:ind w:left="426"/>
        <w:jc w:val="both"/>
      </w:pPr>
      <w:r>
        <w:t>počet zamestnancov účtovnej jednotky: v roku 2021 spoločnosť zamestnávala  3 zamestnancov.</w:t>
      </w:r>
    </w:p>
    <w:p>
      <w:pPr>
        <w:pStyle w:val="14"/>
        <w:tabs>
          <w:tab w:val="left" w:pos="709"/>
          <w:tab w:val="left" w:pos="9781"/>
        </w:tabs>
        <w:ind w:left="709" w:hanging="709"/>
        <w:jc w:val="both"/>
        <w:rPr>
          <w:rFonts w:ascii="Arial Narrow" w:hAnsi="Arial Narrow"/>
        </w:rPr>
      </w:pPr>
      <w:bookmarkStart w:id="0" w:name="_Hlk108796445"/>
      <w:r>
        <w:t xml:space="preserve">       </w:t>
      </w:r>
    </w:p>
    <w:bookmarkEnd w:id="0"/>
    <w:p>
      <w:pPr>
        <w:pStyle w:val="10"/>
        <w:numPr>
          <w:ilvl w:val="1"/>
          <w:numId w:val="1"/>
        </w:numPr>
        <w:tabs>
          <w:tab w:val="left" w:pos="9781"/>
        </w:tabs>
        <w:spacing w:before="60"/>
        <w:ind w:left="426" w:hanging="284"/>
        <w:jc w:val="both"/>
      </w:pPr>
      <w:r>
        <w:t>účtovná jednotka nie je  neobmedzene ručiacim  spoločníkom v iných účtovných jednotkách</w:t>
      </w:r>
    </w:p>
    <w:p>
      <w:pPr>
        <w:pStyle w:val="10"/>
        <w:numPr>
          <w:ilvl w:val="1"/>
          <w:numId w:val="1"/>
        </w:numPr>
        <w:tabs>
          <w:tab w:val="left" w:pos="9781"/>
        </w:tabs>
        <w:spacing w:before="60"/>
        <w:ind w:left="426" w:hanging="284"/>
        <w:jc w:val="both"/>
      </w:pPr>
      <w:r>
        <w:t>právny dôvod na zostavenie účtovnej závierky- vyplýva zo zákona o účtovníctve</w:t>
      </w:r>
    </w:p>
    <w:p>
      <w:pPr>
        <w:pStyle w:val="10"/>
        <w:numPr>
          <w:ilvl w:val="1"/>
          <w:numId w:val="1"/>
        </w:numPr>
        <w:tabs>
          <w:tab w:val="left" w:pos="9781"/>
        </w:tabs>
        <w:spacing w:before="60"/>
        <w:ind w:left="426" w:hanging="284"/>
        <w:jc w:val="both"/>
      </w:pPr>
      <w:r>
        <w:t>dátum schválenia účtovnej závierky za bezprostredne predchádzajúce účtovné obdobie príslušným orgánom účtovnej jednotky : 30.6.202</w:t>
      </w:r>
      <w:r>
        <w:rPr>
          <w:rFonts w:hint="default"/>
          <w:lang w:val="sk-SK"/>
        </w:rPr>
        <w:t>3</w:t>
      </w:r>
    </w:p>
    <w:p>
      <w:pPr>
        <w:pStyle w:val="10"/>
        <w:numPr>
          <w:ilvl w:val="1"/>
          <w:numId w:val="1"/>
        </w:numPr>
        <w:tabs>
          <w:tab w:val="left" w:pos="9214"/>
        </w:tabs>
        <w:spacing w:before="76"/>
        <w:ind w:left="426" w:right="575"/>
        <w:jc w:val="both"/>
      </w:pPr>
      <w:r>
        <w:t>v období roka 2021 vykonávala  spoločnosť činnosť podľa svojho hlavného cieľa.</w:t>
      </w:r>
    </w:p>
    <w:p>
      <w:pPr>
        <w:pStyle w:val="10"/>
        <w:tabs>
          <w:tab w:val="left" w:pos="9214"/>
        </w:tabs>
        <w:spacing w:before="76"/>
        <w:ind w:left="426" w:right="575" w:firstLine="0"/>
        <w:jc w:val="both"/>
      </w:pPr>
    </w:p>
    <w:p>
      <w:pPr>
        <w:pStyle w:val="10"/>
        <w:tabs>
          <w:tab w:val="left" w:pos="9214"/>
        </w:tabs>
        <w:spacing w:before="76"/>
        <w:ind w:left="426" w:right="575" w:firstLine="0"/>
        <w:jc w:val="both"/>
      </w:pPr>
    </w:p>
    <w:p>
      <w:pPr>
        <w:pStyle w:val="10"/>
        <w:tabs>
          <w:tab w:val="left" w:pos="9214"/>
        </w:tabs>
        <w:spacing w:before="76"/>
        <w:ind w:left="426" w:right="575" w:firstLine="0"/>
        <w:jc w:val="both"/>
      </w:pPr>
      <w:r>
        <w:t>V Kendiciach 30.6.202</w:t>
      </w:r>
      <w:r>
        <w:rPr>
          <w:rFonts w:hint="default"/>
          <w:lang w:val="sk-SK"/>
        </w:rPr>
        <w:t>3</w:t>
      </w:r>
      <w:bookmarkStart w:id="1" w:name="_GoBack"/>
      <w:bookmarkEnd w:id="1"/>
      <w:r>
        <w:t xml:space="preserve">                                                                                        Ing.Igor Kočiško v.r.</w:t>
      </w:r>
    </w:p>
    <w:sectPr>
      <w:footerReference r:id="rId3" w:type="default"/>
      <w:pgSz w:w="11910" w:h="16850"/>
      <w:pgMar w:top="1340" w:right="840" w:bottom="1080" w:left="1280" w:header="0" w:footer="897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716320993"/>
      <w:docPartObj>
        <w:docPartGallery w:val="AutoText"/>
      </w:docPartObj>
    </w:sdtPr>
    <w:sdtContent>
      <w:p>
        <w:pPr>
          <w:pStyle w:val="6"/>
        </w:pPr>
        <w:r>
          <w:rPr>
            <w:lang w:eastAsia="sk-SK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33020</wp:posOffset>
                  </wp:positionH>
                  <wp:positionV relativeFrom="paragraph">
                    <wp:posOffset>-635</wp:posOffset>
                  </wp:positionV>
                  <wp:extent cx="6172200" cy="0"/>
                  <wp:effectExtent l="0" t="0" r="0" b="0"/>
                  <wp:wrapNone/>
                  <wp:docPr id="1" name="AutoShape 4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6172200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chemeClr val="tx1">
                                <a:lumMod val="50000"/>
                                <a:lumOff val="50000"/>
                              </a:schemeClr>
                            </a:solidFill>
                            <a:round/>
                          </a:ln>
                        </wps:spPr>
                        <wps:bodyPr/>
                      </wps:wsp>
                    </a:graphicData>
                  </a:graphic>
                </wp:anchor>
              </w:drawing>
            </mc:Choice>
            <mc:Fallback>
              <w:pict>
                <v:shape id="AutoShape 4" o:spid="_x0000_s1026" o:spt="32" type="#_x0000_t32" style="position:absolute;left:0pt;margin-left:2.6pt;margin-top:-0.05pt;height:0pt;width:486pt;z-index:251659264;mso-width-relative:page;mso-height-relative:page;" filled="f" stroked="t" coordsize="21600,21600" o:gfxdata="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AUXAZE0AAAAAUB&#10;AAAPAAAAAAAAAAEAIAAAACIAAABkcnMvZG93bnJldi54bWxQSwECFAAUAAAACACHTuJADABEDeoB&#10;AADrAwAADgAAAAAAAAABACAAAAAfAQAAZHJzL2Uyb0RvYy54bWxQSwUGAAAAAAYABgBZAQAAewUA&#10;AAAA&#10;">
                  <v:fill on="f" focussize="0,0"/>
                  <v:stroke color="#808080 [1629]" joinstyle="round"/>
                  <v:imagedata o:title=""/>
                  <o:lock v:ext="edit" aspectratio="f"/>
                </v:shape>
              </w:pict>
            </mc:Fallback>
          </mc:AlternateContent>
        </w:r>
      </w:p>
      <w:p>
        <w:pPr>
          <w:pStyle w:val="6"/>
        </w:pPr>
      </w:p>
    </w:sdtContent>
  </w:sdt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7D38D5"/>
    <w:multiLevelType w:val="multilevel"/>
    <w:tmpl w:val="057D38D5"/>
    <w:lvl w:ilvl="0" w:tentative="0">
      <w:start w:val="1"/>
      <w:numFmt w:val="bullet"/>
      <w:lvlText w:val=""/>
      <w:lvlJc w:val="left"/>
      <w:pPr>
        <w:ind w:left="1004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724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444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164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884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04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324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044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764" w:hanging="360"/>
      </w:pPr>
      <w:rPr>
        <w:rFonts w:hint="default" w:ascii="Wingdings" w:hAnsi="Wingdings"/>
      </w:rPr>
    </w:lvl>
  </w:abstractNum>
  <w:abstractNum w:abstractNumId="1">
    <w:nsid w:val="24A21002"/>
    <w:multiLevelType w:val="multilevel"/>
    <w:tmpl w:val="24A21002"/>
    <w:lvl w:ilvl="0" w:tentative="0">
      <w:start w:val="1"/>
      <w:numFmt w:val="upperLetter"/>
      <w:lvlText w:val="%1."/>
      <w:lvlJc w:val="left"/>
      <w:pPr>
        <w:ind w:left="438" w:hanging="288"/>
      </w:pPr>
      <w:rPr>
        <w:rFonts w:hint="default" w:ascii="Arial Narrow" w:hAnsi="Arial Narrow" w:eastAsia="Arial Narrow" w:cs="Arial Narrow"/>
        <w:b/>
        <w:bCs/>
        <w:spacing w:val="-2"/>
        <w:w w:val="94"/>
        <w:sz w:val="24"/>
        <w:szCs w:val="24"/>
        <w:lang w:val="sk-SK" w:eastAsia="en-US" w:bidi="ar-SA"/>
      </w:rPr>
    </w:lvl>
    <w:lvl w:ilvl="1" w:tentative="0">
      <w:start w:val="1"/>
      <w:numFmt w:val="lowerLetter"/>
      <w:lvlText w:val="%2)"/>
      <w:lvlJc w:val="left"/>
      <w:pPr>
        <w:ind w:left="1103" w:hanging="286"/>
      </w:pPr>
      <w:rPr>
        <w:rFonts w:hint="default"/>
        <w:color w:val="auto"/>
        <w:w w:val="100"/>
        <w:lang w:val="sk-SK" w:eastAsia="en-US" w:bidi="ar-SA"/>
      </w:rPr>
    </w:lvl>
    <w:lvl w:ilvl="2" w:tentative="0">
      <w:start w:val="1"/>
      <w:numFmt w:val="decimal"/>
      <w:lvlText w:val="%3."/>
      <w:lvlJc w:val="left"/>
      <w:pPr>
        <w:ind w:left="1936" w:hanging="286"/>
      </w:pPr>
      <w:rPr>
        <w:rFonts w:hint="default" w:ascii="Arial Narrow" w:hAnsi="Arial Narrow" w:eastAsia="Arial Narrow" w:cs="Arial Narrow"/>
        <w:w w:val="100"/>
        <w:sz w:val="22"/>
        <w:szCs w:val="22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4FF2"/>
    <w:rsid w:val="00030FC6"/>
    <w:rsid w:val="000550FB"/>
    <w:rsid w:val="00071012"/>
    <w:rsid w:val="00086548"/>
    <w:rsid w:val="000F77DB"/>
    <w:rsid w:val="0011606D"/>
    <w:rsid w:val="001C3C80"/>
    <w:rsid w:val="00200DEC"/>
    <w:rsid w:val="00243CAE"/>
    <w:rsid w:val="002523C6"/>
    <w:rsid w:val="00262D36"/>
    <w:rsid w:val="00270DD0"/>
    <w:rsid w:val="00287809"/>
    <w:rsid w:val="00295778"/>
    <w:rsid w:val="002B2BDF"/>
    <w:rsid w:val="002D243F"/>
    <w:rsid w:val="00334676"/>
    <w:rsid w:val="00334E11"/>
    <w:rsid w:val="00346366"/>
    <w:rsid w:val="0039207C"/>
    <w:rsid w:val="003C2DE1"/>
    <w:rsid w:val="00444B15"/>
    <w:rsid w:val="0044549F"/>
    <w:rsid w:val="00445C0A"/>
    <w:rsid w:val="00465BF1"/>
    <w:rsid w:val="004A36C9"/>
    <w:rsid w:val="00506678"/>
    <w:rsid w:val="00530D8A"/>
    <w:rsid w:val="00545CE0"/>
    <w:rsid w:val="005610DA"/>
    <w:rsid w:val="00564263"/>
    <w:rsid w:val="00584153"/>
    <w:rsid w:val="005B5387"/>
    <w:rsid w:val="005C1B27"/>
    <w:rsid w:val="005F5469"/>
    <w:rsid w:val="006011AD"/>
    <w:rsid w:val="006131EA"/>
    <w:rsid w:val="006142FE"/>
    <w:rsid w:val="006225B2"/>
    <w:rsid w:val="00657FDD"/>
    <w:rsid w:val="006F3420"/>
    <w:rsid w:val="006F7EB7"/>
    <w:rsid w:val="00716487"/>
    <w:rsid w:val="00735194"/>
    <w:rsid w:val="00747FA5"/>
    <w:rsid w:val="0075712E"/>
    <w:rsid w:val="007920AB"/>
    <w:rsid w:val="00792B3B"/>
    <w:rsid w:val="007B1C5B"/>
    <w:rsid w:val="007D1F45"/>
    <w:rsid w:val="007D7313"/>
    <w:rsid w:val="007F71CC"/>
    <w:rsid w:val="0080170A"/>
    <w:rsid w:val="0080220F"/>
    <w:rsid w:val="00803556"/>
    <w:rsid w:val="0082153C"/>
    <w:rsid w:val="00854318"/>
    <w:rsid w:val="00871650"/>
    <w:rsid w:val="00882BEB"/>
    <w:rsid w:val="008B6C33"/>
    <w:rsid w:val="008C25D3"/>
    <w:rsid w:val="008C2B28"/>
    <w:rsid w:val="00912273"/>
    <w:rsid w:val="00922F02"/>
    <w:rsid w:val="00964FF2"/>
    <w:rsid w:val="00967B1B"/>
    <w:rsid w:val="00997A65"/>
    <w:rsid w:val="009B2824"/>
    <w:rsid w:val="009C0E0A"/>
    <w:rsid w:val="00A13631"/>
    <w:rsid w:val="00A31DBD"/>
    <w:rsid w:val="00A8068A"/>
    <w:rsid w:val="00AA4321"/>
    <w:rsid w:val="00AB6404"/>
    <w:rsid w:val="00AD040E"/>
    <w:rsid w:val="00AF164F"/>
    <w:rsid w:val="00AF6DA4"/>
    <w:rsid w:val="00B2116E"/>
    <w:rsid w:val="00B361E6"/>
    <w:rsid w:val="00B42936"/>
    <w:rsid w:val="00B4337A"/>
    <w:rsid w:val="00B620DF"/>
    <w:rsid w:val="00B75B20"/>
    <w:rsid w:val="00B86B6C"/>
    <w:rsid w:val="00BA7AA5"/>
    <w:rsid w:val="00BD46F7"/>
    <w:rsid w:val="00C46984"/>
    <w:rsid w:val="00CC03D0"/>
    <w:rsid w:val="00CC397E"/>
    <w:rsid w:val="00D05A9F"/>
    <w:rsid w:val="00DA1AE6"/>
    <w:rsid w:val="00DD3B5A"/>
    <w:rsid w:val="00DE720B"/>
    <w:rsid w:val="00E00C3E"/>
    <w:rsid w:val="00E03050"/>
    <w:rsid w:val="00E642CF"/>
    <w:rsid w:val="00E70AAE"/>
    <w:rsid w:val="00EF6D01"/>
    <w:rsid w:val="00EF725C"/>
    <w:rsid w:val="00F2277B"/>
    <w:rsid w:val="00F3570B"/>
    <w:rsid w:val="00F54A5E"/>
    <w:rsid w:val="00F7028B"/>
    <w:rsid w:val="00F94677"/>
    <w:rsid w:val="00F97836"/>
    <w:rsid w:val="00FD53E1"/>
    <w:rsid w:val="00FF633A"/>
    <w:rsid w:val="0F0626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nhideWhenUsed="0" w:uiPriority="99" w:semiHidden="0" w:name="Table Subtle 1"/>
    <w:lsdException w:uiPriority="99" w:name="Table Subtle 2"/>
    <w:lsdException w:uiPriority="99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</w:pPr>
    <w:rPr>
      <w:rFonts w:ascii="Arial Narrow" w:hAnsi="Arial Narrow" w:eastAsia="Arial Narrow" w:cs="Arial Narrow"/>
      <w:sz w:val="22"/>
      <w:szCs w:val="22"/>
      <w:lang w:val="sk-SK" w:eastAsia="en-US" w:bidi="ar-SA"/>
    </w:rPr>
  </w:style>
  <w:style w:type="paragraph" w:styleId="2">
    <w:name w:val="heading 1"/>
    <w:basedOn w:val="1"/>
    <w:next w:val="1"/>
    <w:qFormat/>
    <w:uiPriority w:val="9"/>
    <w:pPr>
      <w:ind w:left="438"/>
      <w:outlineLvl w:val="0"/>
    </w:pPr>
    <w:rPr>
      <w:b/>
      <w:bCs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</w:style>
  <w:style w:type="paragraph" w:styleId="6">
    <w:name w:val="footer"/>
    <w:basedOn w:val="1"/>
    <w:link w:val="13"/>
    <w:unhideWhenUsed/>
    <w:uiPriority w:val="99"/>
    <w:pPr>
      <w:tabs>
        <w:tab w:val="center" w:pos="4513"/>
        <w:tab w:val="right" w:pos="9026"/>
      </w:tabs>
    </w:pPr>
  </w:style>
  <w:style w:type="paragraph" w:styleId="7">
    <w:name w:val="header"/>
    <w:basedOn w:val="1"/>
    <w:link w:val="12"/>
    <w:unhideWhenUsed/>
    <w:uiPriority w:val="99"/>
    <w:pPr>
      <w:tabs>
        <w:tab w:val="center" w:pos="4513"/>
        <w:tab w:val="right" w:pos="9026"/>
      </w:tabs>
    </w:pPr>
  </w:style>
  <w:style w:type="table" w:styleId="8">
    <w:name w:val="Table Grid"/>
    <w:basedOn w:val="4"/>
    <w:uiPriority w:val="59"/>
    <w:pPr>
      <w:widowControl/>
      <w:autoSpaceDE/>
      <w:autoSpaceDN/>
    </w:pPr>
    <w:rPr>
      <w:lang w:val="sk-SK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9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  <w:pPr>
      <w:ind w:left="1141" w:hanging="284"/>
    </w:pPr>
  </w:style>
  <w:style w:type="paragraph" w:customStyle="1" w:styleId="11">
    <w:name w:val="Table Paragraph"/>
    <w:basedOn w:val="1"/>
    <w:qFormat/>
    <w:uiPriority w:val="1"/>
    <w:pPr>
      <w:ind w:left="119"/>
    </w:pPr>
  </w:style>
  <w:style w:type="character" w:customStyle="1" w:styleId="12">
    <w:name w:val="Hlavička Char"/>
    <w:basedOn w:val="3"/>
    <w:link w:val="7"/>
    <w:uiPriority w:val="99"/>
    <w:rPr>
      <w:rFonts w:ascii="Arial Narrow" w:hAnsi="Arial Narrow" w:eastAsia="Arial Narrow" w:cs="Arial Narrow"/>
      <w:lang w:val="sk-SK"/>
    </w:rPr>
  </w:style>
  <w:style w:type="character" w:customStyle="1" w:styleId="13">
    <w:name w:val="Päta Char"/>
    <w:basedOn w:val="3"/>
    <w:link w:val="6"/>
    <w:uiPriority w:val="99"/>
    <w:rPr>
      <w:rFonts w:ascii="Arial Narrow" w:hAnsi="Arial Narrow" w:eastAsia="Arial Narrow" w:cs="Arial Narrow"/>
      <w:lang w:val="sk-SK"/>
    </w:rPr>
  </w:style>
  <w:style w:type="paragraph" w:customStyle="1" w:styleId="14">
    <w:name w:val="Default"/>
    <w:uiPriority w:val="0"/>
    <w:pPr>
      <w:widowControl/>
      <w:autoSpaceDE w:val="0"/>
      <w:autoSpaceDN w:val="0"/>
      <w:adjustRightInd w:val="0"/>
    </w:pPr>
    <w:rPr>
      <w:rFonts w:ascii="Arial" w:hAnsi="Arial" w:cs="Arial" w:eastAsiaTheme="minorHAnsi"/>
      <w:color w:val="000000"/>
      <w:sz w:val="24"/>
      <w:szCs w:val="24"/>
      <w:lang w:val="sk-SK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6743FEF-3AE2-4010-9ECA-BE4018F5D16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400</Words>
  <Characters>2281</Characters>
  <Lines>19</Lines>
  <Paragraphs>5</Paragraphs>
  <TotalTime>6</TotalTime>
  <ScaleCrop>false</ScaleCrop>
  <LinksUpToDate>false</LinksUpToDate>
  <CharactersWithSpaces>2676</CharactersWithSpaces>
  <Application>WPS Office_11.2.0.11537_F1E327BC-269C-435d-A152-05C5408002CA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2021-06-30T13:54:00Z</dcterms:created>
  <dc:creator>Matulova Silvia</dc:creator>
  <cp:lastModifiedBy>Klaudia Hurková</cp:lastModifiedBy>
  <cp:lastPrinted>2022-07-15T14:56:00Z</cp:lastPrinted>
  <dcterms:modified xsi:type="dcterms:W3CDTF">2023-07-27T11:45:11Z</dcterms:modified>
  <dc:title>Opatrenie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  <property fmtid="{D5CDD505-2E9C-101B-9397-08002B2CF9AE}" pid="5" name="KSOProductBuildVer">
    <vt:lpwstr>1033-11.2.0.11537</vt:lpwstr>
  </property>
  <property fmtid="{D5CDD505-2E9C-101B-9397-08002B2CF9AE}" pid="6" name="ICV">
    <vt:lpwstr>EE9C54F3171C4EE6BDA4894077011903</vt:lpwstr>
  </property>
</Properties>
</file>