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ormal"/>
        <w:rPr/>
      </w:pPr>
      <w:r>
        <w:rPr/>
        <w:t xml:space="preserve">                       </w:t>
      </w:r>
      <w:r>
        <w:rPr/>
        <w:t xml:space="preserve">M and F s.r.o. ,  Považská 4, 040 11 Košice  </w:t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  <w:t xml:space="preserve">                                  </w:t>
      </w:r>
      <w:r>
        <w:rPr/>
        <w:t>V</w:t>
      </w:r>
      <w:r>
        <w:rPr>
          <w:lang w:val="sk-SK"/>
        </w:rPr>
        <w:t>ÝROČNÁ  SPRÁVA</w:t>
      </w:r>
      <w:r>
        <w:rPr/>
        <w:t xml:space="preserve">    </w:t>
      </w:r>
    </w:p>
    <w:p>
      <w:pPr>
        <w:pStyle w:val="Normal"/>
        <w:jc w:val="both"/>
        <w:rPr/>
      </w:pPr>
      <w:r>
        <w:rPr/>
        <w:t xml:space="preserve">                                          </w:t>
      </w:r>
      <w:r>
        <w:rPr/>
        <w:t>ZA ROK 2022</w:t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  <w:t>1. Základné identifikáčné údaje spoločnosti</w:t>
      </w:r>
    </w:p>
    <w:p>
      <w:pPr>
        <w:pStyle w:val="Normal"/>
        <w:rPr>
          <w:b w:val="false"/>
          <w:b w:val="false"/>
          <w:bCs w:val="false"/>
        </w:rPr>
      </w:pPr>
      <w:r>
        <w:rPr>
          <w:b w:val="false"/>
          <w:bCs w:val="false"/>
        </w:rPr>
        <w:t>Obchodné meno: M and F s.r.o.</w:t>
      </w:r>
    </w:p>
    <w:p>
      <w:pPr>
        <w:pStyle w:val="Normal"/>
        <w:rPr>
          <w:b w:val="false"/>
          <w:b w:val="false"/>
          <w:bCs w:val="false"/>
        </w:rPr>
      </w:pPr>
      <w:r>
        <w:rPr>
          <w:b w:val="false"/>
          <w:bCs w:val="false"/>
        </w:rPr>
        <w:t>Sídlo spoločnosti: Považská 4, 040 11 Košice</w:t>
      </w:r>
    </w:p>
    <w:p>
      <w:pPr>
        <w:pStyle w:val="Normal"/>
        <w:rPr/>
      </w:pPr>
      <w:r>
        <w:rPr>
          <w:b w:val="false"/>
          <w:bCs w:val="false"/>
        </w:rPr>
        <w:t xml:space="preserve">Registrácia spoločnosti: spoločnosť je zapísaná v Obchodnom registri Okresného súdu Košice I, oddiel sro, vložka  č. 47537/V </w:t>
      </w:r>
      <w:r>
        <w:rPr/>
        <w:t xml:space="preserve"> </w:t>
      </w:r>
      <w:r>
        <w:rPr>
          <w:b w:val="false"/>
          <w:bCs w:val="false"/>
        </w:rPr>
        <w:t xml:space="preserve">  </w:t>
      </w:r>
    </w:p>
    <w:p>
      <w:pPr>
        <w:pStyle w:val="Normal"/>
        <w:rPr/>
      </w:pPr>
      <w:r>
        <w:rPr>
          <w:b w:val="false"/>
          <w:bCs w:val="false"/>
        </w:rPr>
        <w:t>Deň zápisu: 24. 10. 2019</w:t>
      </w:r>
    </w:p>
    <w:p>
      <w:pPr>
        <w:pStyle w:val="Normal"/>
        <w:rPr/>
      </w:pPr>
      <w:r>
        <w:rPr>
          <w:b w:val="false"/>
          <w:bCs w:val="false"/>
        </w:rPr>
        <w:t>IČO: 52732461</w:t>
      </w:r>
    </w:p>
    <w:p>
      <w:pPr>
        <w:pStyle w:val="Normal"/>
        <w:rPr/>
      </w:pPr>
      <w:r>
        <w:rPr>
          <w:b w:val="false"/>
          <w:bCs w:val="false"/>
        </w:rPr>
        <w:t>DIČ: 2121114908</w:t>
      </w:r>
    </w:p>
    <w:p>
      <w:pPr>
        <w:pStyle w:val="Normal"/>
        <w:rPr/>
      </w:pPr>
      <w:r>
        <w:rPr>
          <w:b w:val="false"/>
          <w:bCs w:val="false"/>
        </w:rPr>
        <w:t xml:space="preserve">Výška vkladu: 5000,00 </w:t>
      </w:r>
      <w:r>
        <w:rPr>
          <w:rFonts w:eastAsia="Times New Roman" w:cs="Times New Roman"/>
          <w:b w:val="false"/>
          <w:bCs w:val="false"/>
        </w:rPr>
        <w:t>€</w:t>
      </w:r>
    </w:p>
    <w:p>
      <w:pPr>
        <w:pStyle w:val="Normal"/>
        <w:rPr>
          <w:rFonts w:ascii="Times New Roman" w:hAnsi="Times New Roman" w:eastAsia="Times New Roman" w:cs="Times New Roman"/>
          <w:b w:val="false"/>
          <w:b w:val="false"/>
          <w:bCs w:val="false"/>
        </w:rPr>
      </w:pPr>
      <w:r>
        <w:rPr>
          <w:rFonts w:eastAsia="Times New Roman" w:cs="Times New Roman"/>
          <w:b w:val="false"/>
          <w:bCs w:val="false"/>
        </w:rPr>
      </w:r>
    </w:p>
    <w:p>
      <w:pPr>
        <w:pStyle w:val="Normal"/>
        <w:rPr>
          <w:rFonts w:ascii="Times New Roman" w:hAnsi="Times New Roman" w:eastAsia="Times New Roman" w:cs="Times New Roman"/>
          <w:b w:val="false"/>
          <w:b w:val="false"/>
          <w:bCs w:val="false"/>
        </w:rPr>
      </w:pPr>
      <w:r>
        <w:rPr>
          <w:rFonts w:eastAsia="Times New Roman" w:cs="Times New Roman"/>
          <w:b w:val="false"/>
          <w:bCs w:val="false"/>
        </w:rPr>
      </w:r>
    </w:p>
    <w:p>
      <w:pPr>
        <w:pStyle w:val="Normal"/>
        <w:rPr>
          <w:b/>
          <w:b/>
          <w:bCs/>
        </w:rPr>
      </w:pPr>
      <w:r>
        <w:rPr>
          <w:rFonts w:eastAsia="Times New Roman" w:cs="Times New Roman"/>
          <w:b/>
          <w:bCs/>
        </w:rPr>
        <w:t>2. Vedenie spoločnosti .</w:t>
      </w:r>
    </w:p>
    <w:p>
      <w:pPr>
        <w:pStyle w:val="Normal"/>
        <w:rPr>
          <w:b w:val="false"/>
          <w:b w:val="false"/>
          <w:bCs w:val="false"/>
        </w:rPr>
      </w:pPr>
      <w:r>
        <w:rPr>
          <w:rFonts w:eastAsia="Times New Roman" w:cs="Times New Roman"/>
          <w:b w:val="false"/>
          <w:bCs w:val="false"/>
        </w:rPr>
        <w:t>Ing. Martin Bogdaň – konateľ</w:t>
      </w:r>
    </w:p>
    <w:p>
      <w:pPr>
        <w:pStyle w:val="Normal"/>
        <w:rPr>
          <w:rFonts w:ascii="Times New Roman" w:hAnsi="Times New Roman" w:eastAsia="Times New Roman" w:cs="Times New Roman"/>
        </w:rPr>
      </w:pPr>
      <w:r>
        <w:rPr>
          <w:rFonts w:eastAsia="Times New Roman" w:cs="Times New Roman"/>
        </w:rPr>
      </w:r>
    </w:p>
    <w:p>
      <w:pPr>
        <w:pStyle w:val="Normal"/>
        <w:rPr>
          <w:b/>
          <w:b/>
          <w:bCs/>
        </w:rPr>
      </w:pPr>
      <w:r>
        <w:rPr>
          <w:rFonts w:eastAsia="Times New Roman" w:cs="Times New Roman"/>
          <w:b/>
          <w:bCs/>
        </w:rPr>
        <w:t>3. Majetková účasť:</w:t>
      </w:r>
    </w:p>
    <w:p>
      <w:pPr>
        <w:pStyle w:val="Normal"/>
        <w:ind w:left="0" w:right="0" w:firstLine="709"/>
        <w:jc w:val="both"/>
        <w:rPr>
          <w:b w:val="false"/>
          <w:b w:val="false"/>
          <w:bCs w:val="false"/>
        </w:rPr>
      </w:pPr>
      <w:r>
        <w:rPr>
          <w:rFonts w:eastAsia="Times New Roman" w:cs="Times New Roman"/>
          <w:b w:val="false"/>
          <w:bCs w:val="false"/>
        </w:rPr>
        <w:t xml:space="preserve">Základné imanie spoločnosti je vložené z peňažného vkladu jediného spoločníka  ktorým je  Ing. Martin Bogdaň, vo výške  5000,00 Eur. </w:t>
      </w:r>
    </w:p>
    <w:p>
      <w:pPr>
        <w:pStyle w:val="Normal"/>
        <w:rPr>
          <w:rFonts w:ascii="Times New Roman" w:hAnsi="Times New Roman" w:eastAsia="Times New Roman" w:cs="Times New Roman"/>
        </w:rPr>
      </w:pPr>
      <w:r>
        <w:rPr>
          <w:rFonts w:eastAsia="Times New Roman" w:cs="Times New Roman"/>
        </w:rPr>
      </w:r>
    </w:p>
    <w:p>
      <w:pPr>
        <w:pStyle w:val="Normal"/>
        <w:rPr>
          <w:b/>
          <w:b/>
          <w:bCs/>
        </w:rPr>
      </w:pPr>
      <w:r>
        <w:rPr>
          <w:rFonts w:eastAsia="Times New Roman" w:cs="Times New Roman"/>
          <w:b/>
          <w:bCs/>
        </w:rPr>
        <w:t>4. Štatutárne orgány spoločnosti</w:t>
      </w:r>
    </w:p>
    <w:p>
      <w:pPr>
        <w:pStyle w:val="Normal"/>
        <w:ind w:left="0" w:right="0" w:firstLine="709"/>
        <w:rPr>
          <w:b w:val="false"/>
          <w:b w:val="false"/>
          <w:bCs w:val="false"/>
        </w:rPr>
      </w:pPr>
      <w:r>
        <w:rPr>
          <w:rFonts w:eastAsia="Times New Roman" w:cs="Times New Roman"/>
          <w:b w:val="false"/>
          <w:bCs w:val="false"/>
        </w:rPr>
        <w:t>Konateľ</w:t>
      </w:r>
    </w:p>
    <w:p>
      <w:pPr>
        <w:pStyle w:val="Normal"/>
        <w:ind w:left="0" w:right="0" w:firstLine="709"/>
        <w:jc w:val="both"/>
        <w:rPr>
          <w:b w:val="false"/>
          <w:b w:val="false"/>
          <w:bCs w:val="false"/>
        </w:rPr>
      </w:pPr>
      <w:r>
        <w:rPr>
          <w:rFonts w:eastAsia="Times New Roman" w:cs="Times New Roman"/>
          <w:b w:val="false"/>
          <w:bCs w:val="false"/>
        </w:rPr>
        <w:t>Štatutárnym orgánom spoločnosti je konateľ, ktorý koná v mene spoločnosti samostatne, a to tak, že k vypísanému alebo vytlačenému menu spoločnosti pripojí svoj podpis.</w:t>
      </w:r>
    </w:p>
    <w:p>
      <w:pPr>
        <w:pStyle w:val="Normal"/>
        <w:rPr>
          <w:rFonts w:ascii="Times New Roman" w:hAnsi="Times New Roman" w:eastAsia="Times New Roman" w:cs="Times New Roman"/>
        </w:rPr>
      </w:pPr>
      <w:r>
        <w:rPr>
          <w:rFonts w:eastAsia="Times New Roman" w:cs="Times New Roman"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  <w:t>5. Predmet činnosti</w:t>
      </w:r>
    </w:p>
    <w:p>
      <w:pPr>
        <w:pStyle w:val="Normal"/>
        <w:rPr/>
      </w:pPr>
      <w:r>
        <w:rPr>
          <w:b w:val="false"/>
          <w:bCs w:val="false"/>
        </w:rPr>
        <w:t xml:space="preserve">Kúpa tovaru na účely jeho predaja konečnému </w:t>
      </w:r>
      <w:r>
        <w:rPr>
          <w:b w:val="false"/>
          <w:bCs w:val="false"/>
          <w:lang w:val="sk-SK"/>
        </w:rPr>
        <w:t>spotrebiteľovi</w:t>
      </w:r>
      <w:r>
        <w:rPr>
          <w:b w:val="false"/>
          <w:bCs w:val="false"/>
          <w:lang w:val="en-US"/>
        </w:rPr>
        <w:t xml:space="preserve"> (maloobchod)</w:t>
      </w:r>
    </w:p>
    <w:p>
      <w:pPr>
        <w:pStyle w:val="Normal"/>
        <w:rPr/>
      </w:pPr>
      <w:r>
        <w:rPr>
          <w:b w:val="false"/>
          <w:bCs w:val="false"/>
          <w:lang w:val="en-US"/>
        </w:rPr>
        <w:t xml:space="preserve">alebo </w:t>
      </w:r>
      <w:r>
        <w:rPr>
          <w:b w:val="false"/>
          <w:bCs w:val="false"/>
          <w:lang w:val="sk-SK"/>
        </w:rPr>
        <w:t xml:space="preserve">iným prevádzkovateľom živnosti </w:t>
      </w:r>
      <w:r>
        <w:rPr>
          <w:b w:val="false"/>
          <w:bCs w:val="false"/>
          <w:lang w:val="en-US"/>
        </w:rPr>
        <w:t>(ve</w:t>
      </w:r>
      <w:r>
        <w:rPr>
          <w:b w:val="false"/>
          <w:bCs w:val="false"/>
          <w:lang w:val="sk-SK"/>
        </w:rPr>
        <w:t>ľkoobchod</w:t>
      </w:r>
      <w:r>
        <w:rPr>
          <w:b w:val="false"/>
          <w:bCs w:val="false"/>
          <w:lang w:val="en-US"/>
        </w:rPr>
        <w:t>)</w:t>
      </w:r>
    </w:p>
    <w:p>
      <w:pPr>
        <w:pStyle w:val="Normal"/>
        <w:rPr/>
      </w:pPr>
      <w:r>
        <w:rPr>
          <w:b w:val="false"/>
          <w:bCs w:val="false"/>
          <w:lang w:val="en-US"/>
        </w:rPr>
        <w:t>Sprostredkovate</w:t>
      </w:r>
      <w:r>
        <w:rPr>
          <w:b w:val="false"/>
          <w:bCs w:val="false"/>
          <w:lang w:val="sk-SK"/>
        </w:rPr>
        <w:t>ľská činnosť v oblasti obchodu, služieb, výroby</w:t>
      </w:r>
    </w:p>
    <w:p>
      <w:pPr>
        <w:pStyle w:val="Normal"/>
        <w:rPr/>
      </w:pPr>
      <w:r>
        <w:rPr>
          <w:b w:val="false"/>
          <w:bCs w:val="false"/>
          <w:lang w:val="sk-SK"/>
        </w:rPr>
        <w:t>Reklamné a marketingové služby, prieskum trhu a verejnej mienky</w:t>
      </w:r>
    </w:p>
    <w:p>
      <w:pPr>
        <w:pStyle w:val="Normal"/>
        <w:rPr/>
      </w:pPr>
      <w:r>
        <w:rPr>
          <w:b w:val="false"/>
          <w:bCs w:val="false"/>
          <w:lang w:val="sk-SK"/>
        </w:rPr>
        <w:t>Výroba potravinárskych výrobkov</w:t>
      </w:r>
    </w:p>
    <w:p>
      <w:pPr>
        <w:pStyle w:val="Normal"/>
        <w:rPr/>
      </w:pPr>
      <w:r>
        <w:rPr>
          <w:b w:val="false"/>
          <w:bCs w:val="false"/>
          <w:lang w:val="sk-SK"/>
        </w:rPr>
        <w:t>Výroba nápojov</w:t>
      </w:r>
    </w:p>
    <w:p>
      <w:pPr>
        <w:pStyle w:val="Normal"/>
        <w:rPr/>
      </w:pPr>
      <w:r>
        <w:rPr>
          <w:b w:val="false"/>
          <w:bCs w:val="false"/>
          <w:lang w:val="sk-SK"/>
        </w:rPr>
        <w:t>Činnosť podnikateľských, organizáčných a ekonomických poradcov</w:t>
      </w:r>
    </w:p>
    <w:p>
      <w:pPr>
        <w:pStyle w:val="Normal"/>
        <w:rPr/>
      </w:pPr>
      <w:r>
        <w:rPr>
          <w:b w:val="false"/>
          <w:bCs w:val="false"/>
          <w:lang w:val="sk-SK"/>
        </w:rPr>
        <w:t>Organizovanie športových, kultúrnych a iných spoločenských podujatí</w:t>
      </w:r>
    </w:p>
    <w:p>
      <w:pPr>
        <w:pStyle w:val="Normal"/>
        <w:rPr/>
      </w:pPr>
      <w:r>
        <w:rPr>
          <w:b w:val="false"/>
          <w:bCs w:val="false"/>
          <w:lang w:val="sk-SK"/>
        </w:rPr>
        <w:t>Poskytovanie služieb osobného charakteru</w:t>
      </w:r>
    </w:p>
    <w:p>
      <w:pPr>
        <w:pStyle w:val="Normal"/>
        <w:rPr/>
      </w:pPr>
      <w:r>
        <w:rPr>
          <w:b w:val="false"/>
          <w:bCs w:val="false"/>
          <w:lang w:val="sk-SK"/>
        </w:rPr>
        <w:t>Skladovanie a pomocné činnosti v doprave</w:t>
      </w:r>
    </w:p>
    <w:p>
      <w:pPr>
        <w:pStyle w:val="Normal"/>
        <w:rPr/>
      </w:pPr>
      <w:r>
        <w:rPr>
          <w:b w:val="false"/>
          <w:bCs w:val="false"/>
          <w:lang w:val="sk-SK"/>
        </w:rPr>
        <w:t>Kurierské služby</w:t>
      </w:r>
    </w:p>
    <w:p>
      <w:pPr>
        <w:pStyle w:val="Normal"/>
        <w:rPr/>
      </w:pPr>
      <w:r>
        <w:rPr>
          <w:b w:val="false"/>
          <w:bCs w:val="false"/>
          <w:lang w:val="sk-SK"/>
        </w:rPr>
        <w:t>Poskytovanie služieb rýchleho občerstvenia v spojení s predajom na priamu</w:t>
      </w:r>
    </w:p>
    <w:p>
      <w:pPr>
        <w:pStyle w:val="Normal"/>
        <w:rPr/>
      </w:pPr>
      <w:r>
        <w:rPr>
          <w:b w:val="false"/>
          <w:bCs w:val="false"/>
          <w:lang w:val="sk-SK"/>
        </w:rPr>
        <w:t>konzumáciu</w:t>
      </w:r>
    </w:p>
    <w:p>
      <w:pPr>
        <w:pStyle w:val="Normal"/>
        <w:rPr/>
      </w:pPr>
      <w:r>
        <w:rPr>
          <w:b w:val="false"/>
          <w:bCs w:val="false"/>
          <w:lang w:val="sk-SK"/>
        </w:rPr>
        <w:t>Dizajnérske činnosti</w:t>
      </w:r>
    </w:p>
    <w:p>
      <w:pPr>
        <w:pStyle w:val="Normal"/>
        <w:rPr/>
      </w:pPr>
      <w:r>
        <w:rPr>
          <w:b w:val="false"/>
          <w:bCs w:val="false"/>
          <w:lang w:val="sk-SK"/>
        </w:rPr>
        <w:t xml:space="preserve">Informačná činnosť </w:t>
      </w:r>
    </w:p>
    <w:p>
      <w:pPr>
        <w:pStyle w:val="Normal"/>
        <w:rPr/>
      </w:pPr>
      <w:r>
        <w:rPr>
          <w:b w:val="false"/>
          <w:bCs w:val="false"/>
          <w:lang w:val="sk-SK"/>
        </w:rPr>
        <w:t>Administratívne služby</w:t>
      </w:r>
    </w:p>
    <w:p>
      <w:pPr>
        <w:pStyle w:val="Normal"/>
        <w:rPr/>
      </w:pPr>
      <w:r>
        <w:rPr>
          <w:b w:val="false"/>
          <w:bCs w:val="false"/>
          <w:lang w:val="sk-SK"/>
        </w:rPr>
        <w:t>Vykonavanie mimoškolskej vzdelávacej činnosti</w:t>
      </w:r>
    </w:p>
    <w:p>
      <w:pPr>
        <w:pStyle w:val="Normal"/>
        <w:rPr>
          <w:b w:val="false"/>
          <w:b w:val="false"/>
          <w:bCs w:val="false"/>
          <w:lang w:val="sk-SK"/>
        </w:rPr>
      </w:pPr>
      <w:r>
        <w:rPr>
          <w:b w:val="false"/>
          <w:bCs w:val="false"/>
          <w:lang w:val="sk-SK"/>
        </w:rPr>
      </w:r>
    </w:p>
    <w:p>
      <w:pPr>
        <w:pStyle w:val="Normal"/>
        <w:rPr>
          <w:b w:val="false"/>
          <w:b w:val="false"/>
          <w:bCs w:val="false"/>
          <w:lang w:val="sk-SK"/>
        </w:rPr>
      </w:pPr>
      <w:r>
        <w:rPr>
          <w:b w:val="false"/>
          <w:bCs w:val="false"/>
          <w:lang w:val="sk-SK"/>
        </w:rPr>
      </w:r>
    </w:p>
    <w:p>
      <w:pPr>
        <w:pStyle w:val="Normal"/>
        <w:rPr>
          <w:b w:val="false"/>
          <w:b w:val="false"/>
          <w:bCs w:val="false"/>
          <w:lang w:val="sk-SK"/>
        </w:rPr>
      </w:pPr>
      <w:r>
        <w:rPr>
          <w:b w:val="false"/>
          <w:bCs w:val="false"/>
          <w:lang w:val="sk-SK"/>
        </w:rPr>
      </w:r>
    </w:p>
    <w:p>
      <w:pPr>
        <w:pStyle w:val="Normal"/>
        <w:rPr>
          <w:b w:val="false"/>
          <w:b w:val="false"/>
          <w:bCs w:val="false"/>
          <w:lang w:val="sk-SK"/>
        </w:rPr>
      </w:pPr>
      <w:r>
        <w:rPr>
          <w:b w:val="false"/>
          <w:bCs w:val="false"/>
          <w:lang w:val="sk-SK"/>
        </w:rPr>
      </w:r>
    </w:p>
    <w:p>
      <w:pPr>
        <w:pStyle w:val="Normal"/>
        <w:rPr>
          <w:b w:val="false"/>
          <w:b w:val="false"/>
          <w:bCs w:val="false"/>
          <w:lang w:val="sk-SK"/>
        </w:rPr>
      </w:pPr>
      <w:r>
        <w:rPr>
          <w:b w:val="false"/>
          <w:bCs w:val="false"/>
          <w:lang w:val="sk-SK"/>
        </w:rPr>
      </w:r>
    </w:p>
    <w:p>
      <w:pPr>
        <w:pStyle w:val="Normal"/>
        <w:rPr>
          <w:b w:val="false"/>
          <w:b w:val="false"/>
          <w:bCs w:val="false"/>
          <w:lang w:val="sk-SK"/>
        </w:rPr>
      </w:pPr>
      <w:r>
        <w:rPr>
          <w:b w:val="false"/>
          <w:bCs w:val="false"/>
          <w:lang w:val="sk-SK"/>
        </w:rPr>
      </w:r>
    </w:p>
    <w:p>
      <w:pPr>
        <w:pStyle w:val="Normal"/>
        <w:rPr>
          <w:lang w:val="sk-SK"/>
        </w:rPr>
      </w:pPr>
      <w:r>
        <w:rPr>
          <w:lang w:val="sk-SK"/>
        </w:rPr>
      </w:r>
    </w:p>
    <w:p>
      <w:pPr>
        <w:pStyle w:val="Normal"/>
        <w:rPr>
          <w:b/>
          <w:b/>
          <w:bCs/>
        </w:rPr>
      </w:pPr>
      <w:r>
        <w:rPr>
          <w:b/>
          <w:bCs/>
          <w:lang w:val="sk-SK"/>
        </w:rPr>
        <w:t xml:space="preserve">6. Komentár k výsledkom spoločnosti </w:t>
      </w:r>
    </w:p>
    <w:p>
      <w:pPr>
        <w:pStyle w:val="Normal"/>
        <w:ind w:left="0" w:right="0" w:firstLine="709"/>
        <w:jc w:val="both"/>
        <w:rPr>
          <w:b w:val="false"/>
          <w:b w:val="false"/>
          <w:bCs w:val="false"/>
        </w:rPr>
      </w:pPr>
      <w:r>
        <w:rPr>
          <w:b w:val="false"/>
          <w:bCs w:val="false"/>
        </w:rPr>
        <w:t>Spoločnosť M and F s. r. o., vstúpila do roku 2022 ako výroba sirupov.</w:t>
      </w:r>
    </w:p>
    <w:p>
      <w:pPr>
        <w:pStyle w:val="Normal"/>
        <w:ind w:left="0" w:right="0" w:firstLine="709"/>
        <w:jc w:val="both"/>
        <w:rPr/>
      </w:pPr>
      <w:r>
        <w:rPr>
          <w:b w:val="false"/>
          <w:bCs w:val="false"/>
        </w:rPr>
        <w:t xml:space="preserve">Hlavnou činnosťou je ručne vyrábané </w:t>
      </w:r>
      <w:r>
        <w:rPr>
          <w:rStyle w:val="Zdraznenie"/>
          <w:b w:val="false"/>
          <w:bCs w:val="false"/>
        </w:rPr>
        <w:t>sirupy</w:t>
      </w:r>
      <w:r>
        <w:rPr>
          <w:b w:val="false"/>
          <w:bCs w:val="false"/>
        </w:rPr>
        <w:t xml:space="preserve"> z čerstvých surovín a štiav, bez umelých konzervačných látok v modernom dizajne a širokom rade príchutí.</w:t>
      </w:r>
    </w:p>
    <w:p>
      <w:pPr>
        <w:pStyle w:val="Normal"/>
        <w:ind w:left="0" w:right="0" w:firstLine="709"/>
        <w:jc w:val="both"/>
        <w:rPr>
          <w:b w:val="false"/>
          <w:b w:val="false"/>
          <w:bCs w:val="false"/>
        </w:rPr>
      </w:pPr>
      <w:r>
        <w:rPr>
          <w:b w:val="false"/>
          <w:bCs w:val="false"/>
          <w:lang w:val="sk-SK"/>
        </w:rPr>
        <w:t xml:space="preserve">Podnik dosiahol pozitívny sociálny vplyv meraním percenta zamestnaných znevyhodnených osôb zraniteľných osôb , čo tvorilo 30 % </w:t>
      </w:r>
      <w:r>
        <w:rPr>
          <w:b w:val="false"/>
          <w:bCs w:val="false"/>
          <w:lang w:val="en-US"/>
        </w:rPr>
        <w:t>a</w:t>
      </w:r>
      <w:r>
        <w:rPr>
          <w:b w:val="false"/>
          <w:bCs w:val="false"/>
          <w:lang w:val="sk-SK"/>
        </w:rPr>
        <w:t xml:space="preserve">ž 70 % </w:t>
      </w:r>
      <w:r>
        <w:rPr>
          <w:b w:val="false"/>
          <w:bCs w:val="false"/>
          <w:lang w:val="en-US"/>
        </w:rPr>
        <w:t xml:space="preserve">z </w:t>
      </w:r>
      <w:r>
        <w:rPr>
          <w:b w:val="false"/>
          <w:bCs w:val="false"/>
          <w:lang w:val="sk-SK"/>
        </w:rPr>
        <w:t xml:space="preserve">celkového počtu zamestnancov.V priebehu roka sme úspešne posunuli do trvalého </w:t>
      </w:r>
      <w:r>
        <w:rPr>
          <w:b w:val="false"/>
          <w:bCs w:val="false"/>
        </w:rPr>
        <w:t xml:space="preserve">pracovného pomeru 2 znevýhodnených </w:t>
      </w:r>
      <w:r>
        <w:rPr>
          <w:b w:val="false"/>
          <w:bCs w:val="false"/>
          <w:lang w:val="sk-SK"/>
        </w:rPr>
        <w:t>uchádzačov o zamestnanie, čím sme naplnili cieľ socialného podniku.</w:t>
      </w:r>
    </w:p>
    <w:p>
      <w:pPr>
        <w:pStyle w:val="Normal"/>
        <w:ind w:left="0" w:right="0" w:firstLine="709"/>
        <w:rPr>
          <w:b w:val="false"/>
          <w:b w:val="false"/>
          <w:bCs w:val="false"/>
        </w:rPr>
      </w:pPr>
      <w:r>
        <w:rPr>
          <w:b w:val="false"/>
          <w:bCs w:val="false"/>
        </w:rPr>
        <w:t>Poradný výbor sa zišiel celkovo do 31.12.2022  štyri krát.</w:t>
      </w:r>
    </w:p>
    <w:p>
      <w:pPr>
        <w:pStyle w:val="Normal"/>
        <w:rPr>
          <w:b w:val="false"/>
          <w:b w:val="false"/>
          <w:bCs w:val="false"/>
        </w:rPr>
      </w:pPr>
      <w:r>
        <w:rPr>
          <w:b w:val="false"/>
          <w:bCs w:val="false"/>
        </w:rPr>
      </w:r>
    </w:p>
    <w:p>
      <w:pPr>
        <w:pStyle w:val="Normal"/>
        <w:rPr>
          <w:b/>
          <w:b/>
          <w:bCs/>
        </w:rPr>
      </w:pPr>
      <w:r>
        <w:rPr>
          <w:b/>
          <w:bCs/>
        </w:rPr>
        <w:t xml:space="preserve">7. Zhodnotenie výsledkov hospodárenia spoločnosti </w:t>
      </w:r>
    </w:p>
    <w:tbl>
      <w:tblPr>
        <w:tblW w:w="5000" w:type="pct"/>
        <w:jc w:val="left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</w:tblPr>
      <w:tblGrid>
        <w:gridCol w:w="3024"/>
        <w:gridCol w:w="3024"/>
        <w:gridCol w:w="3024"/>
      </w:tblGrid>
      <w:tr>
        <w:trPr/>
        <w:tc>
          <w:tcPr>
            <w:tcW w:w="30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Obsahtabuky"/>
              <w:widowControl w:val="false"/>
              <w:spacing w:before="0" w:after="200"/>
              <w:rPr>
                <w:b w:val="false"/>
                <w:b w:val="false"/>
                <w:bCs w:val="false"/>
              </w:rPr>
            </w:pPr>
            <w:r>
              <w:rPr>
                <w:b w:val="false"/>
                <w:bCs w:val="false"/>
              </w:rPr>
              <w:t>Ukazovateľ</w:t>
            </w:r>
          </w:p>
        </w:tc>
        <w:tc>
          <w:tcPr>
            <w:tcW w:w="30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Obsahtabuky"/>
              <w:widowControl w:val="false"/>
              <w:spacing w:before="0" w:after="200"/>
              <w:jc w:val="center"/>
              <w:rPr>
                <w:b w:val="false"/>
                <w:b w:val="false"/>
                <w:bCs w:val="false"/>
              </w:rPr>
            </w:pPr>
            <w:r>
              <w:rPr>
                <w:b w:val="false"/>
                <w:bCs w:val="false"/>
              </w:rPr>
              <w:t>Merná jednotka</w:t>
            </w:r>
          </w:p>
        </w:tc>
        <w:tc>
          <w:tcPr>
            <w:tcW w:w="30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Obsahtabuky"/>
              <w:widowControl w:val="false"/>
              <w:spacing w:before="0" w:after="200"/>
              <w:jc w:val="center"/>
              <w:rPr>
                <w:b w:val="false"/>
                <w:b w:val="false"/>
                <w:bCs w:val="false"/>
              </w:rPr>
            </w:pPr>
            <w:r>
              <w:rPr>
                <w:b w:val="false"/>
                <w:bCs w:val="false"/>
              </w:rPr>
              <w:t>Rok  2022</w:t>
            </w:r>
          </w:p>
        </w:tc>
      </w:tr>
      <w:tr>
        <w:trPr/>
        <w:tc>
          <w:tcPr>
            <w:tcW w:w="3024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Obsahtabuky"/>
              <w:widowControl w:val="false"/>
              <w:spacing w:before="0" w:after="200"/>
              <w:rPr>
                <w:b w:val="false"/>
                <w:b w:val="false"/>
                <w:bCs w:val="false"/>
              </w:rPr>
            </w:pPr>
            <w:r>
              <w:rPr>
                <w:b w:val="false"/>
                <w:bCs w:val="false"/>
              </w:rPr>
              <w:t>Výnosy spoločnosti</w:t>
            </w:r>
          </w:p>
        </w:tc>
        <w:tc>
          <w:tcPr>
            <w:tcW w:w="3024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Obsahtabuky"/>
              <w:widowControl w:val="false"/>
              <w:spacing w:before="0" w:after="200"/>
              <w:jc w:val="center"/>
              <w:rPr>
                <w:b w:val="false"/>
                <w:b w:val="false"/>
                <w:bCs w:val="false"/>
              </w:rPr>
            </w:pPr>
            <w:r>
              <w:rPr>
                <w:b w:val="false"/>
                <w:bCs w:val="false"/>
              </w:rPr>
              <w:t>Eur</w:t>
            </w:r>
          </w:p>
        </w:tc>
        <w:tc>
          <w:tcPr>
            <w:tcW w:w="302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Obsahtabuky"/>
              <w:widowControl w:val="false"/>
              <w:spacing w:before="0" w:after="200"/>
              <w:jc w:val="center"/>
              <w:rPr>
                <w:b w:val="false"/>
                <w:b w:val="false"/>
                <w:bCs w:val="false"/>
              </w:rPr>
            </w:pPr>
            <w:r>
              <w:rPr>
                <w:b w:val="false"/>
                <w:bCs w:val="false"/>
              </w:rPr>
              <w:t>134 250,00</w:t>
            </w:r>
          </w:p>
        </w:tc>
      </w:tr>
      <w:tr>
        <w:trPr/>
        <w:tc>
          <w:tcPr>
            <w:tcW w:w="3024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Obsahtabuky"/>
              <w:widowControl w:val="false"/>
              <w:spacing w:before="0" w:after="200"/>
              <w:rPr>
                <w:b w:val="false"/>
                <w:b w:val="false"/>
                <w:bCs w:val="false"/>
              </w:rPr>
            </w:pPr>
            <w:r>
              <w:rPr>
                <w:b w:val="false"/>
                <w:bCs w:val="false"/>
              </w:rPr>
              <w:t>Náklady spoločnosti</w:t>
            </w:r>
          </w:p>
        </w:tc>
        <w:tc>
          <w:tcPr>
            <w:tcW w:w="3024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Obsahtabuky"/>
              <w:widowControl w:val="false"/>
              <w:spacing w:before="0" w:after="200"/>
              <w:jc w:val="center"/>
              <w:rPr>
                <w:b w:val="false"/>
                <w:b w:val="false"/>
                <w:bCs w:val="false"/>
              </w:rPr>
            </w:pPr>
            <w:r>
              <w:rPr>
                <w:b w:val="false"/>
                <w:bCs w:val="false"/>
              </w:rPr>
              <w:t>Eur</w:t>
            </w:r>
          </w:p>
        </w:tc>
        <w:tc>
          <w:tcPr>
            <w:tcW w:w="302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Obsahtabuky"/>
              <w:widowControl w:val="false"/>
              <w:spacing w:before="0" w:after="200"/>
              <w:jc w:val="center"/>
              <w:rPr>
                <w:b w:val="false"/>
                <w:b w:val="false"/>
                <w:bCs w:val="false"/>
              </w:rPr>
            </w:pPr>
            <w:r>
              <w:rPr>
                <w:b w:val="false"/>
                <w:bCs w:val="false"/>
              </w:rPr>
              <w:t>131 255,00</w:t>
            </w:r>
          </w:p>
        </w:tc>
      </w:tr>
      <w:tr>
        <w:trPr/>
        <w:tc>
          <w:tcPr>
            <w:tcW w:w="3024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Obsahtabuky"/>
              <w:widowControl w:val="false"/>
              <w:spacing w:before="0" w:after="200"/>
              <w:rPr>
                <w:b w:val="false"/>
                <w:b w:val="false"/>
                <w:bCs w:val="false"/>
              </w:rPr>
            </w:pPr>
            <w:r>
              <w:rPr>
                <w:b w:val="false"/>
                <w:bCs w:val="false"/>
              </w:rPr>
              <w:t>Počet zamestnancov</w:t>
            </w:r>
          </w:p>
        </w:tc>
        <w:tc>
          <w:tcPr>
            <w:tcW w:w="3024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Obsahtabuky"/>
              <w:widowControl w:val="false"/>
              <w:spacing w:before="0" w:after="200"/>
              <w:jc w:val="center"/>
              <w:rPr>
                <w:b w:val="false"/>
                <w:b w:val="false"/>
                <w:bCs w:val="false"/>
              </w:rPr>
            </w:pPr>
            <w:r>
              <w:rPr>
                <w:b w:val="false"/>
                <w:bCs w:val="false"/>
              </w:rPr>
              <w:t>osoby</w:t>
            </w:r>
          </w:p>
        </w:tc>
        <w:tc>
          <w:tcPr>
            <w:tcW w:w="302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Obsahtabuky"/>
              <w:widowControl w:val="false"/>
              <w:spacing w:before="0" w:after="200"/>
              <w:jc w:val="center"/>
              <w:rPr>
                <w:b w:val="false"/>
                <w:b w:val="false"/>
                <w:bCs w:val="false"/>
              </w:rPr>
            </w:pPr>
            <w:r>
              <w:rPr>
                <w:b w:val="false"/>
                <w:bCs w:val="false"/>
              </w:rPr>
              <w:t>4</w:t>
            </w:r>
          </w:p>
        </w:tc>
      </w:tr>
    </w:tbl>
    <w:p>
      <w:pPr>
        <w:pStyle w:val="Normal"/>
        <w:rPr>
          <w:b w:val="false"/>
          <w:b w:val="false"/>
          <w:bCs w:val="false"/>
        </w:rPr>
      </w:pPr>
      <w:r>
        <w:rPr>
          <w:b w:val="false"/>
          <w:bCs w:val="false"/>
        </w:rPr>
      </w:r>
    </w:p>
    <w:p>
      <w:pPr>
        <w:pStyle w:val="Normal"/>
        <w:rPr>
          <w:b/>
          <w:b/>
          <w:bCs/>
        </w:rPr>
      </w:pPr>
      <w:r>
        <w:rPr>
          <w:b/>
          <w:bCs/>
        </w:rPr>
        <w:t>8.Ekonomické ukazovatele</w:t>
      </w:r>
    </w:p>
    <w:tbl>
      <w:tblPr>
        <w:tblW w:w="5000" w:type="pct"/>
        <w:jc w:val="left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</w:tblPr>
      <w:tblGrid>
        <w:gridCol w:w="4535"/>
        <w:gridCol w:w="4536"/>
      </w:tblGrid>
      <w:tr>
        <w:trPr/>
        <w:tc>
          <w:tcPr>
            <w:tcW w:w="907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Obsahtabuky"/>
              <w:widowControl w:val="false"/>
              <w:spacing w:before="0" w:after="200"/>
              <w:jc w:val="center"/>
              <w:rPr>
                <w:b w:val="false"/>
                <w:b w:val="false"/>
                <w:bCs w:val="false"/>
              </w:rPr>
            </w:pPr>
            <w:r>
              <w:rPr>
                <w:b w:val="false"/>
                <w:bCs w:val="false"/>
              </w:rPr>
              <w:t>Výnosy</w:t>
            </w:r>
          </w:p>
        </w:tc>
      </w:tr>
      <w:tr>
        <w:trPr/>
        <w:tc>
          <w:tcPr>
            <w:tcW w:w="4535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Obsahtabuky"/>
              <w:widowControl w:val="false"/>
              <w:spacing w:before="0" w:after="200"/>
              <w:rPr>
                <w:b w:val="false"/>
                <w:b w:val="false"/>
                <w:bCs w:val="false"/>
              </w:rPr>
            </w:pPr>
            <w:r>
              <w:rPr>
                <w:b w:val="false"/>
                <w:bCs w:val="false"/>
              </w:rPr>
              <w:t>Tržby  za vlasné výrobky</w:t>
            </w:r>
          </w:p>
        </w:tc>
        <w:tc>
          <w:tcPr>
            <w:tcW w:w="453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Obsahtabuky"/>
              <w:widowControl w:val="false"/>
              <w:spacing w:before="0" w:after="200"/>
              <w:jc w:val="center"/>
              <w:rPr>
                <w:b w:val="false"/>
                <w:b w:val="false"/>
                <w:bCs w:val="false"/>
              </w:rPr>
            </w:pPr>
            <w:r>
              <w:rPr>
                <w:b w:val="false"/>
                <w:bCs w:val="false"/>
              </w:rPr>
              <w:t xml:space="preserve">108 371,00 </w:t>
            </w:r>
            <w:r>
              <w:rPr>
                <w:rFonts w:eastAsia="Times New Roman" w:cs="Times New Roman"/>
                <w:b w:val="false"/>
                <w:bCs w:val="false"/>
              </w:rPr>
              <w:t>€</w:t>
            </w:r>
          </w:p>
        </w:tc>
      </w:tr>
      <w:tr>
        <w:trPr/>
        <w:tc>
          <w:tcPr>
            <w:tcW w:w="4535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Obsahtabuky"/>
              <w:widowControl w:val="false"/>
              <w:spacing w:before="0" w:after="200"/>
              <w:rPr>
                <w:b w:val="false"/>
                <w:b w:val="false"/>
                <w:bCs w:val="false"/>
              </w:rPr>
            </w:pPr>
            <w:r>
              <w:rPr>
                <w:b w:val="false"/>
                <w:bCs w:val="false"/>
              </w:rPr>
              <w:t>Tržby z predaja služieb</w:t>
            </w:r>
          </w:p>
        </w:tc>
        <w:tc>
          <w:tcPr>
            <w:tcW w:w="453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Obsahtabuky"/>
              <w:widowControl w:val="false"/>
              <w:spacing w:before="0" w:after="200"/>
              <w:jc w:val="center"/>
              <w:rPr>
                <w:b w:val="false"/>
                <w:b w:val="false"/>
                <w:bCs w:val="false"/>
              </w:rPr>
            </w:pPr>
            <w:r>
              <w:rPr>
                <w:b w:val="false"/>
                <w:bCs w:val="false"/>
              </w:rPr>
              <w:t xml:space="preserve">6 714,00 </w:t>
            </w:r>
            <w:r>
              <w:rPr>
                <w:rFonts w:eastAsia="Times New Roman" w:cs="Times New Roman"/>
                <w:b w:val="false"/>
                <w:bCs w:val="false"/>
              </w:rPr>
              <w:t>€</w:t>
            </w:r>
          </w:p>
        </w:tc>
      </w:tr>
      <w:tr>
        <w:trPr/>
        <w:tc>
          <w:tcPr>
            <w:tcW w:w="4535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Obsahtabuky"/>
              <w:widowControl w:val="false"/>
              <w:spacing w:before="0" w:after="200"/>
              <w:rPr>
                <w:b w:val="false"/>
                <w:b w:val="false"/>
                <w:bCs w:val="false"/>
              </w:rPr>
            </w:pPr>
            <w:r>
              <w:rPr>
                <w:b w:val="false"/>
                <w:bCs w:val="false"/>
              </w:rPr>
              <w:t>Dotácie UPSVaR</w:t>
            </w:r>
          </w:p>
        </w:tc>
        <w:tc>
          <w:tcPr>
            <w:tcW w:w="453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Obsahtabuky"/>
              <w:widowControl w:val="false"/>
              <w:spacing w:before="0" w:after="200"/>
              <w:jc w:val="center"/>
              <w:rPr>
                <w:b w:val="false"/>
                <w:b w:val="false"/>
                <w:bCs w:val="false"/>
              </w:rPr>
            </w:pPr>
            <w:r>
              <w:rPr>
                <w:b w:val="false"/>
                <w:bCs w:val="false"/>
              </w:rPr>
              <w:t xml:space="preserve">19 165,00 </w:t>
            </w:r>
            <w:r>
              <w:rPr>
                <w:rFonts w:eastAsia="Times New Roman" w:cs="Times New Roman"/>
                <w:b w:val="false"/>
                <w:bCs w:val="false"/>
              </w:rPr>
              <w:t>€</w:t>
            </w:r>
          </w:p>
        </w:tc>
      </w:tr>
      <w:tr>
        <w:trPr/>
        <w:tc>
          <w:tcPr>
            <w:tcW w:w="4535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Obsahtabuky"/>
              <w:widowControl w:val="false"/>
              <w:spacing w:before="0" w:after="200"/>
              <w:rPr/>
            </w:pPr>
            <w:r>
              <w:rPr/>
              <w:t>Spolu</w:t>
            </w:r>
          </w:p>
        </w:tc>
        <w:tc>
          <w:tcPr>
            <w:tcW w:w="453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Obsahtabuky"/>
              <w:widowControl w:val="false"/>
              <w:spacing w:before="0" w:after="200"/>
              <w:jc w:val="center"/>
              <w:rPr/>
            </w:pPr>
            <w:r>
              <w:rPr/>
              <w:t xml:space="preserve">134 250,00 </w:t>
            </w:r>
            <w:r>
              <w:rPr>
                <w:rFonts w:eastAsia="Times New Roman" w:cs="Times New Roman"/>
              </w:rPr>
              <w:t>€</w:t>
            </w:r>
          </w:p>
        </w:tc>
      </w:tr>
    </w:tbl>
    <w:p>
      <w:pPr>
        <w:pStyle w:val="Normal"/>
        <w:rPr>
          <w:b w:val="false"/>
          <w:b w:val="false"/>
          <w:bCs w:val="false"/>
        </w:rPr>
      </w:pPr>
      <w:r>
        <w:rPr>
          <w:b w:val="false"/>
          <w:bCs w:val="false"/>
        </w:rPr>
      </w:r>
    </w:p>
    <w:p>
      <w:pPr>
        <w:pStyle w:val="Normal"/>
        <w:rPr>
          <w:b w:val="false"/>
          <w:b w:val="false"/>
          <w:bCs w:val="false"/>
        </w:rPr>
      </w:pPr>
      <w:r>
        <w:rPr>
          <w:b w:val="false"/>
          <w:bCs w:val="false"/>
        </w:rPr>
      </w:r>
    </w:p>
    <w:tbl>
      <w:tblPr>
        <w:tblW w:w="5000" w:type="pct"/>
        <w:jc w:val="left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</w:tblPr>
      <w:tblGrid>
        <w:gridCol w:w="4535"/>
        <w:gridCol w:w="4536"/>
      </w:tblGrid>
      <w:tr>
        <w:trPr/>
        <w:tc>
          <w:tcPr>
            <w:tcW w:w="907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Obsahtabuky"/>
              <w:widowControl w:val="false"/>
              <w:spacing w:before="0" w:after="200"/>
              <w:jc w:val="center"/>
              <w:rPr>
                <w:b w:val="false"/>
                <w:b w:val="false"/>
                <w:bCs w:val="false"/>
              </w:rPr>
            </w:pPr>
            <w:r>
              <w:rPr>
                <w:b w:val="false"/>
                <w:bCs w:val="false"/>
              </w:rPr>
              <w:t>Náklady</w:t>
            </w:r>
          </w:p>
        </w:tc>
      </w:tr>
      <w:tr>
        <w:trPr/>
        <w:tc>
          <w:tcPr>
            <w:tcW w:w="4535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Obsahtabuky"/>
              <w:widowControl w:val="false"/>
              <w:spacing w:before="0" w:after="200"/>
              <w:rPr>
                <w:b w:val="false"/>
                <w:b w:val="false"/>
                <w:bCs w:val="false"/>
              </w:rPr>
            </w:pPr>
            <w:r>
              <w:rPr>
                <w:b w:val="false"/>
                <w:bCs w:val="false"/>
              </w:rPr>
              <w:t>Spotreba  materiálu</w:t>
            </w:r>
          </w:p>
        </w:tc>
        <w:tc>
          <w:tcPr>
            <w:tcW w:w="453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Obsahtabuky"/>
              <w:widowControl w:val="false"/>
              <w:spacing w:before="0" w:after="200"/>
              <w:jc w:val="center"/>
              <w:rPr>
                <w:b w:val="false"/>
                <w:b w:val="false"/>
                <w:bCs w:val="false"/>
              </w:rPr>
            </w:pPr>
            <w:r>
              <w:rPr>
                <w:b w:val="false"/>
                <w:bCs w:val="false"/>
              </w:rPr>
              <w:t xml:space="preserve">50 979,00 </w:t>
            </w:r>
            <w:r>
              <w:rPr>
                <w:rFonts w:eastAsia="Times New Roman" w:cs="Times New Roman"/>
                <w:b w:val="false"/>
                <w:bCs w:val="false"/>
              </w:rPr>
              <w:t>€</w:t>
            </w:r>
          </w:p>
        </w:tc>
      </w:tr>
      <w:tr>
        <w:trPr/>
        <w:tc>
          <w:tcPr>
            <w:tcW w:w="4535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Obsahtabuky"/>
              <w:widowControl w:val="false"/>
              <w:spacing w:before="0" w:after="200"/>
              <w:rPr>
                <w:b w:val="false"/>
                <w:b w:val="false"/>
                <w:bCs w:val="false"/>
              </w:rPr>
            </w:pPr>
            <w:r>
              <w:rPr>
                <w:b w:val="false"/>
                <w:bCs w:val="false"/>
              </w:rPr>
              <w:t>Služby</w:t>
            </w:r>
          </w:p>
        </w:tc>
        <w:tc>
          <w:tcPr>
            <w:tcW w:w="453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Obsahtabuky"/>
              <w:widowControl w:val="false"/>
              <w:spacing w:before="0" w:after="200"/>
              <w:jc w:val="center"/>
              <w:rPr>
                <w:b w:val="false"/>
                <w:b w:val="false"/>
                <w:bCs w:val="false"/>
              </w:rPr>
            </w:pPr>
            <w:r>
              <w:rPr>
                <w:b w:val="false"/>
                <w:bCs w:val="false"/>
              </w:rPr>
              <w:t xml:space="preserve">31 092,00 </w:t>
            </w:r>
            <w:r>
              <w:rPr>
                <w:rFonts w:eastAsia="Times New Roman" w:cs="Times New Roman"/>
                <w:b w:val="false"/>
                <w:bCs w:val="false"/>
              </w:rPr>
              <w:t>€</w:t>
            </w:r>
          </w:p>
        </w:tc>
      </w:tr>
      <w:tr>
        <w:trPr/>
        <w:tc>
          <w:tcPr>
            <w:tcW w:w="4535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Obsahtabuky"/>
              <w:widowControl w:val="false"/>
              <w:spacing w:before="0" w:after="200"/>
              <w:rPr>
                <w:b w:val="false"/>
                <w:b w:val="false"/>
                <w:bCs w:val="false"/>
              </w:rPr>
            </w:pPr>
            <w:r>
              <w:rPr>
                <w:b w:val="false"/>
                <w:bCs w:val="false"/>
              </w:rPr>
              <w:t>Mzdové náklady</w:t>
            </w:r>
          </w:p>
        </w:tc>
        <w:tc>
          <w:tcPr>
            <w:tcW w:w="453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Obsahtabuky"/>
              <w:widowControl w:val="false"/>
              <w:spacing w:before="0" w:after="200"/>
              <w:jc w:val="center"/>
              <w:rPr>
                <w:b w:val="false"/>
                <w:b w:val="false"/>
                <w:bCs w:val="false"/>
              </w:rPr>
            </w:pPr>
            <w:r>
              <w:rPr>
                <w:b w:val="false"/>
                <w:bCs w:val="false"/>
              </w:rPr>
              <w:t xml:space="preserve">43 119,00  </w:t>
            </w:r>
            <w:r>
              <w:rPr>
                <w:rFonts w:eastAsia="Times New Roman" w:cs="Times New Roman"/>
                <w:b w:val="false"/>
                <w:bCs w:val="false"/>
              </w:rPr>
              <w:t>€</w:t>
            </w:r>
          </w:p>
        </w:tc>
      </w:tr>
      <w:tr>
        <w:trPr/>
        <w:tc>
          <w:tcPr>
            <w:tcW w:w="4535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Obsahtabuky"/>
              <w:widowControl w:val="false"/>
              <w:spacing w:before="0" w:after="200"/>
              <w:rPr>
                <w:b w:val="false"/>
                <w:b w:val="false"/>
                <w:bCs w:val="false"/>
              </w:rPr>
            </w:pPr>
            <w:r>
              <w:rPr>
                <w:b w:val="false"/>
                <w:bCs w:val="false"/>
              </w:rPr>
              <w:t>Ostatné dane a poplatky</w:t>
            </w:r>
          </w:p>
        </w:tc>
        <w:tc>
          <w:tcPr>
            <w:tcW w:w="453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Obsahtabuky"/>
              <w:widowControl w:val="false"/>
              <w:spacing w:before="0" w:after="200"/>
              <w:jc w:val="center"/>
              <w:rPr>
                <w:b w:val="false"/>
                <w:b w:val="false"/>
                <w:bCs w:val="false"/>
              </w:rPr>
            </w:pPr>
            <w:r>
              <w:rPr>
                <w:b w:val="false"/>
                <w:bCs w:val="false"/>
              </w:rPr>
              <w:t xml:space="preserve">254,00 </w:t>
            </w:r>
            <w:r>
              <w:rPr>
                <w:rFonts w:eastAsia="Times New Roman" w:cs="Times New Roman"/>
                <w:b w:val="false"/>
                <w:bCs w:val="false"/>
              </w:rPr>
              <w:t>€</w:t>
            </w:r>
          </w:p>
        </w:tc>
      </w:tr>
      <w:tr>
        <w:trPr/>
        <w:tc>
          <w:tcPr>
            <w:tcW w:w="4535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Obsahtabuky"/>
              <w:widowControl w:val="false"/>
              <w:spacing w:before="0" w:after="200"/>
              <w:rPr>
                <w:b w:val="false"/>
                <w:b w:val="false"/>
                <w:bCs w:val="false"/>
              </w:rPr>
            </w:pPr>
            <w:r>
              <w:rPr>
                <w:b w:val="false"/>
                <w:bCs w:val="false"/>
              </w:rPr>
              <w:t>Odpisy</w:t>
            </w:r>
          </w:p>
        </w:tc>
        <w:tc>
          <w:tcPr>
            <w:tcW w:w="453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Obsahtabuky"/>
              <w:widowControl w:val="false"/>
              <w:spacing w:before="0" w:after="200"/>
              <w:jc w:val="center"/>
              <w:rPr>
                <w:b w:val="false"/>
                <w:b w:val="false"/>
                <w:bCs w:val="false"/>
              </w:rPr>
            </w:pPr>
            <w:r>
              <w:rPr>
                <w:b w:val="false"/>
                <w:bCs w:val="false"/>
              </w:rPr>
              <w:t xml:space="preserve">4 507,00 </w:t>
            </w:r>
            <w:r>
              <w:rPr>
                <w:rFonts w:eastAsia="Times New Roman" w:cs="Times New Roman"/>
                <w:b w:val="false"/>
                <w:bCs w:val="false"/>
              </w:rPr>
              <w:t>€</w:t>
            </w:r>
          </w:p>
        </w:tc>
      </w:tr>
      <w:tr>
        <w:trPr/>
        <w:tc>
          <w:tcPr>
            <w:tcW w:w="4535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Obsahtabuky"/>
              <w:widowControl w:val="false"/>
              <w:spacing w:before="0" w:after="200"/>
              <w:rPr>
                <w:b w:val="false"/>
                <w:b w:val="false"/>
                <w:bCs w:val="false"/>
              </w:rPr>
            </w:pPr>
            <w:r>
              <w:rPr>
                <w:b w:val="false"/>
                <w:bCs w:val="false"/>
              </w:rPr>
              <w:t>Ostatné finančné náklady</w:t>
            </w:r>
          </w:p>
        </w:tc>
        <w:tc>
          <w:tcPr>
            <w:tcW w:w="453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Obsahtabuky"/>
              <w:widowControl w:val="false"/>
              <w:spacing w:before="0" w:after="200"/>
              <w:jc w:val="center"/>
              <w:rPr>
                <w:b w:val="false"/>
                <w:b w:val="false"/>
                <w:bCs w:val="false"/>
              </w:rPr>
            </w:pPr>
            <w:r>
              <w:rPr>
                <w:b w:val="false"/>
                <w:bCs w:val="false"/>
              </w:rPr>
              <w:t xml:space="preserve">313,00 </w:t>
            </w:r>
            <w:r>
              <w:rPr>
                <w:rFonts w:eastAsia="Times New Roman" w:cs="Times New Roman"/>
                <w:b w:val="false"/>
                <w:bCs w:val="false"/>
              </w:rPr>
              <w:t>€</w:t>
            </w:r>
          </w:p>
        </w:tc>
      </w:tr>
      <w:tr>
        <w:trPr/>
        <w:tc>
          <w:tcPr>
            <w:tcW w:w="4535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Obsahtabuky"/>
              <w:widowControl w:val="false"/>
              <w:spacing w:before="0" w:after="200"/>
              <w:rPr/>
            </w:pPr>
            <w:r>
              <w:rPr/>
              <w:t>S</w:t>
            </w:r>
            <w:r>
              <w:rPr>
                <w:b w:val="false"/>
                <w:bCs w:val="false"/>
              </w:rPr>
              <w:t>platná daň z príjmov</w:t>
            </w:r>
          </w:p>
        </w:tc>
        <w:tc>
          <w:tcPr>
            <w:tcW w:w="453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Obsahtabuky"/>
              <w:widowControl w:val="false"/>
              <w:spacing w:before="0" w:after="200"/>
              <w:jc w:val="center"/>
              <w:rPr>
                <w:b w:val="false"/>
                <w:b w:val="false"/>
                <w:bCs w:val="false"/>
              </w:rPr>
            </w:pPr>
            <w:r>
              <w:rPr>
                <w:b w:val="false"/>
                <w:bCs w:val="false"/>
              </w:rPr>
              <w:t xml:space="preserve">991,00 </w:t>
            </w:r>
            <w:r>
              <w:rPr>
                <w:rFonts w:eastAsia="Times New Roman" w:cs="Times New Roman"/>
                <w:b w:val="false"/>
                <w:bCs w:val="false"/>
              </w:rPr>
              <w:t>€</w:t>
            </w:r>
          </w:p>
        </w:tc>
      </w:tr>
      <w:tr>
        <w:trPr/>
        <w:tc>
          <w:tcPr>
            <w:tcW w:w="4535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Obsahtabuky"/>
              <w:widowControl w:val="false"/>
              <w:spacing w:before="0" w:after="200"/>
              <w:rPr/>
            </w:pPr>
            <w:r>
              <w:rPr/>
              <w:t>Spolu</w:t>
            </w:r>
          </w:p>
        </w:tc>
        <w:tc>
          <w:tcPr>
            <w:tcW w:w="453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Obsahtabuky"/>
              <w:widowControl w:val="false"/>
              <w:spacing w:before="0" w:after="200"/>
              <w:jc w:val="center"/>
              <w:rPr/>
            </w:pPr>
            <w:r>
              <w:rPr/>
              <w:t>131 255,00</w:t>
            </w:r>
            <w:r>
              <w:rPr>
                <w:b/>
                <w:bCs/>
              </w:rPr>
              <w:t xml:space="preserve"> </w:t>
            </w:r>
            <w:r>
              <w:rPr>
                <w:rFonts w:eastAsia="Times New Roman" w:cs="Times New Roman"/>
                <w:b/>
                <w:bCs/>
              </w:rPr>
              <w:t>€</w:t>
            </w:r>
          </w:p>
        </w:tc>
      </w:tr>
    </w:tbl>
    <w:p>
      <w:pPr>
        <w:pStyle w:val="Normal"/>
        <w:rPr>
          <w:b w:val="false"/>
          <w:b w:val="false"/>
          <w:bCs w:val="false"/>
          <w:lang w:val="sk-SK"/>
        </w:rPr>
      </w:pPr>
      <w:r>
        <w:rPr>
          <w:b w:val="false"/>
          <w:bCs w:val="false"/>
          <w:lang w:val="sk-SK"/>
        </w:rPr>
      </w:r>
    </w:p>
    <w:p>
      <w:pPr>
        <w:pStyle w:val="Normal"/>
        <w:rPr/>
      </w:pPr>
      <w:r>
        <w:rPr>
          <w:lang w:val="sk-SK"/>
        </w:rPr>
        <w:t xml:space="preserve">             </w:t>
      </w:r>
    </w:p>
    <w:p>
      <w:pPr>
        <w:pStyle w:val="Normal"/>
        <w:rPr>
          <w:lang w:val="sk-SK"/>
        </w:rPr>
      </w:pPr>
      <w:r>
        <w:rPr>
          <w:lang w:val="sk-SK"/>
        </w:rPr>
      </w:r>
    </w:p>
    <w:tbl>
      <w:tblPr>
        <w:tblW w:w="5000" w:type="pct"/>
        <w:jc w:val="left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</w:tblPr>
      <w:tblGrid>
        <w:gridCol w:w="4535"/>
        <w:gridCol w:w="4536"/>
      </w:tblGrid>
      <w:tr>
        <w:trPr/>
        <w:tc>
          <w:tcPr>
            <w:tcW w:w="907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Obsahtabuky"/>
              <w:widowControl w:val="false"/>
              <w:spacing w:before="0" w:after="200"/>
              <w:jc w:val="center"/>
              <w:rPr>
                <w:b w:val="false"/>
                <w:b w:val="false"/>
                <w:bCs w:val="false"/>
              </w:rPr>
            </w:pPr>
            <w:r>
              <w:rPr>
                <w:b w:val="false"/>
                <w:bCs w:val="false"/>
              </w:rPr>
              <w:t>Štruktúra majetku spoločnosti</w:t>
            </w:r>
          </w:p>
        </w:tc>
      </w:tr>
      <w:tr>
        <w:trPr/>
        <w:tc>
          <w:tcPr>
            <w:tcW w:w="4535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Obsahtabuky"/>
              <w:widowControl w:val="false"/>
              <w:spacing w:before="0" w:after="200"/>
              <w:rPr>
                <w:b w:val="false"/>
                <w:b w:val="false"/>
                <w:bCs w:val="false"/>
              </w:rPr>
            </w:pPr>
            <w:r>
              <w:rPr>
                <w:b w:val="false"/>
                <w:bCs w:val="false"/>
              </w:rPr>
              <w:t>Zásoby</w:t>
            </w:r>
          </w:p>
        </w:tc>
        <w:tc>
          <w:tcPr>
            <w:tcW w:w="453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Obsahtabuky"/>
              <w:widowControl w:val="false"/>
              <w:spacing w:before="0" w:after="200"/>
              <w:jc w:val="center"/>
              <w:rPr>
                <w:b w:val="false"/>
                <w:b w:val="false"/>
                <w:bCs w:val="false"/>
              </w:rPr>
            </w:pPr>
            <w:r>
              <w:rPr>
                <w:b w:val="false"/>
                <w:bCs w:val="false"/>
              </w:rPr>
              <w:t xml:space="preserve">3 200,00 </w:t>
            </w:r>
            <w:r>
              <w:rPr>
                <w:rFonts w:eastAsia="Times New Roman" w:cs="Times New Roman"/>
                <w:b w:val="false"/>
                <w:bCs w:val="false"/>
              </w:rPr>
              <w:t>€</w:t>
            </w:r>
          </w:p>
        </w:tc>
      </w:tr>
      <w:tr>
        <w:trPr/>
        <w:tc>
          <w:tcPr>
            <w:tcW w:w="4535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Obsahtabuky"/>
              <w:widowControl w:val="false"/>
              <w:spacing w:before="0" w:after="200"/>
              <w:rPr>
                <w:b w:val="false"/>
                <w:b w:val="false"/>
                <w:bCs w:val="false"/>
              </w:rPr>
            </w:pPr>
            <w:r>
              <w:rPr>
                <w:b w:val="false"/>
                <w:bCs w:val="false"/>
              </w:rPr>
              <w:t>Krátkodobé pohľadávky</w:t>
            </w:r>
          </w:p>
        </w:tc>
        <w:tc>
          <w:tcPr>
            <w:tcW w:w="453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Obsahtabuky"/>
              <w:widowControl w:val="false"/>
              <w:spacing w:before="0" w:after="200"/>
              <w:jc w:val="center"/>
              <w:rPr>
                <w:b w:val="false"/>
                <w:b w:val="false"/>
                <w:bCs w:val="false"/>
              </w:rPr>
            </w:pPr>
            <w:r>
              <w:rPr>
                <w:b w:val="false"/>
                <w:bCs w:val="false"/>
              </w:rPr>
              <w:t xml:space="preserve">19 069,00 </w:t>
            </w:r>
            <w:r>
              <w:rPr>
                <w:rFonts w:eastAsia="Times New Roman" w:cs="Times New Roman"/>
                <w:b w:val="false"/>
                <w:bCs w:val="false"/>
              </w:rPr>
              <w:t>€</w:t>
            </w:r>
          </w:p>
        </w:tc>
      </w:tr>
      <w:tr>
        <w:trPr/>
        <w:tc>
          <w:tcPr>
            <w:tcW w:w="4535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Obsahtabuky"/>
              <w:widowControl w:val="false"/>
              <w:spacing w:before="0" w:after="200"/>
              <w:rPr>
                <w:b w:val="false"/>
                <w:b w:val="false"/>
                <w:bCs w:val="false"/>
              </w:rPr>
            </w:pPr>
            <w:r>
              <w:rPr>
                <w:b w:val="false"/>
                <w:bCs w:val="false"/>
              </w:rPr>
              <w:t>Pokladnica</w:t>
            </w:r>
          </w:p>
        </w:tc>
        <w:tc>
          <w:tcPr>
            <w:tcW w:w="453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Obsahtabuky"/>
              <w:widowControl w:val="false"/>
              <w:spacing w:before="0" w:after="200"/>
              <w:jc w:val="center"/>
              <w:rPr>
                <w:b w:val="false"/>
                <w:b w:val="false"/>
                <w:bCs w:val="false"/>
              </w:rPr>
            </w:pPr>
            <w:r>
              <w:rPr>
                <w:b w:val="false"/>
                <w:bCs w:val="false"/>
              </w:rPr>
              <w:t xml:space="preserve">11 537,00 </w:t>
            </w:r>
            <w:r>
              <w:rPr>
                <w:rFonts w:eastAsia="Times New Roman" w:cs="Times New Roman"/>
                <w:b w:val="false"/>
                <w:bCs w:val="false"/>
              </w:rPr>
              <w:t>€</w:t>
            </w:r>
          </w:p>
        </w:tc>
      </w:tr>
      <w:tr>
        <w:trPr/>
        <w:tc>
          <w:tcPr>
            <w:tcW w:w="4535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Obsahtabuky"/>
              <w:widowControl w:val="false"/>
              <w:spacing w:before="0" w:after="200"/>
              <w:rPr/>
            </w:pPr>
            <w:r>
              <w:rPr>
                <w:b w:val="false"/>
                <w:bCs w:val="false"/>
              </w:rPr>
              <w:t>Bankové účty</w:t>
            </w:r>
          </w:p>
        </w:tc>
        <w:tc>
          <w:tcPr>
            <w:tcW w:w="453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Obsahtabuky"/>
              <w:widowControl w:val="false"/>
              <w:spacing w:before="0" w:after="200"/>
              <w:jc w:val="center"/>
              <w:rPr>
                <w:b w:val="false"/>
                <w:b w:val="false"/>
                <w:bCs w:val="false"/>
              </w:rPr>
            </w:pPr>
            <w:r>
              <w:rPr>
                <w:b w:val="false"/>
                <w:bCs w:val="false"/>
              </w:rPr>
              <w:t xml:space="preserve">2 500,00 </w:t>
            </w:r>
            <w:r>
              <w:rPr>
                <w:rFonts w:eastAsia="Times New Roman" w:cs="Times New Roman"/>
                <w:b w:val="false"/>
                <w:bCs w:val="false"/>
              </w:rPr>
              <w:t>€</w:t>
            </w:r>
          </w:p>
        </w:tc>
      </w:tr>
      <w:tr>
        <w:trPr/>
        <w:tc>
          <w:tcPr>
            <w:tcW w:w="4535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Obsahtabuky"/>
              <w:widowControl w:val="false"/>
              <w:spacing w:before="0" w:after="200"/>
              <w:rPr>
                <w:b/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453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Obsahtabuky"/>
              <w:widowControl w:val="false"/>
              <w:spacing w:before="0" w:after="200"/>
              <w:jc w:val="center"/>
              <w:rPr/>
            </w:pPr>
            <w:r>
              <w:rPr/>
              <w:t>36 306,00</w:t>
            </w:r>
            <w:r>
              <w:rPr>
                <w:b w:val="false"/>
                <w:bCs w:val="false"/>
              </w:rPr>
              <w:t xml:space="preserve"> </w:t>
            </w:r>
            <w:r>
              <w:rPr>
                <w:rFonts w:eastAsia="Times New Roman" w:cs="Times New Roman"/>
                <w:b w:val="false"/>
                <w:bCs w:val="false"/>
              </w:rPr>
              <w:t>€</w:t>
            </w:r>
          </w:p>
        </w:tc>
      </w:tr>
    </w:tbl>
    <w:p>
      <w:pPr>
        <w:pStyle w:val="Normal"/>
        <w:rPr/>
      </w:pPr>
      <w:r>
        <w:rPr>
          <w:lang w:val="sk-SK"/>
        </w:rPr>
        <w:t xml:space="preserve">        </w:t>
      </w:r>
    </w:p>
    <w:p>
      <w:pPr>
        <w:pStyle w:val="Normal"/>
        <w:rPr/>
      </w:pPr>
      <w:r>
        <w:rPr>
          <w:lang w:val="sk-SK"/>
        </w:rPr>
        <w:t xml:space="preserve">  </w:t>
      </w:r>
    </w:p>
    <w:tbl>
      <w:tblPr>
        <w:tblW w:w="9030" w:type="dxa"/>
        <w:jc w:val="left"/>
        <w:tblInd w:w="93" w:type="dxa"/>
        <w:tblLayout w:type="fixed"/>
        <w:tblCellMar>
          <w:top w:w="55" w:type="dxa"/>
          <w:left w:w="55" w:type="dxa"/>
          <w:bottom w:w="55" w:type="dxa"/>
          <w:right w:w="55" w:type="dxa"/>
        </w:tblCellMar>
      </w:tblPr>
      <w:tblGrid>
        <w:gridCol w:w="4485"/>
        <w:gridCol w:w="4544"/>
      </w:tblGrid>
      <w:tr>
        <w:trPr/>
        <w:tc>
          <w:tcPr>
            <w:tcW w:w="902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Obsahtabuky"/>
              <w:widowControl w:val="false"/>
              <w:spacing w:before="0" w:after="200"/>
              <w:jc w:val="center"/>
              <w:rPr>
                <w:b w:val="false"/>
                <w:b w:val="false"/>
                <w:bCs w:val="false"/>
              </w:rPr>
            </w:pPr>
            <w:r>
              <w:rPr>
                <w:b w:val="false"/>
                <w:bCs w:val="false"/>
              </w:rPr>
              <w:t>Štruktúra zdrojov v  spoločnosti</w:t>
            </w:r>
          </w:p>
        </w:tc>
      </w:tr>
      <w:tr>
        <w:trPr/>
        <w:tc>
          <w:tcPr>
            <w:tcW w:w="4485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Obsahtabuky"/>
              <w:widowControl w:val="false"/>
              <w:spacing w:before="0" w:after="200"/>
              <w:rPr>
                <w:b w:val="false"/>
                <w:b w:val="false"/>
                <w:bCs w:val="false"/>
              </w:rPr>
            </w:pPr>
            <w:r>
              <w:rPr>
                <w:b w:val="false"/>
                <w:bCs w:val="false"/>
              </w:rPr>
              <w:t>Vlastné imanie</w:t>
            </w:r>
          </w:p>
        </w:tc>
        <w:tc>
          <w:tcPr>
            <w:tcW w:w="454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Obsahtabuky"/>
              <w:widowControl w:val="false"/>
              <w:spacing w:before="0" w:after="200"/>
              <w:jc w:val="center"/>
              <w:rPr>
                <w:b w:val="false"/>
                <w:b w:val="false"/>
                <w:bCs w:val="false"/>
              </w:rPr>
            </w:pPr>
            <w:r>
              <w:rPr>
                <w:b w:val="false"/>
                <w:bCs w:val="false"/>
              </w:rPr>
              <w:t xml:space="preserve">14 612,00 </w:t>
            </w:r>
            <w:r>
              <w:rPr>
                <w:rFonts w:eastAsia="Times New Roman" w:cs="Times New Roman"/>
                <w:b w:val="false"/>
                <w:bCs w:val="false"/>
              </w:rPr>
              <w:t>€</w:t>
            </w:r>
          </w:p>
        </w:tc>
      </w:tr>
      <w:tr>
        <w:trPr/>
        <w:tc>
          <w:tcPr>
            <w:tcW w:w="4485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Obsahtabuky"/>
              <w:widowControl w:val="false"/>
              <w:spacing w:before="0" w:after="200"/>
              <w:rPr>
                <w:b w:val="false"/>
                <w:b w:val="false"/>
                <w:bCs w:val="false"/>
              </w:rPr>
            </w:pPr>
            <w:r>
              <w:rPr>
                <w:b w:val="false"/>
                <w:bCs w:val="false"/>
              </w:rPr>
              <w:t>Základné imanie</w:t>
            </w:r>
          </w:p>
        </w:tc>
        <w:tc>
          <w:tcPr>
            <w:tcW w:w="454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Obsahtabuky"/>
              <w:widowControl w:val="false"/>
              <w:spacing w:before="0" w:after="200"/>
              <w:jc w:val="center"/>
              <w:rPr>
                <w:b w:val="false"/>
                <w:b w:val="false"/>
                <w:bCs w:val="false"/>
              </w:rPr>
            </w:pPr>
            <w:r>
              <w:rPr>
                <w:b w:val="false"/>
                <w:bCs w:val="false"/>
              </w:rPr>
              <w:t xml:space="preserve">5 000,00 </w:t>
            </w:r>
            <w:r>
              <w:rPr>
                <w:rFonts w:eastAsia="Times New Roman" w:cs="Times New Roman"/>
                <w:b w:val="false"/>
                <w:bCs w:val="false"/>
              </w:rPr>
              <w:t>€</w:t>
            </w:r>
          </w:p>
        </w:tc>
      </w:tr>
      <w:tr>
        <w:trPr/>
        <w:tc>
          <w:tcPr>
            <w:tcW w:w="4485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Obsahtabuky"/>
              <w:widowControl w:val="false"/>
              <w:spacing w:before="0" w:after="200"/>
              <w:rPr>
                <w:b w:val="false"/>
                <w:b w:val="false"/>
                <w:bCs w:val="false"/>
              </w:rPr>
            </w:pPr>
            <w:r>
              <w:rPr>
                <w:b w:val="false"/>
                <w:bCs w:val="false"/>
              </w:rPr>
              <w:t>Nerozdelený zisk minulých rokov</w:t>
            </w:r>
          </w:p>
        </w:tc>
        <w:tc>
          <w:tcPr>
            <w:tcW w:w="454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Obsahtabuky"/>
              <w:widowControl w:val="false"/>
              <w:spacing w:before="0" w:after="200"/>
              <w:jc w:val="center"/>
              <w:rPr>
                <w:b w:val="false"/>
                <w:b w:val="false"/>
                <w:bCs w:val="false"/>
              </w:rPr>
            </w:pPr>
            <w:r>
              <w:rPr>
                <w:b w:val="false"/>
                <w:bCs w:val="false"/>
              </w:rPr>
              <w:t xml:space="preserve">6 617,00 </w:t>
            </w:r>
            <w:r>
              <w:rPr>
                <w:rFonts w:eastAsia="Times New Roman" w:cs="Times New Roman"/>
                <w:b w:val="false"/>
                <w:bCs w:val="false"/>
              </w:rPr>
              <w:t>€</w:t>
            </w:r>
          </w:p>
        </w:tc>
      </w:tr>
      <w:tr>
        <w:trPr/>
        <w:tc>
          <w:tcPr>
            <w:tcW w:w="4485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Obsahtabuky"/>
              <w:widowControl w:val="false"/>
              <w:spacing w:before="0" w:after="200"/>
              <w:rPr>
                <w:b w:val="false"/>
                <w:b w:val="false"/>
                <w:bCs w:val="false"/>
              </w:rPr>
            </w:pPr>
            <w:r>
              <w:rPr>
                <w:b w:val="false"/>
                <w:bCs w:val="false"/>
              </w:rPr>
              <w:t>Výsledok hospod za účtovné obdobie</w:t>
            </w:r>
          </w:p>
        </w:tc>
        <w:tc>
          <w:tcPr>
            <w:tcW w:w="454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Obsahtabuky"/>
              <w:widowControl w:val="false"/>
              <w:spacing w:before="0" w:after="200"/>
              <w:jc w:val="center"/>
              <w:rPr>
                <w:b w:val="false"/>
                <w:b w:val="false"/>
                <w:bCs w:val="false"/>
              </w:rPr>
            </w:pPr>
            <w:r>
              <w:rPr>
                <w:b w:val="false"/>
                <w:bCs w:val="false"/>
              </w:rPr>
              <w:t xml:space="preserve">2 995,00 </w:t>
            </w:r>
            <w:r>
              <w:rPr>
                <w:rFonts w:eastAsia="Times New Roman" w:cs="Times New Roman"/>
                <w:b w:val="false"/>
                <w:bCs w:val="false"/>
              </w:rPr>
              <w:t>€</w:t>
            </w:r>
          </w:p>
        </w:tc>
      </w:tr>
      <w:tr>
        <w:trPr/>
        <w:tc>
          <w:tcPr>
            <w:tcW w:w="4485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Obsahtabuky"/>
              <w:widowControl w:val="false"/>
              <w:spacing w:before="0" w:after="200"/>
              <w:rPr>
                <w:b w:val="false"/>
                <w:b w:val="false"/>
                <w:bCs w:val="false"/>
              </w:rPr>
            </w:pPr>
            <w:r>
              <w:rPr>
                <w:b w:val="false"/>
                <w:bCs w:val="false"/>
              </w:rPr>
              <w:t>Krátkodobé záväzky</w:t>
            </w:r>
          </w:p>
        </w:tc>
        <w:tc>
          <w:tcPr>
            <w:tcW w:w="454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Obsahtabuky"/>
              <w:widowControl w:val="false"/>
              <w:spacing w:before="0" w:after="200"/>
              <w:jc w:val="center"/>
              <w:rPr>
                <w:b w:val="false"/>
                <w:b w:val="false"/>
                <w:bCs w:val="false"/>
              </w:rPr>
            </w:pPr>
            <w:r>
              <w:rPr>
                <w:b w:val="false"/>
                <w:bCs w:val="false"/>
              </w:rPr>
              <w:t xml:space="preserve">6 767,00 </w:t>
            </w:r>
            <w:r>
              <w:rPr>
                <w:rFonts w:eastAsia="Times New Roman" w:cs="Times New Roman"/>
                <w:b w:val="false"/>
                <w:bCs w:val="false"/>
              </w:rPr>
              <w:t>€</w:t>
            </w:r>
          </w:p>
        </w:tc>
      </w:tr>
      <w:tr>
        <w:trPr/>
        <w:tc>
          <w:tcPr>
            <w:tcW w:w="4485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Obsahtabuky"/>
              <w:widowControl w:val="false"/>
              <w:spacing w:before="0" w:after="200"/>
              <w:rPr>
                <w:b w:val="false"/>
                <w:b w:val="false"/>
                <w:bCs w:val="false"/>
              </w:rPr>
            </w:pPr>
            <w:r>
              <w:rPr>
                <w:b w:val="false"/>
                <w:bCs w:val="false"/>
              </w:rPr>
              <w:t>Zamestnanci a SP</w:t>
            </w:r>
          </w:p>
        </w:tc>
        <w:tc>
          <w:tcPr>
            <w:tcW w:w="454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Obsahtabuky"/>
              <w:widowControl w:val="false"/>
              <w:spacing w:before="0" w:after="200"/>
              <w:jc w:val="center"/>
              <w:rPr>
                <w:b w:val="false"/>
                <w:b w:val="false"/>
                <w:bCs w:val="false"/>
              </w:rPr>
            </w:pPr>
            <w:r>
              <w:rPr>
                <w:b w:val="false"/>
                <w:bCs w:val="false"/>
              </w:rPr>
              <w:t xml:space="preserve">4 060,00 </w:t>
            </w:r>
            <w:r>
              <w:rPr>
                <w:rFonts w:eastAsia="Times New Roman" w:cs="Times New Roman"/>
                <w:b w:val="false"/>
                <w:bCs w:val="false"/>
              </w:rPr>
              <w:t>€</w:t>
            </w:r>
          </w:p>
        </w:tc>
      </w:tr>
      <w:tr>
        <w:trPr/>
        <w:tc>
          <w:tcPr>
            <w:tcW w:w="4485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Obsahtabuky"/>
              <w:widowControl w:val="false"/>
              <w:spacing w:before="0" w:after="200"/>
              <w:rPr>
                <w:b w:val="false"/>
                <w:b w:val="false"/>
                <w:bCs w:val="false"/>
              </w:rPr>
            </w:pPr>
            <w:r>
              <w:rPr>
                <w:b w:val="false"/>
                <w:bCs w:val="false"/>
              </w:rPr>
              <w:t>Dane</w:t>
            </w:r>
          </w:p>
        </w:tc>
        <w:tc>
          <w:tcPr>
            <w:tcW w:w="454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Obsahtabuky"/>
              <w:widowControl w:val="false"/>
              <w:spacing w:before="0" w:after="200"/>
              <w:jc w:val="center"/>
              <w:rPr>
                <w:b w:val="false"/>
                <w:b w:val="false"/>
                <w:bCs w:val="false"/>
              </w:rPr>
            </w:pPr>
            <w:r>
              <w:rPr>
                <w:b w:val="false"/>
                <w:bCs w:val="false"/>
              </w:rPr>
              <w:t xml:space="preserve">4 859,00 </w:t>
            </w:r>
            <w:r>
              <w:rPr>
                <w:rFonts w:eastAsia="Times New Roman" w:cs="Times New Roman"/>
                <w:b w:val="false"/>
                <w:bCs w:val="false"/>
              </w:rPr>
              <w:t>€</w:t>
            </w:r>
          </w:p>
        </w:tc>
      </w:tr>
      <w:tr>
        <w:trPr/>
        <w:tc>
          <w:tcPr>
            <w:tcW w:w="4485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Obsahtabuky"/>
              <w:widowControl w:val="false"/>
              <w:spacing w:before="0" w:after="200"/>
              <w:rPr>
                <w:b w:val="false"/>
                <w:b w:val="false"/>
                <w:bCs w:val="false"/>
              </w:rPr>
            </w:pPr>
            <w:r>
              <w:rPr>
                <w:b w:val="false"/>
                <w:bCs w:val="false"/>
              </w:rPr>
              <w:t>Iné záväzky</w:t>
            </w:r>
          </w:p>
        </w:tc>
        <w:tc>
          <w:tcPr>
            <w:tcW w:w="454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Obsahtabuky"/>
              <w:widowControl w:val="false"/>
              <w:spacing w:before="0" w:after="200"/>
              <w:jc w:val="center"/>
              <w:rPr>
                <w:b w:val="false"/>
                <w:b w:val="false"/>
                <w:bCs w:val="false"/>
              </w:rPr>
            </w:pPr>
            <w:r>
              <w:rPr>
                <w:b w:val="false"/>
                <w:bCs w:val="false"/>
              </w:rPr>
              <w:t xml:space="preserve">7 719,00 </w:t>
            </w:r>
            <w:r>
              <w:rPr>
                <w:rFonts w:eastAsia="Times New Roman" w:cs="Times New Roman"/>
                <w:b w:val="false"/>
                <w:bCs w:val="false"/>
              </w:rPr>
              <w:t>€</w:t>
            </w:r>
          </w:p>
        </w:tc>
      </w:tr>
      <w:tr>
        <w:trPr/>
        <w:tc>
          <w:tcPr>
            <w:tcW w:w="4485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Obsahtabuky"/>
              <w:widowControl w:val="false"/>
              <w:spacing w:before="0" w:after="200"/>
              <w:rPr/>
            </w:pPr>
            <w:r>
              <w:rPr/>
              <w:t>Spolu</w:t>
            </w:r>
          </w:p>
        </w:tc>
        <w:tc>
          <w:tcPr>
            <w:tcW w:w="454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Obsahtabuky"/>
              <w:widowControl w:val="false"/>
              <w:spacing w:before="0" w:after="200"/>
              <w:jc w:val="center"/>
              <w:rPr/>
            </w:pPr>
            <w:r>
              <w:rPr/>
              <w:t>52 629,00</w:t>
            </w:r>
            <w:r>
              <w:rPr>
                <w:b w:val="false"/>
                <w:bCs w:val="false"/>
              </w:rPr>
              <w:t xml:space="preserve"> </w:t>
            </w:r>
            <w:r>
              <w:rPr>
                <w:rFonts w:eastAsia="Times New Roman" w:cs="Times New Roman"/>
                <w:b/>
                <w:bCs/>
              </w:rPr>
              <w:t>€</w:t>
            </w:r>
          </w:p>
        </w:tc>
      </w:tr>
    </w:tbl>
    <w:p>
      <w:pPr>
        <w:pStyle w:val="Normal"/>
        <w:widowControl/>
        <w:bidi w:val="0"/>
        <w:spacing w:lineRule="auto" w:line="276" w:before="0" w:after="200"/>
        <w:jc w:val="left"/>
        <w:rPr/>
      </w:pPr>
      <w:r>
        <w:rPr/>
      </w:r>
    </w:p>
    <w:p>
      <w:pPr>
        <w:pStyle w:val="Normal"/>
        <w:widowControl/>
        <w:bidi w:val="0"/>
        <w:spacing w:lineRule="auto" w:line="276" w:before="0" w:after="200"/>
        <w:jc w:val="left"/>
        <w:rPr/>
      </w:pPr>
      <w:r>
        <w:rPr/>
      </w:r>
    </w:p>
    <w:p>
      <w:pPr>
        <w:pStyle w:val="Normal"/>
        <w:widowControl/>
        <w:bidi w:val="0"/>
        <w:spacing w:lineRule="auto" w:line="276" w:before="0" w:after="200"/>
        <w:jc w:val="left"/>
        <w:rPr/>
      </w:pPr>
      <w:r>
        <w:rPr/>
        <w:t>9.Prehľad zamestnancov spoločnosti:</w:t>
      </w:r>
    </w:p>
    <w:tbl>
      <w:tblPr>
        <w:tblW w:w="5000" w:type="pct"/>
        <w:jc w:val="left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</w:tblPr>
      <w:tblGrid>
        <w:gridCol w:w="4535"/>
        <w:gridCol w:w="4536"/>
      </w:tblGrid>
      <w:tr>
        <w:trPr/>
        <w:tc>
          <w:tcPr>
            <w:tcW w:w="4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Obsahtabuky"/>
              <w:widowControl w:val="false"/>
              <w:spacing w:before="0" w:after="200"/>
              <w:rPr>
                <w:b w:val="false"/>
                <w:b w:val="false"/>
                <w:bCs w:val="false"/>
              </w:rPr>
            </w:pPr>
            <w:r>
              <w:rPr>
                <w:b w:val="false"/>
                <w:bCs w:val="false"/>
              </w:rPr>
              <w:t>Názov pozície</w:t>
            </w: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b w:val="false"/>
                <w:b w:val="false"/>
                <w:bCs w:val="false"/>
              </w:rPr>
            </w:pPr>
            <w:r>
              <w:rPr>
                <w:b w:val="false"/>
                <w:bCs w:val="false"/>
              </w:rPr>
              <w:t>Počet zamestnancov</w:t>
            </w:r>
          </w:p>
        </w:tc>
      </w:tr>
      <w:tr>
        <w:trPr/>
        <w:tc>
          <w:tcPr>
            <w:tcW w:w="4535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Obsahtabuky"/>
              <w:widowControl w:val="false"/>
              <w:spacing w:before="0" w:after="200"/>
              <w:rPr>
                <w:b w:val="false"/>
                <w:b w:val="false"/>
                <w:bCs w:val="false"/>
              </w:rPr>
            </w:pPr>
            <w:r>
              <w:rPr>
                <w:b w:val="false"/>
                <w:bCs w:val="false"/>
              </w:rPr>
              <w:t xml:space="preserve">Hlavná </w:t>
            </w:r>
            <w:r>
              <w:rPr>
                <w:b w:val="false"/>
                <w:bCs w:val="false"/>
                <w:lang w:val="sk-SK"/>
              </w:rPr>
              <w:t>ekomómka</w:t>
            </w:r>
          </w:p>
        </w:tc>
        <w:tc>
          <w:tcPr>
            <w:tcW w:w="453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Obsahtabuky"/>
              <w:widowControl w:val="false"/>
              <w:spacing w:before="0" w:after="200"/>
              <w:jc w:val="center"/>
              <w:rPr>
                <w:b w:val="false"/>
                <w:b w:val="false"/>
                <w:bCs w:val="false"/>
              </w:rPr>
            </w:pPr>
            <w:r>
              <w:rPr>
                <w:b w:val="false"/>
                <w:bCs w:val="false"/>
              </w:rPr>
              <w:t>1</w:t>
            </w:r>
          </w:p>
        </w:tc>
      </w:tr>
      <w:tr>
        <w:trPr/>
        <w:tc>
          <w:tcPr>
            <w:tcW w:w="4535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Obsahtabuky"/>
              <w:widowControl w:val="false"/>
              <w:spacing w:before="0" w:after="200"/>
              <w:rPr>
                <w:b w:val="false"/>
                <w:b w:val="false"/>
                <w:bCs w:val="false"/>
              </w:rPr>
            </w:pPr>
            <w:r>
              <w:rPr>
                <w:b w:val="false"/>
                <w:bCs w:val="false"/>
              </w:rPr>
              <w:t>Špecialista technológ v potravinárskej výrobe</w:t>
            </w:r>
          </w:p>
        </w:tc>
        <w:tc>
          <w:tcPr>
            <w:tcW w:w="453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Obsahtabuky"/>
              <w:widowControl w:val="false"/>
              <w:spacing w:before="0" w:after="200"/>
              <w:jc w:val="center"/>
              <w:rPr>
                <w:b w:val="false"/>
                <w:b w:val="false"/>
                <w:bCs w:val="false"/>
              </w:rPr>
            </w:pPr>
            <w:r>
              <w:rPr>
                <w:b w:val="false"/>
                <w:bCs w:val="false"/>
              </w:rPr>
              <w:t>1</w:t>
            </w:r>
          </w:p>
        </w:tc>
      </w:tr>
      <w:tr>
        <w:trPr/>
        <w:tc>
          <w:tcPr>
            <w:tcW w:w="4535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Obsahtabuky"/>
              <w:widowControl w:val="false"/>
              <w:spacing w:before="0" w:after="200"/>
              <w:rPr>
                <w:b w:val="false"/>
                <w:b w:val="false"/>
                <w:bCs w:val="false"/>
              </w:rPr>
            </w:pPr>
            <w:r>
              <w:rPr>
                <w:b w:val="false"/>
                <w:bCs w:val="false"/>
              </w:rPr>
              <w:t>Pomocný pracovník v potravinárskej výrobe</w:t>
            </w:r>
          </w:p>
        </w:tc>
        <w:tc>
          <w:tcPr>
            <w:tcW w:w="453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Obsahtabuky"/>
              <w:widowControl w:val="false"/>
              <w:spacing w:before="0" w:after="200"/>
              <w:jc w:val="center"/>
              <w:rPr>
                <w:b w:val="false"/>
                <w:b w:val="false"/>
                <w:bCs w:val="false"/>
              </w:rPr>
            </w:pPr>
            <w:r>
              <w:rPr>
                <w:b w:val="false"/>
                <w:bCs w:val="false"/>
              </w:rPr>
              <w:t>1</w:t>
            </w:r>
          </w:p>
        </w:tc>
      </w:tr>
      <w:tr>
        <w:trPr/>
        <w:tc>
          <w:tcPr>
            <w:tcW w:w="4535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Obsahtabuky"/>
              <w:widowControl w:val="false"/>
              <w:spacing w:before="0" w:after="200"/>
              <w:rPr>
                <w:b w:val="false"/>
                <w:b w:val="false"/>
                <w:bCs w:val="false"/>
              </w:rPr>
            </w:pPr>
            <w:r>
              <w:rPr>
                <w:b w:val="false"/>
                <w:bCs w:val="false"/>
              </w:rPr>
              <w:t>Pracovníčka marketingu</w:t>
            </w:r>
          </w:p>
        </w:tc>
        <w:tc>
          <w:tcPr>
            <w:tcW w:w="453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Obsahtabuky"/>
              <w:widowControl w:val="false"/>
              <w:spacing w:before="0" w:after="200"/>
              <w:jc w:val="center"/>
              <w:rPr>
                <w:b w:val="false"/>
                <w:b w:val="false"/>
                <w:bCs w:val="false"/>
              </w:rPr>
            </w:pPr>
            <w:r>
              <w:rPr>
                <w:b w:val="false"/>
                <w:bCs w:val="false"/>
              </w:rPr>
              <w:t>1</w:t>
            </w:r>
          </w:p>
        </w:tc>
      </w:tr>
    </w:tbl>
    <w:p>
      <w:pPr>
        <w:pStyle w:val="Normal"/>
        <w:widowControl/>
        <w:bidi w:val="0"/>
        <w:spacing w:lineRule="auto" w:line="276" w:before="0" w:after="200"/>
        <w:jc w:val="left"/>
        <w:rPr/>
      </w:pPr>
      <w:r>
        <w:rPr/>
      </w:r>
    </w:p>
    <w:p>
      <w:pPr>
        <w:pStyle w:val="Normal"/>
        <w:widowControl/>
        <w:bidi w:val="0"/>
        <w:spacing w:lineRule="auto" w:line="276" w:before="0" w:after="200"/>
        <w:jc w:val="left"/>
        <w:rPr/>
      </w:pPr>
      <w:r>
        <w:rPr/>
      </w:r>
    </w:p>
    <w:p>
      <w:pPr>
        <w:pStyle w:val="Normal"/>
        <w:widowControl/>
        <w:bidi w:val="0"/>
        <w:spacing w:lineRule="auto" w:line="276" w:before="0" w:after="200"/>
        <w:jc w:val="left"/>
        <w:rPr/>
      </w:pPr>
      <w:r>
        <w:rPr/>
        <w:t>10.Predpokladaný vývoj spoločnosti</w:t>
      </w:r>
    </w:p>
    <w:p>
      <w:pPr>
        <w:pStyle w:val="Normal"/>
        <w:widowControl/>
        <w:bidi w:val="0"/>
        <w:spacing w:lineRule="auto" w:line="276" w:before="0" w:after="200"/>
        <w:ind w:left="0" w:right="0" w:firstLine="709"/>
        <w:jc w:val="both"/>
        <w:rPr>
          <w:b w:val="false"/>
          <w:b w:val="false"/>
          <w:bCs w:val="false"/>
        </w:rPr>
      </w:pPr>
      <w:r>
        <w:rPr>
          <w:b w:val="false"/>
          <w:bCs w:val="false"/>
        </w:rPr>
        <w:t>Firma splnila podmienky kladené na registrované sociálne podniky v Slovenskej republike. Zároveň splnila vlastný cieľ stabilizovať sa a prijala rozhodnutie vytvoriť pobočky na výrobu sirupov v rámci východného Slovenska, kde chce zamestnávať znevýhodnených zamestnancov.</w:t>
      </w:r>
    </w:p>
    <w:p>
      <w:pPr>
        <w:pStyle w:val="Normal"/>
        <w:widowControl/>
        <w:bidi w:val="0"/>
        <w:spacing w:lineRule="auto" w:line="276" w:before="0" w:after="200"/>
        <w:jc w:val="left"/>
        <w:rPr>
          <w:b/>
          <w:b/>
          <w:bCs/>
        </w:rPr>
      </w:pPr>
      <w:r>
        <w:rPr>
          <w:b/>
          <w:bCs/>
        </w:rPr>
        <w:t>11.Prílohy</w:t>
      </w:r>
    </w:p>
    <w:p>
      <w:pPr>
        <w:pStyle w:val="Normal"/>
        <w:widowControl/>
        <w:bidi w:val="0"/>
        <w:spacing w:lineRule="auto" w:line="276" w:before="0" w:after="200"/>
        <w:jc w:val="left"/>
        <w:rPr>
          <w:b w:val="false"/>
          <w:b w:val="false"/>
          <w:bCs w:val="false"/>
        </w:rPr>
      </w:pPr>
      <w:r>
        <w:rPr>
          <w:b w:val="false"/>
          <w:bCs w:val="false"/>
        </w:rPr>
        <w:t xml:space="preserve">Účtovná závierka </w:t>
      </w:r>
    </w:p>
    <w:p>
      <w:pPr>
        <w:pStyle w:val="Normal"/>
        <w:widowControl/>
        <w:bidi w:val="0"/>
        <w:spacing w:lineRule="auto" w:line="276" w:before="0" w:after="200"/>
        <w:jc w:val="left"/>
        <w:rPr>
          <w:b w:val="false"/>
          <w:b w:val="false"/>
          <w:bCs w:val="false"/>
        </w:rPr>
      </w:pPr>
      <w:r>
        <w:rPr>
          <w:b w:val="false"/>
          <w:bCs w:val="false"/>
        </w:rPr>
        <w:t>Daňové priznanie právnických osôb za rok 2022</w:t>
      </w:r>
    </w:p>
    <w:p>
      <w:pPr>
        <w:pStyle w:val="Normal"/>
        <w:widowControl/>
        <w:bidi w:val="0"/>
        <w:spacing w:lineRule="auto" w:line="276" w:before="0" w:after="200"/>
        <w:jc w:val="left"/>
        <w:rPr>
          <w:b w:val="false"/>
          <w:b w:val="false"/>
          <w:bCs w:val="false"/>
        </w:rPr>
      </w:pPr>
      <w:r>
        <w:rPr>
          <w:b w:val="false"/>
          <w:bCs w:val="false"/>
        </w:rPr>
        <w:t>Zverejnené na stránke www.registeruz.sk</w:t>
      </w:r>
    </w:p>
    <w:sectPr>
      <w:type w:val="nextPage"/>
      <w:pgSz w:w="11906" w:h="16838"/>
      <w:pgMar w:left="1417" w:right="1417" w:gutter="0" w:header="0" w:top="1417" w:footer="0" w:bottom="1417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Times New Roman">
    <w:charset w:val="ee"/>
    <w:family w:val="roman"/>
    <w:pitch w:val="variable"/>
  </w:font>
  <w:font w:name="Liberation Sans">
    <w:altName w:val="Arial"/>
    <w:charset w:val="ee"/>
    <w:family w:val="roman"/>
    <w:pitch w:val="variable"/>
  </w:font>
</w:fonts>
</file>

<file path=word/settings.xml><?xml version="1.0" encoding="utf-8"?>
<w:settings xmlns:w="http://schemas.openxmlformats.org/wordprocessingml/2006/main">
  <w:zoom w:percent="100"/>
  <w:defaultTabStop w:val="708"/>
  <w:autoHyphenation w:val="true"/>
  <w:compat>
    <w:compatSetting w:name="compatibilityMode" w:uri="http://schemas.microsoft.com/office/word" w:val="12"/>
  </w:compat>
  <w:hyphenationZone w:val="425"/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Times New Roman" w:hAnsi="Times New Roman" w:eastAsia="Calibri" w:cs="Times New Roman" w:eastAsiaTheme="minorHAnsi"/>
        <w:b/>
        <w:sz w:val="28"/>
        <w:szCs w:val="28"/>
        <w:lang w:val="sk-SK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rsid w:val="005c211d"/>
    <w:pPr>
      <w:widowControl/>
      <w:suppressAutoHyphens w:val="true"/>
      <w:bidi w:val="0"/>
      <w:spacing w:lineRule="auto" w:line="276" w:before="0" w:after="200"/>
      <w:jc w:val="left"/>
    </w:pPr>
    <w:rPr>
      <w:rFonts w:ascii="Times New Roman" w:hAnsi="Times New Roman" w:eastAsia="Calibri" w:cs="Times New Roman" w:eastAsiaTheme="minorHAnsi"/>
      <w:b/>
      <w:color w:val="auto"/>
      <w:kern w:val="0"/>
      <w:sz w:val="28"/>
      <w:szCs w:val="28"/>
      <w:lang w:val="sk-SK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Zdraznenie">
    <w:name w:val="Zdôraznenie"/>
    <w:qFormat/>
    <w:rPr>
      <w:i/>
      <w:iCs/>
    </w:rPr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pPr>
      <w:spacing w:lineRule="auto" w:line="276" w:before="0" w:after="140"/>
    </w:pPr>
    <w:rPr/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  <w:lang w:val="zxx" w:eastAsia="zxx" w:bidi="zxx"/>
    </w:rPr>
  </w:style>
  <w:style w:type="paragraph" w:styleId="Obsahtabuky">
    <w:name w:val="Obsah tabuľky"/>
    <w:basedOn w:val="Normal"/>
    <w:qFormat/>
    <w:pPr>
      <w:widowControl w:val="false"/>
      <w:suppressLineNumbers/>
    </w:pPr>
    <w:rPr/>
  </w:style>
  <w:style w:type="paragraph" w:styleId="Zhlavietabuky">
    <w:name w:val="Záhlavie tabuľky"/>
    <w:basedOn w:val="Obsahtabuky"/>
    <w:qFormat/>
    <w:pPr>
      <w:suppressLineNumbers/>
      <w:jc w:val="center"/>
    </w:pPr>
    <w:rPr>
      <w:b/>
      <w:bCs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qFormat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<Relationship Id="rId4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387</TotalTime>
  <Application>LibreOffice/7.3.5.2$Windows_X86_64 LibreOffice_project/184fe81b8c8c30d8b5082578aee2fed2ea847c01</Application>
  <AppVersion>15.0000</AppVersion>
  <Pages>7</Pages>
  <Words>544</Words>
  <Characters>3244</Characters>
  <CharactersWithSpaces>3810</CharactersWithSpaces>
  <Paragraphs>131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2022-07-14T13:01:00Z</dcterms:created>
  <dc:creator>Spravca</dc:creator>
  <dc:description/>
  <dc:language>sk-SK</dc:language>
  <cp:lastModifiedBy/>
  <dcterms:modified xsi:type="dcterms:W3CDTF">2023-07-27T18:52:19Z</dcterms:modified>
  <cp:revision>26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