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1"/>
        <w:numPr>
          <w:ilvl w:val="0"/>
          <w:numId w:val="2"/>
        </w:numPr>
        <w:shd w:val="clear" w:color="auto" w:fill="FFFFFF" w:themeFill="background1"/>
        <w:spacing w:before="120" w:after="60"/>
        <w:ind w:left="360" w:hanging="360"/>
        <w:rPr/>
      </w:pPr>
      <w:r>
        <w:rPr/>
        <w:t>Všeobecné údaje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Názov právnickej osoby a jej sídlo:</w:t>
      </w:r>
    </w:p>
    <w:p>
      <w:pPr>
        <w:pStyle w:val="Telotextu"/>
        <w:shd w:val="clear" w:color="auto" w:fill="FFFFFF" w:themeFill="background1"/>
        <w:rPr/>
      </w:pPr>
      <w:r>
        <w:rPr/>
        <w:t xml:space="preserve">Spoločnosť : </w:t>
      </w:r>
      <w:r>
        <w:rPr>
          <w:rFonts w:eastAsia="Times New Roman" w:cs="Times New Roman"/>
          <w:color w:val="auto"/>
          <w:kern w:val="0"/>
          <w:sz w:val="18"/>
          <w:szCs w:val="20"/>
          <w:lang w:val="sk-SK" w:eastAsia="en-US" w:bidi="ar-SA"/>
        </w:rPr>
        <w:t xml:space="preserve">LUSIDA s.r.o. </w:t>
      </w:r>
      <w:r>
        <w:rPr>
          <w:rFonts w:eastAsia="Times New Roman"/>
          <w:sz w:val="18"/>
          <w:lang w:eastAsia="en-US"/>
        </w:rPr>
        <w:t>, 90042 Miloslavov</w:t>
      </w:r>
      <w:r>
        <w:rPr/>
        <w:t xml:space="preserve"> </w:t>
      </w:r>
      <w:r>
        <w:rPr/>
        <w:t>1246</w:t>
      </w:r>
      <w:r>
        <w:rPr/>
        <w:t xml:space="preserve">(ďalej len Spoločnosť), </w:t>
      </w:r>
    </w:p>
    <w:p>
      <w:pPr>
        <w:pStyle w:val="Normal"/>
        <w:shd w:val="clear" w:color="auto" w:fill="FFFFFF" w:themeFill="background1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adpis2"/>
        <w:numPr>
          <w:ilvl w:val="0"/>
          <w:numId w:val="15"/>
        </w:numPr>
        <w:shd w:val="clear" w:color="auto" w:fill="FFFFFF" w:themeFill="background1"/>
        <w:rPr/>
      </w:pPr>
      <w:r>
        <w:rPr/>
        <w:t>Informácie o konsolidovanom celku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 xml:space="preserve">Spoločnosť nie je </w:t>
      </w:r>
      <w:r>
        <w:rPr>
          <w:shd w:fill="auto" w:val="clear"/>
        </w:rPr>
        <w:t>súčasťou konsolidovaného celku</w:t>
      </w:r>
      <w:r>
        <w:rPr/>
        <w:t xml:space="preserve">. 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  <w:bookmarkStart w:id="0" w:name="_Toc530739896"/>
      <w:bookmarkStart w:id="1" w:name="_Toc530739896"/>
      <w:bookmarkEnd w:id="1"/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 xml:space="preserve">Priemerný prepočítaný počet zamestnancov: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>
          <w:highlight w:val="none"/>
          <w:shd w:fill="auto" w:val="clear"/>
        </w:rPr>
      </w:pPr>
      <w:r>
        <w:rPr>
          <w:shd w:fill="auto" w:val="clear"/>
        </w:rPr>
        <w:t>Za bežné účtovné obdobie predstavoval priemerný prepočítaný počet bol:  0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>
          <w:b/>
          <w:b/>
          <w:bCs/>
        </w:rPr>
      </w:pPr>
      <w:r>
        <w:rPr>
          <w:b/>
          <w:bCs/>
        </w:rPr>
        <w:t xml:space="preserve">         </w:t>
      </w:r>
    </w:p>
    <w:p>
      <w:pPr>
        <w:pStyle w:val="Nadpis1"/>
        <w:numPr>
          <w:ilvl w:val="0"/>
          <w:numId w:val="2"/>
        </w:numPr>
        <w:shd w:val="clear" w:color="auto" w:fill="FFFFFF" w:themeFill="background1"/>
        <w:ind w:left="360" w:hanging="360"/>
        <w:rPr/>
      </w:pPr>
      <w:r>
        <w:rPr/>
        <w:t>informácia  o  prijatých  postupoch 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16"/>
        </w:numPr>
        <w:shd w:val="clear" w:color="auto" w:fill="FFFFFF" w:themeFill="background1"/>
        <w:rPr/>
      </w:pPr>
      <w:r>
        <w:rPr/>
        <w:t>Východiská pre zostavenie účtovnej závierky</w:t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  <w:t xml:space="preserve">Účtovná závierka bola zostavená za predpokladu, že Spoločnosť bude nepretržite pokračovať vo svojej činnosti </w:t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17"/>
        </w:numPr>
        <w:shd w:val="clear" w:color="auto" w:fill="FFFFFF" w:themeFill="background1"/>
        <w:rPr/>
      </w:pPr>
      <w:r>
        <w:rPr/>
        <w:t>Spôsob oceňovania jednotlivých položiek majetku a záväzkov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Dlhodobý nehmotný majetok a dlhodobý hmotný majetok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Súčasťou obstarávacej ceny dlhodobého hmotného majetku nie sú úroky z cudzích zdrojov ani realizované kurzové rozdiely, ktoré vznikli do momentu uvedenia dlhodobého majetku do používania.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Súčasťou obstarávacej ceny dlhodobého nehmotného majetku nie sú úroky z cudzích zdrojov, ktoré vznikli do momentu zaradenia dlhodobého nehmotného majetku do používania.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 xml:space="preserve">Zásoby 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Zásoby sa oceňujú obstarávacou cenou.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Zníženie hodnoty zásob sa zohľadňuje vytvorením opravnej položky.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Pohľadávky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Krátkodobý finančný majetok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Peňažné prostriedky a ceniny sa oceňujú ich menovitou hodnotou. Zníženie ich hodnoty sa vyjadruje opravnou položkou.</w:t>
      </w:r>
    </w:p>
    <w:p>
      <w:pPr>
        <w:pStyle w:val="Pismenka"/>
        <w:numPr>
          <w:ilvl w:val="0"/>
          <w:numId w:val="0"/>
        </w:numPr>
        <w:shd w:val="clear" w:color="auto" w:fill="FFFFFF" w:themeFill="background1"/>
        <w:ind w:left="36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Záväzky vrátane rezerv, dlhopisov, pôžičiek a úverov</w:t>
      </w:r>
    </w:p>
    <w:p>
      <w:pPr>
        <w:pStyle w:val="Pismenka"/>
        <w:numPr>
          <w:ilvl w:val="0"/>
          <w:numId w:val="0"/>
        </w:numPr>
        <w:shd w:val="clear" w:color="auto" w:fill="FFFFFF" w:themeFill="background1"/>
        <w:ind w:left="720" w:hanging="0"/>
        <w:rPr>
          <w:b w:val="false"/>
          <w:b w:val="false"/>
        </w:rPr>
      </w:pPr>
      <w:r>
        <w:rPr>
          <w:b w:val="false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Telotextu"/>
        <w:shd w:val="clear" w:color="auto" w:fill="FFFFFF" w:themeFill="background1"/>
        <w:ind w:left="720" w:hanging="0"/>
        <w:rPr>
          <w:sz w:val="24"/>
        </w:rPr>
      </w:pPr>
      <w:r>
        <w:rPr>
          <w:sz w:val="24"/>
        </w:rPr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18"/>
        </w:numPr>
        <w:shd w:val="clear" w:color="auto" w:fill="FFFFFF" w:themeFill="background1"/>
        <w:rPr/>
      </w:pPr>
      <w:r>
        <w:rPr/>
        <w:t>Tvorba odpisovaného plánu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>
      <w:pPr>
        <w:pStyle w:val="Telotextu"/>
        <w:shd w:val="clear" w:color="auto" w:fill="FFFFFF" w:themeFill="background1"/>
        <w:rPr/>
      </w:pPr>
      <w:r>
        <w:rPr/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sadzba v %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20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Stroje, prístroje a zariadenia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4 až 6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lineárna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16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Dopravné prostriedky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3 až 4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lineárna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25 až 33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Drobný dlhodobý hmotný majetok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rôzna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jednorazový odpis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100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</w:tbl>
    <w:p>
      <w:pPr>
        <w:pStyle w:val="Nadpis2"/>
        <w:numPr>
          <w:ilvl w:val="0"/>
          <w:numId w:val="19"/>
        </w:numPr>
        <w:shd w:val="clear" w:color="auto" w:fill="FFFFFF" w:themeFill="background1"/>
        <w:rPr/>
      </w:pPr>
      <w:r>
        <w:rPr/>
        <w:t>Počas účtovného obdobia neboli prijaté zmeny účtovných zásad a účtovných metód</w:t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20"/>
        </w:numPr>
        <w:shd w:val="clear" w:color="auto" w:fill="FFFFFF" w:themeFill="background1"/>
        <w:rPr/>
      </w:pPr>
      <w:r>
        <w:rPr/>
        <w:t>Informácie o dotáciách a ich oceňovanie v účtovníctve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  <w:br/>
        <w:t xml:space="preserve">z tohto dlhodobého majetku.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adpis2"/>
        <w:numPr>
          <w:ilvl w:val="0"/>
          <w:numId w:val="21"/>
        </w:numPr>
        <w:shd w:val="clear" w:color="auto" w:fill="FFFFFF" w:themeFill="background1"/>
        <w:rPr/>
      </w:pPr>
      <w:r>
        <w:rPr/>
        <w:t>Informácia o opravách významných chýb minulých účtovných období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adpis1"/>
        <w:numPr>
          <w:ilvl w:val="0"/>
          <w:numId w:val="2"/>
        </w:numPr>
        <w:shd w:val="clear" w:color="auto" w:fill="FFFFFF" w:themeFill="background1"/>
        <w:ind w:left="360" w:hanging="360"/>
        <w:rPr/>
      </w:pPr>
      <w:bookmarkStart w:id="2" w:name="_Toc530739900"/>
      <w:r>
        <w:rPr/>
        <w:t xml:space="preserve">informácie, ktoré vysvetľujú a dopĺňajú súvahu a výkaz ziskov a strát </w:t>
      </w:r>
      <w:bookmarkEnd w:id="2"/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0"/>
        <w:rPr/>
      </w:pPr>
      <w:r>
        <w:rPr/>
      </w:r>
      <w:bookmarkStart w:id="3" w:name="_Toc530739901"/>
      <w:bookmarkStart w:id="4" w:name="_Toc530739901"/>
      <w:bookmarkEnd w:id="4"/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360"/>
        <w:rPr/>
      </w:pPr>
      <w:r>
        <w:rPr/>
      </w:r>
    </w:p>
    <w:p>
      <w:pPr>
        <w:pStyle w:val="Telotextu"/>
        <w:shd w:val="clear" w:color="auto" w:fill="FFFFFF" w:themeFill="background1"/>
        <w:rPr>
          <w:szCs w:val="18"/>
        </w:rPr>
      </w:pPr>
      <w:r>
        <w:rPr>
          <w:szCs w:val="18"/>
        </w:rPr>
      </w:r>
    </w:p>
    <w:p>
      <w:pPr>
        <w:pStyle w:val="Nadpis2"/>
        <w:numPr>
          <w:ilvl w:val="0"/>
          <w:numId w:val="0"/>
        </w:numPr>
        <w:shd w:val="clear" w:color="auto" w:fill="FFFFFF" w:themeFill="background1"/>
        <w:ind w:left="360" w:hanging="0"/>
        <w:rPr>
          <w:rFonts w:eastAsia="Calibri"/>
          <w:lang w:eastAsia="sk-SK"/>
        </w:rPr>
      </w:pPr>
      <w:r>
        <w:rPr>
          <w:rFonts w:eastAsia="Calibri"/>
          <w:lang w:eastAsia="sk-SK"/>
        </w:rPr>
      </w:r>
    </w:p>
    <w:p>
      <w:pPr>
        <w:pStyle w:val="Nadpis2"/>
        <w:numPr>
          <w:ilvl w:val="0"/>
          <w:numId w:val="22"/>
        </w:numPr>
        <w:shd w:val="clear" w:color="auto" w:fill="FFFFFF" w:themeFill="background1"/>
        <w:rPr>
          <w:rFonts w:eastAsia="Calibri"/>
          <w:lang w:eastAsia="sk-SK"/>
        </w:rPr>
      </w:pPr>
      <w:r>
        <w:rPr>
          <w:rFonts w:eastAsia="Calibri"/>
          <w:lang w:eastAsia="sk-SK"/>
        </w:rPr>
        <w:t>Informácia o sume a dôvodoch vzniku jednotlivých položiek nákladov alebo výnosov, ktoré majú výnimočný rozsah alebo výskyt</w:t>
      </w:r>
    </w:p>
    <w:p>
      <w:pPr>
        <w:pStyle w:val="Normal"/>
        <w:shd w:val="clear" w:color="auto" w:fill="FFFFFF" w:themeFill="background1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26" w:hanging="0"/>
        <w:jc w:val="both"/>
        <w:rPr>
          <w:sz w:val="18"/>
        </w:rPr>
      </w:pPr>
      <w:r>
        <w:rPr>
          <w:sz w:val="18"/>
        </w:rPr>
        <w:t>Spoločnosť nedosiahla náklady a výnosy, ktoré by mali výnimočný rozsah a výskyt ako napríklad výnosy z predaja podniku alebo časti podniku, náklady z dôvodu predaja podniku alebo časti podniku, škody z dôvodu živelných pohrôm.</w:t>
      </w:r>
    </w:p>
    <w:p>
      <w:pPr>
        <w:pStyle w:val="Normal"/>
        <w:shd w:val="clear" w:color="auto" w:fill="FFFFFF" w:themeFill="background1"/>
        <w:ind w:left="426" w:hanging="0"/>
        <w:rPr>
          <w:rFonts w:eastAsia="Calibri"/>
          <w:lang w:eastAsia="sk-SK"/>
        </w:rPr>
      </w:pPr>
      <w:r>
        <w:rPr>
          <w:rFonts w:eastAsia="Calibri"/>
          <w:lang w:eastAsia="sk-SK"/>
        </w:rPr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Informácie o záväzkoch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86" w:hanging="0"/>
        <w:rPr>
          <w:highlight w:val="none"/>
          <w:shd w:fill="auto" w:val="clear"/>
        </w:rPr>
      </w:pPr>
      <w:r>
        <w:rPr>
          <w:shd w:fill="auto" w:val="clear"/>
        </w:rPr>
        <w:t>Spoločnosť nemá  zabezpečené záväzky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Informácie o vlastných akciách: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>Spoločnosť nemá vlastné akcie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spacing w:lineRule="auto" w:line="276" w:before="0" w:after="20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</w:r>
      <w:bookmarkStart w:id="5" w:name="_MON_1453793569"/>
      <w:bookmarkStart w:id="6" w:name="_MON_1453793569"/>
      <w:bookmarkEnd w:id="6"/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Informácie o orgánoch účtovnej jednotky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numPr>
          <w:ilvl w:val="0"/>
          <w:numId w:val="6"/>
        </w:numPr>
        <w:shd w:val="clear" w:color="auto" w:fill="FFFFFF" w:themeFill="background1"/>
        <w:rPr/>
      </w:pPr>
      <w:r>
        <w:rPr/>
        <w:t>Výška jednotlivých druhov záruk alebo iných zabezpečení poskytnutých pre členov štatutárneho orgánu, dozorného orgánu a iného orgánu ÚJ:</w:t>
      </w:r>
    </w:p>
    <w:p>
      <w:pPr>
        <w:pStyle w:val="Telotextu"/>
        <w:numPr>
          <w:ilvl w:val="0"/>
          <w:numId w:val="6"/>
        </w:numPr>
        <w:shd w:val="clear" w:color="auto" w:fill="FFFFFF" w:themeFill="background1"/>
        <w:rPr/>
      </w:pPr>
      <w:r>
        <w:rPr/>
        <w:t>Informácia o pôžičkách: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Celková suma poskytnutých pôžičiek k 31.12. bežného obdobia podľa jednotlivých orgánov: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Konateľ: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Predseda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Člen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Celková suma splatených pôžičiek za posledné účtovné obdobie:</w:t>
      </w:r>
    </w:p>
    <w:p>
      <w:pPr>
        <w:pStyle w:val="Telotextu"/>
        <w:shd w:val="clear" w:color="auto" w:fill="FFFFFF" w:themeFill="background1"/>
        <w:ind w:left="786" w:firstLine="630"/>
        <w:rPr/>
      </w:pPr>
      <w:r>
        <w:rPr/>
        <w:t>Konateľ: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Predseda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Člen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Celková suma odpustených pôžičiek a odpísaných pôžičiek k 31.12. bežného obdobia: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V roku 2022 nebola odpustené ani odpísané žiadne pôžičky</w:t>
      </w:r>
    </w:p>
    <w:p>
      <w:pPr>
        <w:pStyle w:val="Telotextu"/>
        <w:shd w:val="clear" w:color="auto" w:fill="FFFFFF" w:themeFill="background1"/>
        <w:ind w:left="786" w:hanging="0"/>
        <w:rPr>
          <w:highlight w:val="yellow"/>
        </w:rPr>
      </w:pPr>
      <w:r>
        <w:rPr>
          <w:highlight w:val="yellow"/>
        </w:rPr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 xml:space="preserve">Informácie o povinnostiach účtovnej jednotky </w:t>
      </w:r>
    </w:p>
    <w:p>
      <w:pPr>
        <w:pStyle w:val="Telotextu"/>
        <w:shd w:val="clear" w:color="auto" w:fill="FFFFFF" w:themeFill="background1"/>
        <w:ind w:left="766" w:hanging="0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/>
      </w:pPr>
      <w:r>
        <w:rPr>
          <w:shd w:fill="auto" w:val="clear"/>
        </w:rPr>
        <w:t xml:space="preserve">Spoločnosť neeviduje iné aktíva a iné pasíva </w:t>
      </w:r>
      <w:r>
        <w:rPr/>
        <w:t>ani ostatné významné povinnosti a významné podmienené záväzky</w:t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  <w:bookmarkStart w:id="7" w:name="_GoBack"/>
      <w:bookmarkStart w:id="8" w:name="_GoBack"/>
      <w:bookmarkEnd w:id="8"/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360"/>
        <w:rPr>
          <w:spacing w:val="20"/>
        </w:rPr>
      </w:pPr>
      <w:r>
        <w:rPr>
          <w:spacing w:val="20"/>
        </w:rPr>
        <w:t xml:space="preserve">6. </w:t>
      </w:r>
      <w:r>
        <w:rPr>
          <w:caps w:val="false"/>
          <w:smallCaps w:val="false"/>
        </w:rPr>
        <w:t>Informácia o udelení výlučného práva alebo osobitného práva, ktorým sa udelilo právo poskytovať služby vo verejnom záujme</w:t>
      </w:r>
      <w:r>
        <w:rPr>
          <w:spacing w:val="20"/>
        </w:rPr>
        <w:t xml:space="preserve"> 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rPr>
          <w:sz w:val="18"/>
        </w:rPr>
      </w:pPr>
      <w:r>
        <w:rPr>
          <w:sz w:val="18"/>
        </w:rPr>
        <w:t>Spoločnosti nebolo udelené výlučného právo alebo osobitné práva, ktorým sa udelilo právo poskytovať služby vo verejnom záujme.</w:t>
      </w:r>
    </w:p>
    <w:sectPr>
      <w:headerReference w:type="default" r:id="rId2"/>
      <w:type w:val="nextPage"/>
      <w:pgSz w:w="11906" w:h="16838"/>
      <w:pgMar w:left="1418" w:right="991" w:gutter="0" w:header="426" w:top="1110" w:footer="0" w:bottom="1134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Univers 55">
    <w:charset w:val="ee"/>
    <w:family w:val="roman"/>
    <w:pitch w:val="variable"/>
  </w:font>
  <w:font w:name="Arial">
    <w:charset w:val="ee"/>
    <w:family w:val="roman"/>
    <w:pitch w:val="variable"/>
  </w:font>
  <w:font w:name="Arial Narrow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194" w:type="dxa"/>
      <w:jc w:val="center"/>
      <w:tblInd w:w="0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0" w:lastRow="0" w:firstColumn="1" w:lastColumn="0" w:noHBand="0" w:val="00a0"/>
    </w:tblPr>
    <w:tblGrid>
      <w:gridCol w:w="2784"/>
      <w:gridCol w:w="352"/>
      <w:gridCol w:w="535"/>
      <w:gridCol w:w="245"/>
      <w:gridCol w:w="249"/>
      <w:gridCol w:w="249"/>
      <w:gridCol w:w="251"/>
      <w:gridCol w:w="250"/>
      <w:gridCol w:w="249"/>
      <w:gridCol w:w="248"/>
      <w:gridCol w:w="247"/>
      <w:gridCol w:w="249"/>
      <w:gridCol w:w="488"/>
      <w:gridCol w:w="279"/>
      <w:gridCol w:w="281"/>
      <w:gridCol w:w="279"/>
      <w:gridCol w:w="282"/>
      <w:gridCol w:w="278"/>
      <w:gridCol w:w="282"/>
      <w:gridCol w:w="278"/>
      <w:gridCol w:w="281"/>
      <w:gridCol w:w="280"/>
      <w:gridCol w:w="276"/>
    </w:tblGrid>
    <w:tr>
      <w:trPr>
        <w:trHeight w:val="330" w:hRule="atLeast"/>
      </w:trPr>
      <w:tc>
        <w:tcPr>
          <w:tcW w:w="27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352" w:type="dxa"/>
          <w:tcBorders/>
        </w:tcPr>
        <w:p>
          <w:pPr>
            <w:pStyle w:val="Normal"/>
            <w:widowControl w:val="false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535" w:type="dxa"/>
          <w:tcBorders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/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88" w:type="dxa"/>
          <w:tcBorders/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>
    <w:pPr>
      <w:pStyle w:val="Zhlavie"/>
      <w:rPr/>
    </w:pPr>
    <w:r>
      <w:rPr/>
    </w:r>
  </w:p>
  <w:p>
    <w:pPr>
      <w:pStyle w:val="Zhlavie"/>
      <w:tabs>
        <w:tab w:val="center" w:pos="4536" w:leader="none"/>
        <w:tab w:val="center" w:pos="4820" w:leader="none"/>
        <w:tab w:val="right" w:pos="9072" w:leader="none"/>
        <w:tab w:val="right" w:pos="9214" w:leader="none"/>
      </w:tabs>
      <w:jc w:val="right"/>
      <w:rPr>
        <w:sz w:val="18"/>
      </w:rPr>
    </w:pPr>
    <w:r>
      <w:rPr>
        <w:sz w:val="18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b w:val="false"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lowerLetter"/>
      <w:lvlText w:val="(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16">
    <w:abstractNumId w:val="3"/>
    <w:lvlOverride w:ilvl="0">
      <w:startOverride w:val="1"/>
    </w:lvlOverride>
  </w:num>
  <w:num w:numId="17">
    <w:abstractNumId w:val="3"/>
  </w:num>
  <w:num w:numId="18">
    <w:abstractNumId w:val="3"/>
  </w:num>
  <w:num w:numId="19">
    <w:abstractNumId w:val="3"/>
  </w:num>
  <w:num w:numId="20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21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22">
    <w:abstractNumId w:val="3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semiHidden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semiHidden="0" w:qFormat="1"/>
    <w:lsdException w:name="toc 1" w:locked="1" w:uiPriority="0" w:semiHidden="0"/>
    <w:lsdException w:name="toc 2" w:locked="1" w:uiPriority="0" w:semiHidden="0"/>
    <w:lsdException w:name="toc 3" w:locked="1" w:uiPriority="0" w:semiHidden="0"/>
    <w:lsdException w:name="toc 4" w:locked="1" w:uiPriority="0" w:semiHidden="0"/>
    <w:lsdException w:name="toc 5" w:locked="1" w:uiPriority="0" w:semiHidden="0"/>
    <w:lsdException w:name="toc 6" w:locked="1" w:uiPriority="0" w:semiHidden="0"/>
    <w:lsdException w:name="toc 7" w:locked="1" w:uiPriority="0" w:semiHidden="0"/>
    <w:lsdException w:name="toc 8" w:locked="1" w:uiPriority="0" w:semiHidden="0"/>
    <w:lsdException w:name="toc 9" w:locked="1" w:uiPriority="0" w:semiHidden="0"/>
    <w:lsdException w:name="header" w:locked="1" w:semiHidden="0"/>
    <w:lsdException w:name="footer" w:locked="1" w:uiPriority="0" w:semiHidden="0"/>
    <w:lsdException w:name="caption" w:locked="1" w:uiPriority="0" w:qFormat="1"/>
    <w:lsdException w:name="footnote reference" w:locked="1" w:uiPriority="0" w:semiHidden="0"/>
    <w:lsdException w:name="page number" w:locked="1" w:uiPriority="0" w:semiHidden="0"/>
    <w:lsdException w:name="Title" w:locked="1" w:uiPriority="0" w:semiHidden="0" w:unhideWhenUsed="0" w:qFormat="1"/>
    <w:lsdException w:name="Default Paragraph Font" w:locked="1" w:uiPriority="0" w:semiHidden="0"/>
    <w:lsdException w:name="Body Text" w:locked="1" w:semiHidden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95128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27530"/>
    <w:pPr>
      <w:keepNext w:val="true"/>
      <w:numPr>
        <w:ilvl w:val="0"/>
        <w:numId w:val="2"/>
      </w:numPr>
      <w:tabs>
        <w:tab w:val="clear" w:pos="708"/>
        <w:tab w:val="left" w:pos="360" w:leader="none"/>
      </w:tabs>
      <w:spacing w:before="120" w:after="60"/>
      <w:ind w:left="360" w:hanging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uiPriority w:val="99"/>
    <w:qFormat/>
    <w:rsid w:val="00e95128"/>
    <w:pPr>
      <w:keepNext w:val="true"/>
      <w:numPr>
        <w:ilvl w:val="0"/>
        <w:numId w:val="1"/>
      </w:numPr>
      <w:outlineLvl w:val="0"/>
    </w:pPr>
    <w:rPr>
      <w:b/>
      <w:sz w:val="18"/>
    </w:rPr>
  </w:style>
  <w:style w:type="paragraph" w:styleId="Nadpis6">
    <w:name w:val="Heading 6"/>
    <w:basedOn w:val="Normal"/>
    <w:next w:val="Normal"/>
    <w:link w:val="Nadpis6Char"/>
    <w:uiPriority w:val="99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9"/>
    <w:qFormat/>
    <w:rsid w:val="003e0fa2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link w:val="Nadpis1"/>
    <w:uiPriority w:val="99"/>
    <w:qFormat/>
    <w:locked/>
    <w:rsid w:val="00027530"/>
    <w:rPr>
      <w:rFonts w:ascii="Times New Roman" w:hAnsi="Times New Roman" w:eastAsia="Times New Roman"/>
      <w:b/>
      <w:caps/>
      <w:sz w:val="18"/>
      <w:lang w:eastAsia="en-US"/>
    </w:rPr>
  </w:style>
  <w:style w:type="character" w:styleId="Nadpis2Char" w:customStyle="1">
    <w:name w:val="Nadpis 2 Char"/>
    <w:link w:val="Nadpis2"/>
    <w:uiPriority w:val="99"/>
    <w:qFormat/>
    <w:locked/>
    <w:rsid w:val="00e95128"/>
    <w:rPr>
      <w:rFonts w:ascii="Times New Roman" w:hAnsi="Times New Roman" w:eastAsia="Times New Roman"/>
      <w:b/>
      <w:sz w:val="18"/>
      <w:lang w:eastAsia="en-US"/>
    </w:rPr>
  </w:style>
  <w:style w:type="character" w:styleId="Nadpis6Char" w:customStyle="1">
    <w:name w:val="Nadpis 6 Char"/>
    <w:link w:val="Nadpis6"/>
    <w:uiPriority w:val="99"/>
    <w:qFormat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styleId="Nadpis9Char" w:customStyle="1">
    <w:name w:val="Nadpis 9 Char"/>
    <w:link w:val="Nadpis9"/>
    <w:uiPriority w:val="99"/>
    <w:semiHidden/>
    <w:qFormat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character" w:styleId="HlavikaChar" w:customStyle="1">
    <w:name w:val="Hlavička Char"/>
    <w:link w:val="Hlavika"/>
    <w:uiPriority w:val="99"/>
    <w:qFormat/>
    <w:locked/>
    <w:rsid w:val="00e95128"/>
    <w:rPr>
      <w:rFonts w:cs="Times New Roman"/>
    </w:rPr>
  </w:style>
  <w:style w:type="character" w:styleId="PtaChar" w:customStyle="1">
    <w:name w:val="Päta Char"/>
    <w:link w:val="Pta"/>
    <w:uiPriority w:val="99"/>
    <w:qFormat/>
    <w:locked/>
    <w:rsid w:val="00e95128"/>
    <w:rPr>
      <w:rFonts w:cs="Times New Roman"/>
    </w:rPr>
  </w:style>
  <w:style w:type="character" w:styleId="Pagenumber">
    <w:name w:val="page number"/>
    <w:uiPriority w:val="99"/>
    <w:qFormat/>
    <w:rsid w:val="00e95128"/>
    <w:rPr>
      <w:rFonts w:cs="Times New Roman"/>
    </w:rPr>
  </w:style>
  <w:style w:type="character" w:styleId="ZkladntextChar" w:customStyle="1">
    <w:name w:val="Základný text Char"/>
    <w:link w:val="Zkladntext"/>
    <w:uiPriority w:val="99"/>
    <w:qFormat/>
    <w:locked/>
    <w:rsid w:val="00e95128"/>
    <w:rPr>
      <w:rFonts w:ascii="Times New Roman" w:hAnsi="Times New Roman" w:cs="Times New Roman"/>
      <w:sz w:val="20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uiPriority w:val="99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link w:val="zif"/>
    <w:uiPriority w:val="99"/>
    <w:qFormat/>
    <w:locked/>
    <w:rsid w:val="00e95128"/>
    <w:rPr>
      <w:rFonts w:ascii="Times" w:hAnsi="Times" w:cs="Times New Roman"/>
      <w:sz w:val="20"/>
      <w:szCs w:val="20"/>
      <w:lang w:val="en-US"/>
    </w:rPr>
  </w:style>
  <w:style w:type="character" w:styleId="TextbublinyChar" w:customStyle="1">
    <w:name w:val="Text bubliny Char"/>
    <w:link w:val="Textbubliny"/>
    <w:uiPriority w:val="99"/>
    <w:semiHidden/>
    <w:qFormat/>
    <w:locked/>
    <w:rsid w:val="004b69e1"/>
    <w:rPr>
      <w:rFonts w:ascii="Tahoma" w:hAnsi="Tahoma" w:cs="Tahoma"/>
      <w:sz w:val="16"/>
      <w:szCs w:val="16"/>
    </w:rPr>
  </w:style>
  <w:style w:type="character" w:styleId="Annotationreference">
    <w:name w:val="annotation reference"/>
    <w:uiPriority w:val="99"/>
    <w:semiHidden/>
    <w:qFormat/>
    <w:rsid w:val="00574527"/>
    <w:rPr>
      <w:rFonts w:cs="Times New Roman"/>
      <w:sz w:val="16"/>
      <w:szCs w:val="16"/>
    </w:rPr>
  </w:style>
  <w:style w:type="character" w:styleId="TextkomentraChar" w:customStyle="1">
    <w:name w:val="Text komentára Char"/>
    <w:link w:val="Textkomentra"/>
    <w:uiPriority w:val="99"/>
    <w:semiHidden/>
    <w:qFormat/>
    <w:locked/>
    <w:rsid w:val="00574527"/>
    <w:rPr>
      <w:rFonts w:ascii="Times New Roman" w:hAnsi="Times New Roman" w:cs="Times New Roman"/>
      <w:sz w:val="20"/>
      <w:szCs w:val="20"/>
    </w:rPr>
  </w:style>
  <w:style w:type="character" w:styleId="PredmetkomentraChar" w:customStyle="1">
    <w:name w:val="Predmet komentára Char"/>
    <w:link w:val="Predmetkomentra"/>
    <w:uiPriority w:val="99"/>
    <w:semiHidden/>
    <w:qFormat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uiPriority w:val="99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uiPriority w:val="99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uiPriority w:val="99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uiPriority w:val="99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uiPriority w:val="99"/>
    <w:qFormat/>
    <w:rsid w:val="00160aaa"/>
    <w:pPr>
      <w:numPr>
        <w:ilvl w:val="0"/>
        <w:numId w:val="4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qFormat/>
    <w:rsid w:val="004b69e1"/>
    <w:pPr/>
    <w:rPr>
      <w:rFonts w:ascii="Tahoma" w:hAnsi="Tahoma" w:cs="Tahoma"/>
      <w:sz w:val="16"/>
      <w:szCs w:val="16"/>
    </w:rPr>
  </w:style>
  <w:style w:type="paragraph" w:styleId="Annotationtext">
    <w:name w:val="annotation text"/>
    <w:basedOn w:val="Normal"/>
    <w:link w:val="TextkomentraChar"/>
    <w:uiPriority w:val="99"/>
    <w:semiHidden/>
    <w:qFormat/>
    <w:rsid w:val="00574527"/>
    <w:pPr/>
    <w:rPr/>
  </w:style>
  <w:style w:type="paragraph" w:styleId="Annotationsubject">
    <w:name w:val="annotation subject"/>
    <w:basedOn w:val="Annotationtext"/>
    <w:next w:val="Annotationtext"/>
    <w:link w:val="PredmetkomentraChar"/>
    <w:uiPriority w:val="99"/>
    <w:semiHidden/>
    <w:qFormat/>
    <w:rsid w:val="00574527"/>
    <w:pPr/>
    <w:rPr>
      <w:b/>
      <w:bCs/>
    </w:rPr>
  </w:style>
  <w:style w:type="paragraph" w:styleId="Revision">
    <w:name w:val="Revision"/>
    <w:uiPriority w:val="99"/>
    <w:semiHidden/>
    <w:qFormat/>
    <w:rsid w:val="00574527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Subhead2" w:customStyle="1">
    <w:name w:val="Subhead 2"/>
    <w:basedOn w:val="Normal"/>
    <w:uiPriority w:val="99"/>
    <w:qFormat/>
    <w:rsid w:val="00e45d99"/>
    <w:pPr>
      <w:tabs>
        <w:tab w:val="clear" w:pos="708"/>
        <w:tab w:val="left" w:pos="1531" w:leader="none"/>
      </w:tabs>
      <w:spacing w:lineRule="atLeast" w:line="260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styleId="TabelLinks" w:customStyle="1">
    <w:name w:val="tabelLinks"/>
    <w:basedOn w:val="Normal"/>
    <w:uiPriority w:val="99"/>
    <w:qFormat/>
    <w:rsid w:val="00ea71f4"/>
    <w:pPr>
      <w:spacing w:lineRule="exact" w:line="260"/>
    </w:pPr>
    <w:rPr>
      <w:rFonts w:ascii="Times" w:hAnsi="Times"/>
      <w:sz w:val="18"/>
      <w:lang w:val="en-GB"/>
    </w:rPr>
  </w:style>
  <w:style w:type="paragraph" w:styleId="Default" w:customStyle="1">
    <w:name w:val="Default"/>
    <w:qFormat/>
    <w:rsid w:val="00c5649d"/>
    <w:pPr>
      <w:widowControl/>
      <w:suppressAutoHyphens w:val="true"/>
      <w:bidi w:val="0"/>
      <w:spacing w:before="0" w:after="0"/>
      <w:jc w:val="left"/>
    </w:pPr>
    <w:rPr>
      <w:rFonts w:ascii="Arial" w:hAnsi="Arial" w:eastAsia="Calibri" w:cs="Arial"/>
      <w:color w:val="000000"/>
      <w:kern w:val="0"/>
      <w:sz w:val="24"/>
      <w:szCs w:val="24"/>
      <w:lang w:val="sk-SK" w:eastAsia="sk-SK" w:bidi="ar-SA"/>
    </w:rPr>
  </w:style>
  <w:style w:type="paragraph" w:styleId="TopHeader" w:customStyle="1">
    <w:name w:val="Top Header"/>
    <w:basedOn w:val="Normal"/>
    <w:uiPriority w:val="99"/>
    <w:qFormat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LibreOffice/7.2.0.4$Windows_X86_64 LibreOffice_project/9a9c6381e3f7a62afc1329bd359cc48accb6435b</Application>
  <AppVersion>15.0000</AppVersion>
  <Pages>3</Pages>
  <Words>950</Words>
  <Characters>5684</Characters>
  <CharactersWithSpaces>6543</CharactersWithSpaces>
  <Paragraphs>105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2016-06-30T12:38:00Z</dcterms:created>
  <dc:creator>lstankovits</dc:creator>
  <dc:description/>
  <dc:language>sk-SK</dc:language>
  <cp:lastModifiedBy/>
  <cp:lastPrinted>2015-02-10T09:55:00Z</cp:lastPrinted>
  <dcterms:modified xsi:type="dcterms:W3CDTF">2023-03-29T12:31:31Z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