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both"/>
        <w:rPr>
          <w:rFonts w:ascii="Calibri" w:hAnsi="Calibri" w:eastAsia="Calibri" w:cs="" w:cstheme="minorBidi" w:eastAsiaTheme="minorHAnsi"/>
          <w:color w:val="auto"/>
          <w:kern w:val="0"/>
          <w:lang w:val="sk-SK" w:eastAsia="en-US" w:bidi="ar-SA"/>
        </w:rPr>
      </w:pPr>
      <w:r>
        <w:rPr>
          <w:sz w:val="48"/>
          <w:szCs w:val="48"/>
        </w:rPr>
      </w:r>
    </w:p>
    <w:p>
      <w:pPr>
        <w:pStyle w:val="Normal"/>
        <w:spacing w:lineRule="auto" w:line="240" w:before="0" w:after="0"/>
        <w:jc w:val="both"/>
        <w:rPr>
          <w:rFonts w:ascii="Calibri" w:hAnsi="Calibri" w:eastAsia="Calibri" w:cs="" w:cstheme="minorBidi" w:eastAsiaTheme="minorHAnsi"/>
          <w:color w:val="auto"/>
          <w:kern w:val="0"/>
          <w:lang w:val="sk-SK" w:eastAsia="en-US" w:bidi="ar-SA"/>
        </w:rPr>
      </w:pPr>
      <w:r>
        <w:rPr>
          <w:sz w:val="48"/>
          <w:szCs w:val="48"/>
        </w:rPr>
      </w:r>
    </w:p>
    <w:p>
      <w:pPr>
        <w:pStyle w:val="Normal"/>
        <w:spacing w:lineRule="auto" w:line="240" w:before="0" w:after="0"/>
        <w:jc w:val="both"/>
        <w:rPr>
          <w:rFonts w:ascii="Calibri" w:hAnsi="Calibri" w:eastAsia="Calibri" w:cs="" w:cstheme="minorBidi" w:eastAsiaTheme="minorHAnsi"/>
          <w:color w:val="auto"/>
          <w:kern w:val="0"/>
          <w:lang w:val="sk-SK" w:eastAsia="en-US" w:bidi="ar-SA"/>
        </w:rPr>
      </w:pPr>
      <w:r>
        <w:rPr>
          <w:sz w:val="48"/>
          <w:szCs w:val="48"/>
        </w:rPr>
      </w:r>
    </w:p>
    <w:p>
      <w:pPr>
        <w:pStyle w:val="Normal"/>
        <w:spacing w:lineRule="auto" w:line="240" w:before="0" w:after="0"/>
        <w:jc w:val="both"/>
        <w:rPr>
          <w:rFonts w:ascii="Calibri" w:hAnsi="Calibri" w:eastAsia="Calibri" w:cs="" w:cstheme="minorBidi" w:eastAsiaTheme="minorHAnsi"/>
          <w:color w:val="auto"/>
          <w:kern w:val="0"/>
          <w:lang w:val="sk-SK" w:eastAsia="en-US" w:bidi="ar-SA"/>
        </w:rPr>
      </w:pPr>
      <w:r>
        <w:rPr>
          <w:sz w:val="48"/>
          <w:szCs w:val="48"/>
        </w:rPr>
      </w:r>
    </w:p>
    <w:p>
      <w:pPr>
        <w:pStyle w:val="Normal"/>
        <w:spacing w:lineRule="auto" w:line="240" w:before="0" w:after="0"/>
        <w:jc w:val="both"/>
        <w:rPr>
          <w:rFonts w:ascii="Calibri" w:hAnsi="Calibri" w:eastAsia="Calibri" w:cs="" w:cstheme="minorBidi" w:eastAsiaTheme="minorHAnsi"/>
          <w:color w:val="auto"/>
          <w:kern w:val="0"/>
          <w:lang w:val="sk-SK" w:eastAsia="en-US" w:bidi="ar-SA"/>
        </w:rPr>
      </w:pPr>
      <w:r>
        <w:rPr>
          <w:sz w:val="48"/>
          <w:szCs w:val="48"/>
        </w:rPr>
      </w:r>
    </w:p>
    <w:p>
      <w:pPr>
        <w:pStyle w:val="Normal"/>
        <w:spacing w:lineRule="auto" w:line="240" w:before="0" w:after="0"/>
        <w:jc w:val="both"/>
        <w:rPr>
          <w:rFonts w:ascii="Calibri" w:hAnsi="Calibri" w:eastAsia="Calibri" w:cs="" w:cstheme="minorBidi" w:eastAsiaTheme="minorHAnsi"/>
          <w:color w:val="auto"/>
          <w:kern w:val="0"/>
          <w:lang w:val="sk-SK" w:eastAsia="en-US" w:bidi="ar-SA"/>
        </w:rPr>
      </w:pPr>
      <w:r>
        <w:rPr>
          <w:sz w:val="48"/>
          <w:szCs w:val="48"/>
        </w:rPr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/>
          <w:sz w:val="24"/>
          <w:szCs w:val="24"/>
        </w:rPr>
      </w:pPr>
      <w:r>
        <w:rPr>
          <w:rFonts w:eastAsia="Calibri" w:cs="" w:cstheme="minorBidi" w:eastAsiaTheme="minorHAnsi"/>
          <w:color w:val="auto"/>
          <w:kern w:val="0"/>
          <w:sz w:val="48"/>
          <w:szCs w:val="48"/>
          <w:lang w:val="sk-SK" w:eastAsia="en-US" w:bidi="ar-SA"/>
        </w:rPr>
        <w:t>Obecný podnik Červenica</w:t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>
          <w:rFonts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/>
          <w:sz w:val="24"/>
          <w:szCs w:val="24"/>
        </w:rPr>
      </w:pPr>
      <w:r>
        <w:rPr>
          <w:rFonts w:eastAsia="Calibri" w:cs="" w:cstheme="minorBidi" w:eastAsiaTheme="minorHAnsi"/>
          <w:color w:val="auto"/>
          <w:kern w:val="0"/>
          <w:sz w:val="32"/>
          <w:szCs w:val="32"/>
          <w:lang w:val="sk-SK" w:eastAsia="en-US" w:bidi="ar-SA"/>
        </w:rPr>
        <w:t>Výročná správa za rok 2022</w:t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>
          <w:rFonts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rFonts w:ascii="Calibri" w:hAnsi="Calibri" w:eastAsia="Calibri" w:cs="" w:cstheme="minorBidi" w:eastAsiaTheme="minorHAnsi"/>
          <w:color w:val="auto"/>
          <w:kern w:val="0"/>
          <w:sz w:val="24"/>
          <w:szCs w:val="24"/>
          <w:lang w:val="sk-SK" w:eastAsia="en-US" w:bidi="ar-SA"/>
        </w:rPr>
      </w:pPr>
      <w:r>
        <w:rPr/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b/>
          <w:b/>
          <w:bCs/>
        </w:rPr>
      </w:pPr>
      <w:r>
        <w:rPr>
          <w:b/>
          <w:bCs/>
          <w:sz w:val="22"/>
        </w:rPr>
        <w:t>P</w:t>
      </w:r>
      <w:r>
        <w:rPr>
          <w:b/>
          <w:bCs/>
          <w:sz w:val="22"/>
        </w:rPr>
        <w:t xml:space="preserve">redkladateľ: Ing. </w:t>
      </w:r>
      <w:r>
        <w:rPr>
          <w:b/>
          <w:bCs/>
          <w:sz w:val="22"/>
        </w:rPr>
        <w:t>Vladimír Jenčurák -</w:t>
      </w:r>
      <w:r>
        <w:rPr>
          <w:b/>
          <w:bCs/>
          <w:sz w:val="22"/>
        </w:rPr>
        <w:t xml:space="preserve"> konate</w:t>
      </w:r>
      <w:r>
        <w:rPr>
          <w:b/>
          <w:bCs/>
          <w:sz w:val="22"/>
        </w:rPr>
        <w:t>ľ</w:t>
      </w:r>
      <w:r>
        <w:rPr>
          <w:b/>
          <w:bCs/>
          <w:sz w:val="22"/>
        </w:rPr>
        <w:t xml:space="preserve"> spoločnosti </w:t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b/>
          <w:b/>
          <w:bCs/>
        </w:rPr>
      </w:pPr>
      <w:r>
        <w:rPr>
          <w:b/>
          <w:bCs/>
          <w:strike w:val="false"/>
          <w:dstrike w:val="false"/>
          <w:sz w:val="22"/>
          <w:u w:val="none"/>
        </w:rPr>
        <w:t xml:space="preserve">Vypracoval: Ing. </w:t>
      </w:r>
      <w:r>
        <w:rPr>
          <w:b/>
          <w:bCs/>
          <w:strike w:val="false"/>
          <w:dstrike w:val="false"/>
          <w:sz w:val="22"/>
          <w:u w:val="none"/>
        </w:rPr>
        <w:t>Vladimír Jenčurák -</w:t>
      </w:r>
      <w:r>
        <w:rPr>
          <w:b/>
          <w:bCs/>
          <w:strike w:val="false"/>
          <w:dstrike w:val="false"/>
          <w:sz w:val="22"/>
          <w:u w:val="none"/>
        </w:rPr>
        <w:t xml:space="preserve"> konate</w:t>
      </w:r>
      <w:r>
        <w:rPr>
          <w:b/>
          <w:bCs/>
          <w:strike w:val="false"/>
          <w:dstrike w:val="false"/>
          <w:sz w:val="22"/>
          <w:u w:val="none"/>
        </w:rPr>
        <w:t>ľ</w:t>
      </w:r>
      <w:r>
        <w:rPr>
          <w:b/>
          <w:bCs/>
          <w:strike w:val="false"/>
          <w:dstrike w:val="false"/>
          <w:sz w:val="22"/>
          <w:u w:val="none"/>
        </w:rPr>
        <w:t xml:space="preserve"> spoločnosti </w:t>
      </w:r>
    </w:p>
    <w:p>
      <w:pPr>
        <w:pStyle w:val="Normal"/>
        <w:widowControl/>
        <w:bidi w:val="0"/>
        <w:spacing w:lineRule="auto" w:line="240" w:before="0" w:after="0"/>
        <w:ind w:left="1417" w:right="0" w:hanging="0"/>
        <w:jc w:val="both"/>
        <w:rPr>
          <w:b/>
          <w:b/>
          <w:bCs/>
        </w:rPr>
      </w:pPr>
      <w:r>
        <w:rPr>
          <w:b/>
          <w:bCs/>
          <w:strike w:val="false"/>
          <w:dstrike w:val="false"/>
          <w:sz w:val="22"/>
          <w:u w:val="none"/>
        </w:rPr>
        <w:t xml:space="preserve">Zostavená dňa: </w:t>
      </w:r>
      <w:r>
        <w:rPr>
          <w:b/>
          <w:bCs/>
          <w:strike w:val="false"/>
          <w:dstrike w:val="false"/>
          <w:sz w:val="22"/>
          <w:u w:val="none"/>
        </w:rPr>
        <w:t>03</w:t>
      </w:r>
      <w:r>
        <w:rPr>
          <w:b/>
          <w:bCs/>
          <w:strike w:val="false"/>
          <w:dstrike w:val="false"/>
          <w:sz w:val="22"/>
          <w:u w:val="none"/>
        </w:rPr>
        <w:t>.</w:t>
      </w:r>
      <w:r>
        <w:rPr>
          <w:b/>
          <w:bCs/>
          <w:strike w:val="false"/>
          <w:dstrike w:val="false"/>
          <w:sz w:val="22"/>
          <w:u w:val="none"/>
        </w:rPr>
        <w:t>7</w:t>
      </w:r>
      <w:r>
        <w:rPr>
          <w:b/>
          <w:bCs/>
          <w:strike w:val="false"/>
          <w:dstrike w:val="false"/>
          <w:sz w:val="22"/>
          <w:u w:val="none"/>
        </w:rPr>
        <w:t>.202</w:t>
      </w:r>
      <w:r>
        <w:rPr>
          <w:b/>
          <w:bCs/>
          <w:strike w:val="false"/>
          <w:dstrike w:val="false"/>
          <w:sz w:val="22"/>
          <w:u w:val="none"/>
        </w:rPr>
        <w:t>3</w:t>
      </w:r>
      <w:r>
        <w:rPr>
          <w:b/>
          <w:bCs/>
          <w:strike w:val="false"/>
          <w:dstrike w:val="false"/>
          <w:sz w:val="22"/>
          <w:u w:val="none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z w:val="24"/>
          <w:szCs w:val="24"/>
        </w:rPr>
        <w:t xml:space="preserve">1. Identifikačné údaje spoločnosti </w:t>
      </w:r>
    </w:p>
    <w:p>
      <w:pPr>
        <w:pStyle w:val="Normal"/>
        <w:spacing w:lineRule="auto" w:line="240" w:before="0" w:after="0"/>
        <w:jc w:val="both"/>
        <w:rPr>
          <w:rFonts w:ascii="Calibri" w:hAnsi="Calibri"/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trike w:val="false"/>
          <w:dstrike w:val="false"/>
          <w:sz w:val="24"/>
          <w:szCs w:val="24"/>
          <w:u w:val="none"/>
        </w:rPr>
        <w:t>Obchodné meno:</w:t>
      </w:r>
      <w:r>
        <w:rPr>
          <w:b/>
          <w:strike w:val="false"/>
          <w:dstrike w:val="false"/>
          <w:sz w:val="24"/>
          <w:szCs w:val="24"/>
          <w:u w:val="none"/>
        </w:rPr>
        <w:t xml:space="preserve"> 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>Obecný podnik Červenica s.r.o.</w:t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trike w:val="false"/>
          <w:dstrike w:val="false"/>
          <w:sz w:val="24"/>
          <w:szCs w:val="24"/>
          <w:u w:val="none"/>
        </w:rPr>
        <w:t>Sídlo spoločnosti:</w:t>
      </w:r>
      <w:r>
        <w:rPr>
          <w:b/>
          <w:strike w:val="false"/>
          <w:dstrike w:val="false"/>
          <w:sz w:val="24"/>
          <w:szCs w:val="24"/>
          <w:u w:val="none"/>
        </w:rPr>
        <w:t xml:space="preserve"> 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>Červenica 41, 082 07 Červenica</w:t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trike w:val="false"/>
          <w:dstrike w:val="false"/>
          <w:sz w:val="24"/>
          <w:szCs w:val="24"/>
          <w:u w:val="none"/>
        </w:rPr>
        <w:t xml:space="preserve">IČO: 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>53502159</w:t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trike w:val="false"/>
          <w:dstrike w:val="false"/>
          <w:sz w:val="24"/>
          <w:szCs w:val="24"/>
          <w:u w:val="none"/>
        </w:rPr>
        <w:t xml:space="preserve">DIČ: 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>2121395023</w:t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trike w:val="false"/>
          <w:dstrike w:val="false"/>
          <w:sz w:val="24"/>
          <w:szCs w:val="24"/>
          <w:u w:val="none"/>
        </w:rPr>
        <w:t xml:space="preserve">Zápis: </w:t>
      </w:r>
      <w:r>
        <w:rPr>
          <w:b w:val="false"/>
          <w:strike w:val="false"/>
          <w:dstrike w:val="false"/>
          <w:sz w:val="24"/>
          <w:szCs w:val="24"/>
          <w:u w:val="none"/>
        </w:rPr>
        <w:t>Obchodný register Okresného súdu Prešov, Oddiel: Sro, vložka</w:t>
      </w:r>
      <w:r>
        <w:rPr>
          <w:b w:val="false"/>
          <w:strike w:val="false"/>
          <w:dstrike w:val="false"/>
          <w:sz w:val="24"/>
          <w:szCs w:val="24"/>
          <w:u w:val="none"/>
        </w:rPr>
        <w:t xml:space="preserve"> č.</w:t>
      </w:r>
      <w:r>
        <w:rPr>
          <w:rFonts w:ascii="Arial CE;Helvetica CE;Arial;sans-serif" w:hAnsi="Arial CE;Helvetica CE;Arial;sans-serif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0"/>
          <w:sz w:val="24"/>
          <w:szCs w:val="24"/>
          <w:u w:val="none"/>
        </w:rPr>
        <w:t>41496/P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>,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 xml:space="preserve"> </w:t>
        <w:br/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>ku dňu</w:t>
      </w:r>
      <w:r>
        <w:rPr>
          <w:b/>
          <w:bCs/>
          <w:strike w:val="false"/>
          <w:dstrike w:val="false"/>
          <w:sz w:val="24"/>
          <w:szCs w:val="24"/>
          <w:u w:val="none"/>
        </w:rPr>
        <w:t>:</w:t>
      </w:r>
      <w:r>
        <w:rPr>
          <w:b/>
          <w:strike w:val="false"/>
          <w:dstrike w:val="false"/>
          <w:sz w:val="24"/>
          <w:szCs w:val="24"/>
          <w:u w:val="none"/>
        </w:rPr>
        <w:t xml:space="preserve"> 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>12.</w:t>
      </w:r>
      <w:r>
        <w:rPr>
          <w:rFonts w:ascii="Arial CE;Helvetica CE;Arial;sans-serif" w:hAnsi="Arial CE;Helvetica CE;Arial;sans-serif"/>
          <w:b w:val="false"/>
          <w:bCs w:val="false"/>
          <w:i w:val="false"/>
          <w:caps w:val="false"/>
          <w:smallCaps w:val="false"/>
          <w:strike w:val="false"/>
          <w:dstrike w:val="false"/>
          <w:color w:val="000000"/>
          <w:spacing w:val="0"/>
          <w:sz w:val="24"/>
          <w:szCs w:val="24"/>
          <w:u w:val="none"/>
        </w:rPr>
        <w:t>.01.2021</w:t>
      </w:r>
      <w:r>
        <w:rPr>
          <w:b w:val="false"/>
          <w:bCs w:val="false"/>
          <w:strike w:val="false"/>
          <w:dstrike w:val="false"/>
          <w:sz w:val="24"/>
          <w:szCs w:val="24"/>
          <w:u w:val="none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Calibri" w:hAnsi="Calibri"/>
          <w:sz w:val="24"/>
          <w:szCs w:val="24"/>
        </w:rPr>
      </w:pPr>
      <w:r>
        <w:rPr>
          <w:b/>
          <w:strike w:val="false"/>
          <w:dstrike w:val="false"/>
          <w:sz w:val="24"/>
          <w:szCs w:val="24"/>
          <w:u w:val="none"/>
        </w:rPr>
        <w:t xml:space="preserve">Právna forma: </w:t>
      </w:r>
      <w:r>
        <w:rPr>
          <w:b w:val="false"/>
          <w:strike w:val="false"/>
          <w:dstrike w:val="false"/>
          <w:sz w:val="24"/>
          <w:szCs w:val="24"/>
          <w:u w:val="none"/>
        </w:rPr>
        <w:t xml:space="preserve">spoločnosť s ručením obmedzeným </w:t>
      </w:r>
    </w:p>
    <w:p>
      <w:pPr>
        <w:pStyle w:val="Normal"/>
        <w:spacing w:lineRule="auto" w:line="240" w:before="0" w:after="0"/>
        <w:jc w:val="both"/>
        <w:rPr>
          <w:color w:val="000000"/>
        </w:rPr>
      </w:pPr>
      <w:r>
        <w:rPr>
          <w:b/>
          <w:strike w:val="false"/>
          <w:dstrike w:val="false"/>
          <w:color w:val="000000"/>
          <w:sz w:val="24"/>
          <w:szCs w:val="24"/>
          <w:u w:val="none"/>
        </w:rPr>
        <w:t xml:space="preserve">Registrácia: </w:t>
      </w:r>
      <w:r>
        <w:rPr>
          <w:b w:val="false"/>
          <w:strike w:val="false"/>
          <w:dstrike w:val="false"/>
          <w:color w:val="000000"/>
          <w:sz w:val="24"/>
          <w:szCs w:val="24"/>
          <w:u w:val="none"/>
        </w:rPr>
        <w:t>Register sociálnych podnikov, číslo osvedčeni</w:t>
      </w:r>
      <w:r>
        <w:rPr>
          <w:b w:val="false"/>
          <w:bCs w:val="false"/>
          <w:strike w:val="false"/>
          <w:dstrike w:val="false"/>
          <w:color w:val="000000"/>
          <w:sz w:val="24"/>
          <w:szCs w:val="24"/>
          <w:u w:val="none"/>
        </w:rPr>
        <w:t xml:space="preserve">a  </w:t>
      </w:r>
      <w:r>
        <w:rPr>
          <w:b w:val="false"/>
          <w:bCs w:val="false"/>
          <w:i w:val="false"/>
          <w:strike w:val="false"/>
          <w:dstrike w:val="false"/>
          <w:outline w:val="false"/>
          <w:shadow w:val="false"/>
          <w:color w:val="000000"/>
          <w:sz w:val="22"/>
          <w:szCs w:val="24"/>
          <w:u w:val="none"/>
          <w:em w:val="none"/>
        </w:rPr>
        <w:t>529/2022_RSP</w:t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trike w:val="false"/>
          <w:dstrike w:val="false"/>
          <w:sz w:val="24"/>
          <w:szCs w:val="24"/>
          <w:u w:val="none"/>
        </w:rPr>
        <w:t xml:space="preserve">Druh podniku: </w:t>
      </w:r>
      <w:r>
        <w:rPr>
          <w:b w:val="false"/>
          <w:strike w:val="false"/>
          <w:dstrike w:val="false"/>
          <w:sz w:val="24"/>
          <w:szCs w:val="24"/>
          <w:u w:val="none"/>
        </w:rPr>
        <w:t xml:space="preserve">integračný </w:t>
      </w:r>
    </w:p>
    <w:p>
      <w:pPr>
        <w:pStyle w:val="Normal"/>
        <w:spacing w:lineRule="auto" w:line="240" w:before="0" w:after="0"/>
        <w:jc w:val="both"/>
        <w:rPr>
          <w:rFonts w:ascii="Calibri" w:hAnsi="Calibri"/>
          <w:b w:val="false"/>
          <w:b w:val="false"/>
          <w:strike w:val="false"/>
          <w:dstrike w:val="false"/>
          <w:sz w:val="24"/>
          <w:szCs w:val="24"/>
          <w:u w:val="none"/>
        </w:rPr>
      </w:pPr>
      <w:r>
        <w:rPr>
          <w:b w:val="false"/>
          <w:strike w:val="false"/>
          <w:dstrike w:val="false"/>
          <w:sz w:val="24"/>
          <w:szCs w:val="24"/>
          <w:u w:val="none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strike w:val="false"/>
          <w:dstrike w:val="false"/>
          <w:sz w:val="24"/>
          <w:szCs w:val="24"/>
          <w:u w:val="none"/>
        </w:rPr>
        <w:t xml:space="preserve">2. Údaje zapísané v obchodnom registri </w:t>
      </w:r>
    </w:p>
    <w:p>
      <w:pPr>
        <w:pStyle w:val="Normal"/>
        <w:spacing w:lineRule="auto" w:line="240" w:before="0" w:after="0"/>
        <w:jc w:val="both"/>
        <w:rPr>
          <w:rFonts w:ascii="Calibri" w:hAnsi="Calibri"/>
          <w:b/>
          <w:b/>
          <w:strike w:val="false"/>
          <w:dstrike w:val="false"/>
          <w:sz w:val="24"/>
          <w:szCs w:val="24"/>
          <w:u w:val="none"/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b w:val="false"/>
          <w:b w:val="false"/>
          <w:u w:val="single"/>
        </w:rPr>
      </w:pPr>
      <w:r>
        <w:rPr>
          <w:b w:val="false"/>
          <w:bCs w:val="false"/>
          <w:i w:val="false"/>
          <w:iCs w:val="false"/>
          <w:strike w:val="false"/>
          <w:dstrike w:val="false"/>
          <w:sz w:val="24"/>
          <w:szCs w:val="24"/>
          <w:u w:val="single"/>
        </w:rPr>
        <w:t xml:space="preserve">Predmet podnikania: 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Kúpa tovaru na účely jeho predaja konečnému spotrebiteľovi (maloobchod) alebo iným prevádzkovateľom živnosti (veľkoobchod)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Sprostredkovateľská činnosť v oblasti obchodu, služieb, výroby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Administratívne služby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Poskytovanie služieb v poľnohospodárstve a záhradníctve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Poskytovanie služieb v lesníctve a poľovníctve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Počítačové služby a služby súvisiace s počítačovým spracovaním údajov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Vykonávanie mimoškolskej vzdelávacej činnosti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Výroba potravinárskych výrobkov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Organizovanie športových, kultúrnych a iných spoločenských podujatí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Opracovanie drevnej hmoty a výroba komponentov z dreva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Čistiace a upratovacie služby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Činnosť podnikateľských, organizačných a ekonomických poradcov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Vedenie účtovníctva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Uskutočňovanie stavieb a ich zmien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Prípravné práce k realizácii stavby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Dokončovacie stavebné práce pri realizácii exteriérov a interiérov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strike w:val="false"/>
          <w:dstrike w:val="false"/>
          <w:color w:val="000000"/>
          <w:sz w:val="24"/>
          <w:szCs w:val="24"/>
          <w:u w:val="none"/>
        </w:rPr>
        <w:t>Poľnohospodárstvo a lesníctvo včítane predaja nespracovaných poľnohospodárskych a lesných výrobkov za účelom spracovania alebo ďalšieho predaja</w:t>
      </w:r>
    </w:p>
    <w:p>
      <w:pPr>
        <w:pStyle w:val="Obsahtabuky"/>
        <w:numPr>
          <w:ilvl w:val="0"/>
          <w:numId w:val="1"/>
        </w:numPr>
        <w:spacing w:lineRule="auto" w:line="240" w:before="0" w:after="0"/>
        <w:jc w:val="both"/>
        <w:rPr>
          <w:rFonts w:ascii="Arial CE;Helvetica CE;Arial;sans-serif" w:hAnsi="Arial CE;Helvetica CE;Arial;sans-serif"/>
          <w:b w:val="false"/>
          <w:b w:val="false"/>
          <w:bCs w:val="false"/>
          <w:color w:val="000000"/>
        </w:rPr>
      </w:pPr>
      <w:r>
        <w:rPr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0"/>
          <w:sz w:val="24"/>
          <w:szCs w:val="24"/>
          <w:u w:val="none"/>
        </w:rPr>
        <w:t>Správa obecného bytového fondu a verejnej infraštruktúry (obecný vodovod, čistiareň odpadových vôd, cesty a chodníky)</w:t>
      </w:r>
    </w:p>
    <w:p>
      <w:pPr>
        <w:pStyle w:val="Obsahtabuky"/>
        <w:spacing w:lineRule="auto" w:line="240" w:before="0" w:after="0"/>
        <w:jc w:val="both"/>
        <w:rPr>
          <w:rFonts w:ascii="Calibri" w:hAnsi="Calibri"/>
          <w:b/>
          <w:b/>
          <w:i w:val="false"/>
          <w:i w:val="false"/>
          <w:iCs w:val="false"/>
          <w:strike w:val="false"/>
          <w:dstrike w:val="false"/>
          <w:sz w:val="24"/>
          <w:szCs w:val="24"/>
          <w:u w:val="none"/>
        </w:rPr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i w:val="false"/>
          <w:strike w:val="false"/>
          <w:dstrike w:val="false"/>
          <w:sz w:val="24"/>
          <w:szCs w:val="24"/>
          <w:u w:val="none"/>
        </w:rPr>
        <w:t xml:space="preserve">Spoločníci: </w:t>
      </w:r>
      <w:r>
        <w:rPr>
          <w:b w:val="false"/>
          <w:bCs w:val="false"/>
          <w:i w:val="false"/>
          <w:strike w:val="false"/>
          <w:dstrike w:val="false"/>
          <w:sz w:val="24"/>
          <w:szCs w:val="24"/>
          <w:u w:val="none"/>
        </w:rPr>
        <w:t>Obec Červenica, Červenica 41, 082 07 Červenica</w:t>
      </w:r>
    </w:p>
    <w:p>
      <w:pPr>
        <w:pStyle w:val="Normal"/>
        <w:spacing w:lineRule="auto" w:line="240" w:before="0" w:after="0"/>
        <w:jc w:val="both"/>
        <w:rPr>
          <w:rFonts w:ascii="Calibri" w:hAnsi="Calibri"/>
          <w:b/>
          <w:b/>
          <w:i w:val="false"/>
          <w:i w:val="false"/>
          <w:strike w:val="false"/>
          <w:dstrike w:val="false"/>
          <w:sz w:val="24"/>
          <w:szCs w:val="24"/>
          <w:u w:val="none"/>
        </w:rPr>
      </w:pPr>
      <w:r>
        <w:rPr/>
      </w:r>
    </w:p>
    <w:p>
      <w:pPr>
        <w:pStyle w:val="Normal"/>
        <w:spacing w:lineRule="auto" w:line="240" w:before="0" w:after="0"/>
        <w:jc w:val="both"/>
        <w:rPr>
          <w:rFonts w:ascii="Calibri" w:hAnsi="Calibri"/>
          <w:sz w:val="24"/>
          <w:szCs w:val="24"/>
        </w:rPr>
      </w:pPr>
      <w:r>
        <w:rPr>
          <w:b/>
          <w:i w:val="false"/>
          <w:strike w:val="false"/>
          <w:dstrike w:val="false"/>
          <w:sz w:val="24"/>
          <w:szCs w:val="24"/>
          <w:u w:val="none"/>
        </w:rPr>
        <w:t xml:space="preserve">Výška vkladu: </w:t>
      </w:r>
      <w:r>
        <w:rPr>
          <w:b w:val="false"/>
          <w:i w:val="false"/>
          <w:strike w:val="false"/>
          <w:dstrike w:val="false"/>
          <w:sz w:val="24"/>
          <w:szCs w:val="24"/>
          <w:u w:val="none"/>
        </w:rPr>
        <w:t xml:space="preserve">5 000,00 € </w:t>
      </w:r>
    </w:p>
    <w:p>
      <w:pPr>
        <w:pStyle w:val="Normal"/>
        <w:spacing w:lineRule="auto" w:line="240" w:before="0" w:after="0"/>
        <w:jc w:val="both"/>
        <w:rPr>
          <w:rFonts w:ascii="Calibri" w:hAnsi="Calibri"/>
          <w:b/>
          <w:b/>
          <w:i w:val="false"/>
          <w:i w:val="false"/>
          <w:strike w:val="false"/>
          <w:dstrike w:val="false"/>
          <w:sz w:val="24"/>
          <w:szCs w:val="24"/>
          <w:u w:val="none"/>
        </w:rPr>
      </w:pPr>
      <w:r>
        <w:rPr/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i w:val="false"/>
          <w:strike w:val="false"/>
          <w:dstrike w:val="false"/>
          <w:sz w:val="24"/>
          <w:szCs w:val="24"/>
          <w:u w:val="none"/>
        </w:rPr>
        <w:t xml:space="preserve">Orgány spoločnosti: </w:t>
      </w:r>
      <w:r>
        <w:rPr>
          <w:b/>
          <w:i w:val="false"/>
          <w:strike w:val="false"/>
          <w:dstrike w:val="false"/>
          <w:sz w:val="24"/>
          <w:szCs w:val="24"/>
          <w:u w:val="none"/>
        </w:rPr>
        <w:t xml:space="preserve"> </w:t>
      </w:r>
      <w:r>
        <w:rPr>
          <w:b w:val="false"/>
          <w:bCs w:val="false"/>
          <w:i w:val="false"/>
          <w:strike w:val="false"/>
          <w:dstrike w:val="false"/>
          <w:sz w:val="24"/>
          <w:szCs w:val="24"/>
          <w:u w:val="none"/>
        </w:rPr>
        <w:t>Konateľ</w:t>
      </w:r>
    </w:p>
    <w:p>
      <w:pPr>
        <w:pStyle w:val="Normal"/>
        <w:spacing w:lineRule="auto" w:line="240" w:before="0" w:after="0"/>
        <w:jc w:val="both"/>
        <w:rPr>
          <w:rFonts w:ascii="Calibri" w:hAnsi="Calibri"/>
          <w:i w:val="false"/>
          <w:i w:val="false"/>
          <w:strike w:val="false"/>
          <w:dstrike w:val="false"/>
          <w:sz w:val="24"/>
          <w:szCs w:val="24"/>
          <w:u w:val="none"/>
        </w:rPr>
      </w:pPr>
      <w:r>
        <w:rPr>
          <w:b w:val="false"/>
          <w:bCs w:val="false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b/>
          <w:i w:val="false"/>
          <w:strike w:val="false"/>
          <w:dstrike w:val="false"/>
          <w:sz w:val="24"/>
          <w:szCs w:val="24"/>
          <w:u w:val="none"/>
        </w:rPr>
        <w:t xml:space="preserve">Štatutárny orgán: </w:t>
      </w:r>
      <w:r>
        <w:rPr>
          <w:b w:val="false"/>
          <w:i w:val="false"/>
          <w:strike w:val="false"/>
          <w:dstrike w:val="false"/>
          <w:sz w:val="24"/>
          <w:szCs w:val="24"/>
          <w:u w:val="none"/>
        </w:rPr>
        <w:t xml:space="preserve"> </w:t>
      </w:r>
      <w:r>
        <w:rPr>
          <w:b w:val="false"/>
          <w:i w:val="false"/>
          <w:strike w:val="false"/>
          <w:dstrike w:val="false"/>
          <w:sz w:val="24"/>
          <w:szCs w:val="24"/>
          <w:u w:val="none"/>
        </w:rPr>
        <w:t>Konateľ spoločnosti: Ing. Vladimír Jenčurák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/>
      </w:pPr>
      <w:r>
        <w:rPr>
          <w:sz w:val="24"/>
          <w:szCs w:val="24"/>
        </w:rPr>
        <w:t xml:space="preserve">Spoločnosť </w:t>
      </w:r>
      <w:r>
        <w:rPr>
          <w:sz w:val="24"/>
          <w:szCs w:val="24"/>
        </w:rPr>
        <w:t>Obecný podnik Červenica</w:t>
      </w:r>
      <w:r>
        <w:rPr>
          <w:sz w:val="24"/>
          <w:szCs w:val="24"/>
        </w:rPr>
        <w:t xml:space="preserve"> s.r.o., r.s.p. so sídlom </w:t>
      </w:r>
      <w:r>
        <w:rPr>
          <w:sz w:val="24"/>
          <w:szCs w:val="24"/>
        </w:rPr>
        <w:t>Červenica 41, 082 07 Červenica</w:t>
      </w:r>
      <w:r>
        <w:rPr>
          <w:sz w:val="24"/>
          <w:szCs w:val="24"/>
        </w:rPr>
        <w:t xml:space="preserve"> (ďalej len ako “spoločnosť“)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b/>
          <w:strike w:val="false"/>
          <w:dstrike w:val="false"/>
          <w:sz w:val="24"/>
          <w:szCs w:val="24"/>
          <w:u w:val="none"/>
        </w:rPr>
        <w:t xml:space="preserve">predkladá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b w:val="false"/>
          <w:strike w:val="false"/>
          <w:dstrike w:val="false"/>
          <w:sz w:val="24"/>
          <w:szCs w:val="24"/>
          <w:u w:val="none"/>
        </w:rPr>
        <w:t xml:space="preserve">v súvislosti s povinnosťou vyplývajúcou z ust. § 15 zákona č. 112/2018 Z.z. o sociálnej ekonomike a sociálnych podnikoch a o zmene a doplnení niektorých zákonov (ďalej len ako “zákon o sociálnej ekonomike”) túto </w:t>
      </w:r>
      <w:r>
        <w:rPr>
          <w:b/>
          <w:strike w:val="false"/>
          <w:dstrike w:val="false"/>
          <w:sz w:val="24"/>
          <w:szCs w:val="24"/>
          <w:u w:val="none"/>
        </w:rPr>
        <w:t xml:space="preserve">výročnú správu: </w:t>
      </w:r>
    </w:p>
    <w:p>
      <w:pPr>
        <w:pStyle w:val="Normal"/>
        <w:rPr/>
      </w:pPr>
      <w:r>
        <w:rPr>
          <w:b/>
          <w:sz w:val="24"/>
          <w:szCs w:val="24"/>
        </w:rPr>
        <w:t xml:space="preserve">3. Všeobecné ustanovenia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Spoločnosť riadi svoju činnosť podľa zákona o sociálnej ekonomike, pričom na základe ust. § 6 tohto zákona, bol spoločnosti dňa 18.5.2021 priznaný štatút registrovaného sociálneho podniku, druh: integračný (ďalej len ako “RSP“). </w:t>
      </w:r>
      <w:r>
        <w:rPr>
          <w:strike w:val="false"/>
          <w:dstrike w:val="false"/>
          <w:sz w:val="24"/>
          <w:szCs w:val="24"/>
          <w:u w:val="none"/>
        </w:rPr>
        <w:t xml:space="preserve">V zmysle ust. § 15 zákona o sociálnej ekonomike: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1. RSP vypracuje výročnú správu za kalendárny rok v termíne určenom štatutárnym orgánom alebo základným dokumentom, najneskôr do 30. júna nasledujúceho kalendárneho roka.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2. Výročná správa RSP obsahuje najmä: </w:t>
      </w:r>
    </w:p>
    <w:p>
      <w:pPr>
        <w:pStyle w:val="Normal"/>
        <w:spacing w:lineRule="auto" w:line="240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a) zhodnotenie dosahovania pozitívneho sociálneho vplyvu, ktorý má RSP uvedený vo svojom základnom dokumente, a prehľad činností vykonávaných v kalendárnom roku, </w:t>
      </w:r>
    </w:p>
    <w:p>
      <w:pPr>
        <w:pStyle w:val="Normal"/>
        <w:spacing w:lineRule="auto" w:line="240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b) účtovnú závierku a zhodnotenie základných údajov v nej obsiahnutých, </w:t>
      </w:r>
    </w:p>
    <w:p>
      <w:pPr>
        <w:pStyle w:val="Normal"/>
        <w:spacing w:lineRule="auto" w:line="240"/>
        <w:rPr/>
      </w:pPr>
      <w:r>
        <w:rPr>
          <w:strike w:val="false"/>
          <w:dstrike w:val="false"/>
          <w:sz w:val="24"/>
          <w:szCs w:val="24"/>
          <w:u w:val="none"/>
        </w:rPr>
        <w:t xml:space="preserve">c) správu audítora, ak má RSP povinnosť štatutárneho auditu </w:t>
      </w:r>
    </w:p>
    <w:p>
      <w:pPr>
        <w:pStyle w:val="Normal"/>
        <w:spacing w:lineRule="auto" w:line="240"/>
        <w:rPr/>
      </w:pPr>
      <w:r>
        <w:rPr>
          <w:strike w:val="false"/>
          <w:dstrike w:val="false"/>
          <w:sz w:val="24"/>
          <w:szCs w:val="24"/>
          <w:u w:val="none"/>
        </w:rPr>
        <w:t xml:space="preserve">d) prehľad o peňažných príjmoch a výdavkoch, </w:t>
      </w:r>
    </w:p>
    <w:p>
      <w:pPr>
        <w:pStyle w:val="Normal"/>
        <w:spacing w:lineRule="auto" w:line="240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e) prehľad príjmov v členení podľa zdrojov, </w:t>
      </w:r>
    </w:p>
    <w:p>
      <w:pPr>
        <w:pStyle w:val="Normal"/>
        <w:spacing w:lineRule="auto" w:line="240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f) stav a pohyb majetku a záväzkov, </w:t>
      </w:r>
    </w:p>
    <w:p>
      <w:pPr>
        <w:pStyle w:val="Normal"/>
        <w:spacing w:lineRule="auto" w:line="240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g) zloženie orgánov RSP a ich zmeny, ku ktorým došlo v priebehu kalendárneho roka, </w:t>
      </w:r>
    </w:p>
    <w:p>
      <w:pPr>
        <w:pStyle w:val="Normal"/>
        <w:spacing w:lineRule="auto" w:line="240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h) údaje určené valným zhromaždením, správnou radou alebo iným obchodným orgánom RSP.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/>
      </w:r>
    </w:p>
    <w:p>
      <w:pPr>
        <w:pStyle w:val="Normal"/>
        <w:rPr/>
      </w:pPr>
      <w:r>
        <w:rPr>
          <w:sz w:val="24"/>
          <w:szCs w:val="24"/>
        </w:rPr>
        <w:t xml:space="preserve">V zmysle ust. § 14 zákona o sociálnej ekonomike: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1.RSP je povinný účtovať v sústave podvojného účtovníctva podľa osobitného predpisu. Účtovným obdobím RSP je kalendárny rok.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2.RSP je povinný vo svojom účtovníctve osobitne sledovať činnosť vykonávanú ako registrovaný sociálny podnik, a to prostredníctvom tvorby analytických účtov. Ak nie je možné v účtovníctve zabezpečiť preukázanie činnosti RSP prostredníctvom tvorby analytických účtov, RSP je povinný viesť analytickú evidenciu alebo ďalšie pomocné evidencie.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3.RSP je povinný mať účtovnú závierku a výročnú správu overenú štatutárnym audítorom, ak: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I. príjem verejných prostriedkov a podielov zaplatenej dane v účtovnom období, za ktoré je účtovná závierka zostavená, presiahne 200 000,00 €, alebo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trike w:val="false"/>
          <w:dstrike w:val="false"/>
          <w:sz w:val="24"/>
          <w:szCs w:val="24"/>
          <w:u w:val="none"/>
        </w:rPr>
        <w:t xml:space="preserve">II. všetky príjmy RSP v účtovnom období, za ktoré je účtovná závierka zostavená, presiahnu 500 000,00 €. </w:t>
      </w:r>
    </w:p>
    <w:p>
      <w:pPr>
        <w:pStyle w:val="Normal"/>
        <w:rPr>
          <w:rFonts w:ascii="Calibri" w:hAnsi="Calibri"/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b/>
          <w:sz w:val="24"/>
          <w:szCs w:val="24"/>
        </w:rPr>
        <w:t xml:space="preserve">4. Zhodnotenie dosahovania pozitívneho sociálneho vplyvu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b w:val="false"/>
          <w:sz w:val="24"/>
          <w:szCs w:val="24"/>
        </w:rPr>
        <w:t xml:space="preserve">V zmysle článku 22 Zakladateľskej listiny RSP pozitívny sociálny vplyv spoločnosť meria </w:t>
      </w:r>
      <w:r>
        <w:rPr>
          <w:b w:val="false"/>
          <w:strike w:val="false"/>
          <w:dstrike w:val="false"/>
          <w:sz w:val="24"/>
          <w:szCs w:val="24"/>
          <w:u w:val="none"/>
        </w:rPr>
        <w:t xml:space="preserve">v prípade spoločensky prospešnej služby nasledovne: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b w:val="false"/>
          <w:strike w:val="false"/>
          <w:dstrike w:val="false"/>
          <w:sz w:val="24"/>
          <w:szCs w:val="24"/>
          <w:u w:val="none"/>
        </w:rPr>
        <w:t xml:space="preserve">- služby na podporu zamestnanosti: percentom zamestnaných znevýhodnených osôb a/alebo zraniteľných osôb z celkového počtu zamestnancov spoločnosti v zmysle príslušných ustanovení zákona č. 112/2018 Z.z..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Zamestnávaním znevýhodnených a zraniteľných osôb z vylúčených komunít a ich pracovnou integráciou sa zlepšujú pracovné zručnosti uvedených osôb, posilňujú sa pracovné návyky a zlepšuje sa ich začlenenie do pracovného kolektívu. Vytváraním pracovných príležitostí pre osoby so zdravotným postihnutím spoločnosť zlepšuje ich integráciu nielen na trhu práce, ale i v spoločenskom živote, ako aj zvyšuje mieru ekonomickej sebestačnosti, sebavedomia a suverenity. Spoločnosť sa týmto podieľa na zlepšení spolužitia medzi majoritou a minoritou a zároveň takýmto spôsobom propaguje sociálne podnikanie. </w:t>
      </w:r>
      <w:r>
        <w:rPr>
          <w:strike w:val="false"/>
          <w:dstrike w:val="false"/>
          <w:sz w:val="24"/>
          <w:szCs w:val="24"/>
          <w:u w:val="none"/>
        </w:rPr>
        <w:t xml:space="preserve">Podľa § 12 zákona o sociálnej ekonomike, pozitívny&amp; sociálny vplyv sa považuje za dosiahnutý, ak integračný podnik zamestnáva najmenej 30% znevýhodnených a zraniteľných osôb z celkového počtu zamestnancov. </w:t>
      </w:r>
    </w:p>
    <w:p>
      <w:pPr>
        <w:pStyle w:val="Normal"/>
        <w:rPr>
          <w:rFonts w:ascii="Calibri" w:hAnsi="Calibri"/>
          <w:strike w:val="false"/>
          <w:dstrike w:val="false"/>
          <w:sz w:val="24"/>
          <w:szCs w:val="24"/>
          <w:u w:val="none"/>
        </w:rPr>
      </w:pPr>
      <w:r>
        <w:rPr>
          <w:strike w:val="false"/>
          <w:dstrike w:val="false"/>
          <w:sz w:val="24"/>
          <w:szCs w:val="24"/>
          <w:u w:val="none"/>
        </w:rPr>
      </w:r>
    </w:p>
    <w:tbl>
      <w:tblPr>
        <w:tblW w:w="9396" w:type="dxa"/>
        <w:jc w:val="left"/>
        <w:tblInd w:w="0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039"/>
        <w:gridCol w:w="613"/>
        <w:gridCol w:w="613"/>
        <w:gridCol w:w="612"/>
        <w:gridCol w:w="613"/>
        <w:gridCol w:w="612"/>
        <w:gridCol w:w="613"/>
        <w:gridCol w:w="613"/>
        <w:gridCol w:w="612"/>
        <w:gridCol w:w="613"/>
        <w:gridCol w:w="613"/>
        <w:gridCol w:w="612"/>
        <w:gridCol w:w="617"/>
      </w:tblGrid>
      <w:tr>
        <w:trPr/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01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02</w:t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03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04</w:t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05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06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07</w:t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08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09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10</w:t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11</w:t>
            </w:r>
          </w:p>
        </w:tc>
        <w:tc>
          <w:tcPr>
            <w:tcW w:w="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12</w:t>
            </w:r>
          </w:p>
        </w:tc>
      </w:tr>
      <w:tr>
        <w:trPr/>
        <w:tc>
          <w:tcPr>
            <w:tcW w:w="2039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Znevýhodnení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15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21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21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21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21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24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21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21</w:t>
            </w:r>
          </w:p>
        </w:tc>
        <w:tc>
          <w:tcPr>
            <w:tcW w:w="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11</w:t>
            </w:r>
          </w:p>
        </w:tc>
      </w:tr>
      <w:tr>
        <w:trPr/>
        <w:tc>
          <w:tcPr>
            <w:tcW w:w="2039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Bez znevýhodnenia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4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8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8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</w:t>
            </w:r>
          </w:p>
        </w:tc>
        <w:tc>
          <w:tcPr>
            <w:tcW w:w="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</w:t>
            </w:r>
          </w:p>
        </w:tc>
      </w:tr>
      <w:tr>
        <w:trPr/>
        <w:tc>
          <w:tcPr>
            <w:tcW w:w="2039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Celkový počet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3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19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30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29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29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30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33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30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30</w:t>
            </w:r>
          </w:p>
        </w:tc>
        <w:tc>
          <w:tcPr>
            <w:tcW w:w="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13</w:t>
            </w:r>
          </w:p>
        </w:tc>
      </w:tr>
      <w:tr>
        <w:trPr/>
        <w:tc>
          <w:tcPr>
            <w:tcW w:w="2039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lineRule="auto" w:line="240" w:before="0" w:after="160"/>
              <w:jc w:val="left"/>
              <w:rPr>
                <w:rFonts w:ascii="Calibri" w:hAnsi="Calibri"/>
                <w:sz w:val="24"/>
                <w:szCs w:val="24"/>
              </w:rPr>
            </w:pPr>
            <w:r>
              <w:rPr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Sociálny vplyv v %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67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79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70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72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72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70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73</w:t>
            </w:r>
          </w:p>
        </w:tc>
        <w:tc>
          <w:tcPr>
            <w:tcW w:w="613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70</w:t>
            </w:r>
          </w:p>
        </w:tc>
        <w:tc>
          <w:tcPr>
            <w:tcW w:w="612" w:type="dxa"/>
            <w:tcBorders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70</w:t>
            </w:r>
          </w:p>
        </w:tc>
        <w:tc>
          <w:tcPr>
            <w:tcW w:w="6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bsahtabuky"/>
              <w:spacing w:before="0" w:after="160"/>
              <w:jc w:val="left"/>
              <w:rPr>
                <w:rFonts w:ascii="Calibri" w:hAnsi="Calibri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85</w:t>
            </w:r>
          </w:p>
        </w:tc>
      </w:tr>
    </w:tbl>
    <w:p>
      <w:pPr>
        <w:pStyle w:val="Normal"/>
        <w:rPr>
          <w:rFonts w:ascii="Calibri" w:hAnsi="Calibri"/>
          <w:strike w:val="false"/>
          <w:dstrike w:val="false"/>
          <w:sz w:val="24"/>
          <w:szCs w:val="24"/>
          <w:u w:val="none"/>
        </w:rPr>
      </w:pPr>
      <w:r>
        <w:rPr>
          <w:strike w:val="false"/>
          <w:dstrike w:val="false"/>
          <w:sz w:val="24"/>
          <w:szCs w:val="24"/>
          <w:u w:val="none"/>
        </w:rPr>
      </w:r>
    </w:p>
    <w:p>
      <w:pPr>
        <w:pStyle w:val="Normal"/>
        <w:rPr/>
      </w:pPr>
      <w:r>
        <w:rPr>
          <w:rFonts w:eastAsia="Calibri" w:cs="" w:cstheme="minorBidi" w:eastAsiaTheme="minorHAnsi"/>
          <w:strike w:val="false"/>
          <w:dstrike w:val="false"/>
          <w:color w:val="auto"/>
          <w:kern w:val="0"/>
          <w:sz w:val="24"/>
          <w:szCs w:val="24"/>
          <w:u w:val="none"/>
          <w:lang w:val="sk-SK" w:eastAsia="en-US" w:bidi="ar-SA"/>
        </w:rPr>
        <w:t>Z dosiahnutých výsledkov vyplýva</w:t>
      </w:r>
      <w:r>
        <w:rPr>
          <w:strike w:val="false"/>
          <w:dstrike w:val="false"/>
          <w:sz w:val="24"/>
          <w:szCs w:val="24"/>
          <w:u w:val="none"/>
        </w:rPr>
        <w:t>, že RSP v roku 2022  stanovený pozitívny vplyv splnil.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b/>
          <w:sz w:val="24"/>
          <w:szCs w:val="24"/>
        </w:rPr>
        <w:t xml:space="preserve">5. Zloženie orgánov a ich zmeny v priebehu roka 2022 </w:t>
      </w:r>
    </w:p>
    <w:p>
      <w:pPr>
        <w:pStyle w:val="Normal"/>
        <w:rPr>
          <w:rFonts w:ascii="Calibri" w:hAnsi="Calibri"/>
          <w:sz w:val="24"/>
          <w:szCs w:val="24"/>
          <w:u w:val="single"/>
        </w:rPr>
      </w:pPr>
      <w:r>
        <w:rPr>
          <w:rFonts w:ascii="Calibri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  <w:u w:val="single"/>
        </w:rPr>
        <w:t>Konateľ: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Ing.</w:t>
      </w:r>
      <w:r>
        <w:rPr>
          <w:rFonts w:ascii="Calibri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 xml:space="preserve"> </w:t>
      </w:r>
      <w:hyperlink r:id="rId2">
        <w:r>
          <w:rPr>
            <w:rStyle w:val="Internetovodkaz"/>
            <w:rFonts w:ascii="Calibri" w:hAnsi="Calibri"/>
            <w:b w:val="false"/>
            <w:bCs w:val="false"/>
            <w:i w:val="false"/>
            <w:caps w:val="false"/>
            <w:smallCaps w:val="false"/>
            <w:strike w:val="false"/>
            <w:dstrike w:val="false"/>
            <w:color w:val="000000"/>
            <w:spacing w:val="0"/>
            <w:sz w:val="24"/>
            <w:szCs w:val="24"/>
            <w:u w:val="none"/>
            <w:effect w:val="none"/>
          </w:rPr>
          <w:t>Vladimír</w:t>
        </w:r>
        <w:r>
          <w:rPr>
            <w:rStyle w:val="Internetovodkaz"/>
            <w:rFonts w:ascii="Calibri" w:hAnsi="Calibri"/>
            <w:b w:val="false"/>
            <w:bCs w:val="false"/>
            <w:i w:val="false"/>
            <w:caps w:val="false"/>
            <w:smallCaps w:val="false"/>
            <w:strike w:val="false"/>
            <w:dstrike w:val="false"/>
            <w:color w:val="000000"/>
            <w:spacing w:val="0"/>
            <w:sz w:val="24"/>
            <w:szCs w:val="24"/>
            <w:u w:val="none"/>
            <w:effect w:val="none"/>
          </w:rPr>
          <w:t xml:space="preserve"> </w:t>
        </w:r>
        <w:r>
          <w:rPr>
            <w:rStyle w:val="Internetovodkaz"/>
            <w:rFonts w:ascii="Calibri" w:hAnsi="Calibri"/>
            <w:b w:val="false"/>
            <w:bCs w:val="false"/>
            <w:i w:val="false"/>
            <w:caps w:val="false"/>
            <w:smallCaps w:val="false"/>
            <w:strike w:val="false"/>
            <w:dstrike w:val="false"/>
            <w:color w:val="000000"/>
            <w:spacing w:val="0"/>
            <w:sz w:val="24"/>
            <w:szCs w:val="24"/>
            <w:u w:val="none"/>
            <w:effect w:val="none"/>
          </w:rPr>
          <w:t>Jenčurák</w:t>
        </w:r>
      </w:hyperlink>
      <w:r>
        <w:rPr>
          <w:rFonts w:ascii="Calibri" w:hAnsi="Calibri"/>
          <w:b w:val="false"/>
          <w:bCs w:val="false"/>
          <w:sz w:val="24"/>
          <w:szCs w:val="24"/>
        </w:rPr>
        <w:br/>
      </w:r>
      <w:r>
        <w:rPr>
          <w:rFonts w:ascii="Calibri" w:hAnsi="Calibri"/>
          <w:b w:val="false"/>
          <w:bCs w:val="false"/>
          <w:i w:val="false"/>
          <w:caps w:val="false"/>
          <w:smallCaps w:val="false"/>
          <w:color w:val="000000"/>
          <w:spacing w:val="0"/>
          <w:sz w:val="24"/>
          <w:szCs w:val="24"/>
        </w:rPr>
        <w:t>Vznik funkcie: 12.01.2021</w:t>
      </w:r>
      <w:r>
        <w:rPr>
          <w:rFonts w:ascii="Calibri" w:hAnsi="Calibri"/>
          <w:b w:val="false"/>
          <w:bCs w:val="false"/>
          <w:sz w:val="24"/>
          <w:szCs w:val="24"/>
        </w:rPr>
        <w:t xml:space="preserve"> 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b/>
          <w:bCs/>
          <w:sz w:val="24"/>
          <w:szCs w:val="24"/>
        </w:rPr>
        <w:t>6. Zákazky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>Hlavným zákazníkom RSP bola Obec Červenica. RSP pre Obec Červenica dodávala stavebné práce na výstavbe materskej školy a práce súvisiace s údržbou obecného bytového fondu (sociálne byty). Z celkového obratu tvoril podiel prác pre Obec Červenica viac ako 95%.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>V rámci gastro programu RSP bola zabezpečovaná strava pre pracovníkov RSP, dôchodcov v obci a v mesiacoch júl a august aj pre návštevníkov Opálových baní Slovensko.</w:t>
      </w:r>
    </w:p>
    <w:p>
      <w:pPr>
        <w:pStyle w:val="Normal"/>
        <w:rPr/>
      </w:pPr>
      <w:r>
        <w:rPr>
          <w:b/>
          <w:bCs/>
          <w:sz w:val="24"/>
          <w:szCs w:val="24"/>
        </w:rPr>
        <w:t>7.Účtovná závierka</w:t>
      </w:r>
    </w:p>
    <w:p>
      <w:pPr>
        <w:pStyle w:val="Normal"/>
        <w:spacing w:before="0" w:after="160"/>
        <w:rPr>
          <w:b w:val="false"/>
          <w:b w:val="false"/>
          <w:bCs w:val="false"/>
          <w:color w:val="000000"/>
        </w:rPr>
      </w:pPr>
      <w:r>
        <w:rPr>
          <w:b w:val="false"/>
          <w:bCs w:val="false"/>
          <w:color w:val="000000"/>
          <w:sz w:val="23"/>
          <w:szCs w:val="24"/>
        </w:rPr>
        <w:t>Spolo</w:t>
      </w:r>
      <w:r>
        <w:rPr>
          <w:b w:val="false"/>
          <w:bCs w:val="false"/>
          <w:color w:val="000000"/>
          <w:sz w:val="23"/>
        </w:rPr>
        <w:t xml:space="preserve">čnosť dosiahla za rok 2021 hospodársky výsledok v podobe straty vo výške  </w:t>
      </w:r>
      <w:r>
        <w:rPr>
          <w:b w:val="false"/>
          <w:bCs w:val="false"/>
          <w:color w:val="000000"/>
          <w:sz w:val="23"/>
        </w:rPr>
        <w:t xml:space="preserve">90 088 </w:t>
      </w:r>
      <w:r>
        <w:rPr>
          <w:b w:val="false"/>
          <w:bCs w:val="false"/>
          <w:color w:val="000000"/>
          <w:sz w:val="23"/>
        </w:rPr>
        <w:t xml:space="preserve">€, čo bolo spôsobené predovšetkým vysokými vstupnými nákladmi na </w:t>
      </w:r>
      <w:r>
        <w:rPr>
          <w:b w:val="false"/>
          <w:bCs w:val="false"/>
          <w:color w:val="000000"/>
          <w:sz w:val="23"/>
        </w:rPr>
        <w:t>rekonštrukciu kuchyne a zakúpenie gastro prívesu.</w:t>
      </w:r>
    </w:p>
    <w:sectPr>
      <w:footerReference w:type="default" r:id="rId3"/>
      <w:type w:val="nextPage"/>
      <w:pgSz w:w="12240" w:h="15840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Sans">
    <w:altName w:val="Arial"/>
    <w:charset w:val="ee"/>
    <w:family w:val="roman"/>
    <w:pitch w:val="variable"/>
  </w:font>
  <w:font w:name="Arial CE">
    <w:altName w:val="Helvetica CE"/>
    <w:charset w:val="ee"/>
    <w:family w:val="auto"/>
    <w:pitch w:val="default"/>
  </w:font>
  <w:font w:name="Calibri">
    <w:charset w:val="01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rFonts w:cs="Open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rFonts w:cs="Open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rFonts w:cs="Open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rFonts w:cs="Open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rFonts w:cs="Open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4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52ec9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a82d50"/>
    <w:rPr>
      <w:sz w:val="20"/>
      <w:szCs w:val="20"/>
      <w:lang w:val="sk-SK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a82d50"/>
    <w:rPr>
      <w:vertAlign w:val="superscript"/>
    </w:rPr>
  </w:style>
  <w:style w:type="character" w:styleId="Internetovodkaz">
    <w:name w:val="Internetový odkaz"/>
    <w:basedOn w:val="DefaultParagraphFont"/>
    <w:uiPriority w:val="99"/>
    <w:semiHidden/>
    <w:unhideWhenUsed/>
    <w:rsid w:val="00a82d50"/>
    <w:rPr>
      <w:color w:val="0000FF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c73b8a"/>
    <w:rPr>
      <w:lang w:val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c73b8a"/>
    <w:rPr>
      <w:lang w:val="sk-SK"/>
    </w:rPr>
  </w:style>
  <w:style w:type="character" w:styleId="Znakyprepoznmkupodiarou">
    <w:name w:val="Znaky pre poznámku pod čiarou"/>
    <w:qFormat/>
    <w:rPr/>
  </w:style>
  <w:style w:type="character" w:styleId="Ukotveniekoncovejpoznmky">
    <w:name w:val="Ukotvenie koncovej poznámky"/>
    <w:rPr>
      <w:vertAlign w:val="superscript"/>
    </w:rPr>
  </w:style>
  <w:style w:type="character" w:styleId="Znakyprekoncovpoznmku">
    <w:name w:val="Znaky pre koncovú poznámku"/>
    <w:qFormat/>
    <w:rPr/>
  </w:style>
  <w:style w:type="character" w:styleId="Odrky">
    <w:name w:val="Odrážky"/>
    <w:qFormat/>
    <w:rPr>
      <w:rFonts w:ascii="OpenSymbol" w:hAnsi="OpenSymbol" w:eastAsia="OpenSymbol" w:cs="OpenSymbol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a82d50"/>
    <w:pPr>
      <w:spacing w:lineRule="auto" w:line="240" w:before="0" w:after="0"/>
    </w:pPr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c73b8a"/>
    <w:pPr>
      <w:tabs>
        <w:tab w:val="clear" w:pos="4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73b8a"/>
    <w:pPr>
      <w:tabs>
        <w:tab w:val="clear" w:pos="4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11c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orsr.sk/hladaj_osoba.asp?PR=Jen%E8ur%E1k&amp;MENO=Vladim%EDr&amp;SID=0&amp;T=f0&amp;R=0" TargetMode="Externa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Application>LibreOffice/6.3.1.2$Windows_x86 LibreOffice_project/b79626edf0065ac373bd1df5c28bd630b4424273</Application>
  <Pages>5</Pages>
  <Words>931</Words>
  <Characters>5610</Characters>
  <CharactersWithSpaces>6438</CharactersWithSpaces>
  <Paragraphs>128</Paragraphs>
  <Company>ATC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2022-06-24T09:17:00Z</dcterms:created>
  <dc:creator>BEDNÁROVÁ Martina</dc:creator>
  <dc:description/>
  <dc:language>sk-SK</dc:language>
  <cp:lastModifiedBy/>
  <dcterms:modified xsi:type="dcterms:W3CDTF">2023-08-14T00:00:48Z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ATC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