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191" w:type="dxa"/>
        <w:tblInd w:w="168" w:type="dxa"/>
        <w:tblCellMar>
          <w:top w:w="49" w:type="dxa"/>
          <w:left w:w="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91"/>
      </w:tblGrid>
      <w:tr w:rsidR="00C478FF">
        <w:trPr>
          <w:trHeight w:val="1148"/>
        </w:trPr>
        <w:tc>
          <w:tcPr>
            <w:tcW w:w="9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101" w:line="259" w:lineRule="auto"/>
              <w:ind w:left="78" w:right="0" w:firstLine="0"/>
              <w:jc w:val="center"/>
            </w:pPr>
            <w:r>
              <w:rPr>
                <w:b/>
                <w:sz w:val="24"/>
              </w:rPr>
              <w:t>POZNÁMKY K ÚČTOVNEJ ZÁVIERKE 2022</w:t>
            </w:r>
            <w:r>
              <w:t xml:space="preserve"> </w:t>
            </w:r>
          </w:p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zostavené podľa Opatrenia č.MF/23378/2014-74 (FS č.12/2014), ktorým sa ustanovujú </w:t>
            </w:r>
          </w:p>
          <w:p w:rsidR="00C478FF" w:rsidRDefault="00581AEF">
            <w:pPr>
              <w:spacing w:after="0" w:line="259" w:lineRule="auto"/>
              <w:ind w:left="838" w:right="0" w:firstLine="0"/>
              <w:jc w:val="left"/>
            </w:pPr>
            <w:r>
              <w:t xml:space="preserve">podrobnosti o individuálnej účtovnej závierke a rozsahu údajov určených z individuálnej účtovnej závierky na zverejnenie  </w:t>
            </w:r>
            <w:r>
              <w:rPr>
                <w:b/>
              </w:rPr>
              <w:t>pre malé účtovné jednotky</w:t>
            </w:r>
            <w:r>
              <w:t xml:space="preserve">   </w:t>
            </w:r>
          </w:p>
        </w:tc>
      </w:tr>
    </w:tbl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pStyle w:val="Nadpis1"/>
      </w:pPr>
      <w:r>
        <w:t>Článok I – VŠEOBECNÉ INFORMÁCIE</w:t>
      </w:r>
      <w:r>
        <w:rPr>
          <w:u w:val="none"/>
        </w:rPr>
        <w:t xml:space="preserve">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"/>
        </w:numPr>
        <w:spacing w:after="0" w:line="270" w:lineRule="auto"/>
        <w:ind w:right="451" w:hanging="211"/>
      </w:pPr>
      <w:r>
        <w:rPr>
          <w:u w:val="single" w:color="000000"/>
        </w:rPr>
        <w:t>Základné informácie o účtovnej jednotke</w:t>
      </w:r>
      <w:r>
        <w:t xml:space="preserve">: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tbl>
      <w:tblPr>
        <w:tblStyle w:val="TableGrid"/>
        <w:tblW w:w="9386" w:type="dxa"/>
        <w:tblInd w:w="24" w:type="dxa"/>
        <w:tblCellMar>
          <w:top w:w="93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578"/>
        <w:gridCol w:w="6808"/>
      </w:tblGrid>
      <w:tr w:rsidR="00C478FF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Lekáreň TERNO, s.r.o. </w:t>
            </w:r>
            <w:r>
              <w:t xml:space="preserve"> </w:t>
            </w:r>
          </w:p>
        </w:tc>
      </w:tr>
      <w:tr w:rsidR="00C478FF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Sídlo: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010 08  Žilina, Vysokoškolákov 33/B  </w:t>
            </w:r>
          </w:p>
        </w:tc>
      </w:tr>
      <w:tr w:rsidR="00C478FF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s ručením obmedzeným  </w:t>
            </w:r>
          </w:p>
        </w:tc>
      </w:tr>
      <w:tr w:rsidR="00C478FF">
        <w:trPr>
          <w:trHeight w:val="339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20.11. 2003.   </w:t>
            </w:r>
          </w:p>
        </w:tc>
      </w:tr>
      <w:tr w:rsidR="00C478FF">
        <w:trPr>
          <w:trHeight w:val="610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Hlavný predmet podnikania: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Lekáreň  </w:t>
            </w:r>
          </w:p>
        </w:tc>
      </w:tr>
      <w:tr w:rsidR="00C478FF">
        <w:trPr>
          <w:trHeight w:val="610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Subjekt verejného záujmu: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</w:pPr>
            <w:r>
              <w:t xml:space="preserve">Spoločnosť Lekáreň TERNO, s.r.o. nie je subjektom verejného záujmu (§ 2/14 ZoU).  </w:t>
            </w:r>
          </w:p>
        </w:tc>
      </w:tr>
      <w:tr w:rsidR="00C478FF">
        <w:trPr>
          <w:trHeight w:val="343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Kalendárny rok 2022 </w:t>
            </w:r>
          </w:p>
        </w:tc>
      </w:tr>
    </w:tbl>
    <w:p w:rsidR="00C478FF" w:rsidRDefault="00581AEF">
      <w:pPr>
        <w:spacing w:after="36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0" w:line="270" w:lineRule="auto"/>
        <w:ind w:left="9" w:right="0"/>
        <w:jc w:val="left"/>
      </w:pPr>
      <w:r>
        <w:rPr>
          <w:u w:val="single" w:color="000000"/>
        </w:rPr>
        <w:t>Test veľkostnej skupiny účtovnej jednotky (2 ZoU)</w:t>
      </w:r>
      <w:r>
        <w:t xml:space="preserve">  </w:t>
      </w:r>
    </w:p>
    <w:p w:rsidR="00C478FF" w:rsidRDefault="00581AEF">
      <w:pPr>
        <w:ind w:left="19" w:right="451"/>
      </w:pPr>
      <w:r>
        <w:t>(Do veľkostnej skupiny mala účtovná jednotka patrí taká, ktorá za dve po sebe idúce účtovné obdobia spĺňa aspoň dve z troch podmienok – suma netto aktív presiahla 350 000 eura, ale nepresiahla 4 000 0</w:t>
      </w:r>
      <w:r>
        <w:t xml:space="preserve">00 eur, čistý obrat presiahol 700 000 eur, ale nepresiahol 8 000 000 eur a priemerný prepočítaný počet zamestnancov počas účtovného obdobia presiahol 10, ale nepresiahol 50).  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573" w:type="dxa"/>
        <w:tblInd w:w="62" w:type="dxa"/>
        <w:tblCellMar>
          <w:top w:w="55" w:type="dxa"/>
          <w:left w:w="108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197"/>
        <w:gridCol w:w="2837"/>
        <w:gridCol w:w="3260"/>
        <w:gridCol w:w="1279"/>
      </w:tblGrid>
      <w:tr w:rsidR="00C478FF">
        <w:trPr>
          <w:trHeight w:val="87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7" w:right="0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478FF" w:rsidRDefault="00581AEF">
            <w:pPr>
              <w:spacing w:after="0" w:line="259" w:lineRule="auto"/>
              <w:ind w:left="0" w:right="80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91" w:firstLine="0"/>
              <w:jc w:val="right"/>
            </w:pPr>
            <w:r>
              <w:rPr>
                <w:b/>
              </w:rPr>
              <w:t xml:space="preserve">Áno/Nie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7870AB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3.019.331,-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82" w:firstLine="0"/>
              <w:jc w:val="center"/>
            </w:pPr>
            <w:r>
              <w:rPr>
                <w:b/>
              </w:rPr>
              <w:t>2.732.788,-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2.620.673,-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82" w:firstLine="0"/>
              <w:jc w:val="center"/>
            </w:pPr>
            <w:r>
              <w:rPr>
                <w:b/>
              </w:rPr>
              <w:t>2.113.865,-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Ano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" w:firstLine="0"/>
              <w:jc w:val="left"/>
            </w:pPr>
            <w:r>
              <w:t xml:space="preserve">Počet zamestnancov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</w:rPr>
              <w:t>10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83" w:firstLine="0"/>
              <w:jc w:val="center"/>
            </w:pPr>
            <w:r>
              <w:rPr>
                <w:b/>
              </w:rPr>
              <w:t>12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  <w:r>
              <w:t xml:space="preserve"> </w:t>
            </w:r>
          </w:p>
        </w:tc>
      </w:tr>
    </w:tbl>
    <w:p w:rsidR="00C478FF" w:rsidRDefault="00581AEF">
      <w:pPr>
        <w:spacing w:after="34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ind w:left="19" w:right="451"/>
      </w:pPr>
      <w:r>
        <w:rPr>
          <w:u w:val="single" w:color="000000"/>
        </w:rPr>
        <w:t>Komentár:</w:t>
      </w:r>
      <w:r>
        <w:t xml:space="preserve"> </w:t>
      </w:r>
      <w:r>
        <w:t xml:space="preserve">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č.MF/23378/2014-74).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b/>
        </w:rPr>
        <w:t>Dátum schválenia účtovnej závierky</w:t>
      </w:r>
      <w:r>
        <w:t xml:space="preserve"> za bezprostredne p</w:t>
      </w:r>
      <w:r>
        <w:t xml:space="preserve">redchádzajúce účtovné obdobie príslušným orgánom účtovnej jednotky: Účtovná závierka spoločnosti bola schválená valným zhromaždením dňa 30.12.2022 </w:t>
      </w:r>
    </w:p>
    <w:p w:rsidR="00C478FF" w:rsidRDefault="00581AEF">
      <w:pPr>
        <w:spacing w:after="133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b/>
        </w:rPr>
        <w:lastRenderedPageBreak/>
        <w:t>Právny dôvod</w:t>
      </w:r>
      <w:r>
        <w:t xml:space="preserve"> na zostavenie účtovnej závierky: Účtovná závierka k 31.12.2021 je zostavená ako riadna účto</w:t>
      </w:r>
      <w:r>
        <w:t xml:space="preserve">vná závierka podľa §17 ods. 6 zákona NR SR č. 431/2002 Z.z. o účtovníctve za účtovné obdobie od 1.1.2 do 31.12.2022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Spoločnosť nie je v konsolidovanom celku.  </w:t>
      </w:r>
    </w:p>
    <w:p w:rsidR="00C478FF" w:rsidRDefault="00581AEF">
      <w:pPr>
        <w:spacing w:after="33" w:line="259" w:lineRule="auto"/>
        <w:ind w:left="37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>Obchodné meno a sídlo účtovnej jednotky, kto</w:t>
      </w:r>
      <w:r>
        <w:t xml:space="preserve">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 skupinu</w:t>
      </w:r>
      <w:r>
        <w:t>, ktorej súčasťou je účtovná jednotka ako dcérska účtovná jednotka (bezprostredne vyšší stupeň konsolidácie), a ktorá je tiež začlenená do skupiny účtovných jednotiek na najvyššom stupni konso</w:t>
      </w:r>
      <w:r>
        <w:t xml:space="preserve">lidácie: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 </w:t>
      </w:r>
    </w:p>
    <w:p w:rsidR="00C478FF" w:rsidRDefault="00581AEF">
      <w:pPr>
        <w:spacing w:after="137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spacing w:after="116"/>
        <w:ind w:right="45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</w:t>
      </w:r>
      <w:r>
        <w:t xml:space="preserve">anú výročnú správu podľa § 22 zákona o účtovníctve, pričom sa uvádzajú: Účtovná jednotka k 31.12.2021 nie je materskou účtovnou jednotkou a nemá povinnosť zostaviť konsolidovanú účtovnú závierku.  </w:t>
      </w:r>
    </w:p>
    <w:p w:rsidR="00C478FF" w:rsidRDefault="00581AEF">
      <w:pPr>
        <w:numPr>
          <w:ilvl w:val="0"/>
          <w:numId w:val="3"/>
        </w:numPr>
        <w:ind w:right="451" w:hanging="202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nemá obsahovú náplň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3"/>
        </w:numPr>
        <w:ind w:right="451" w:hanging="202"/>
      </w:pPr>
      <w:r>
        <w:t>pri oslobodení podľa § 22 ods. 10 a 12 zákona</w:t>
      </w:r>
      <w:r>
        <w:t xml:space="preserve"> o účtovníctve obchodné meno a sídlo dcérskych účtovných jednotiek:    </w:t>
      </w:r>
    </w:p>
    <w:p w:rsidR="00C478FF" w:rsidRDefault="00581AEF">
      <w:pPr>
        <w:spacing w:after="132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70" w:lineRule="auto"/>
        <w:ind w:left="9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tbl>
      <w:tblPr>
        <w:tblStyle w:val="TableGrid"/>
        <w:tblW w:w="9525" w:type="dxa"/>
        <w:tblInd w:w="24" w:type="dxa"/>
        <w:tblCellMar>
          <w:top w:w="5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46"/>
        <w:gridCol w:w="2465"/>
        <w:gridCol w:w="2314"/>
      </w:tblGrid>
      <w:tr w:rsidR="00C478FF">
        <w:trPr>
          <w:trHeight w:val="876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443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počas účtovného obdobia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12,55  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13,83  </w:t>
            </w:r>
          </w:p>
        </w:tc>
      </w:tr>
    </w:tbl>
    <w:p w:rsidR="00C478FF" w:rsidRDefault="00581AEF">
      <w:pPr>
        <w:spacing w:after="17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0" w:line="249" w:lineRule="auto"/>
        <w:ind w:left="2098" w:right="0"/>
      </w:pPr>
      <w:r>
        <w:rPr>
          <w:b/>
        </w:rPr>
        <w:t xml:space="preserve">Článok II – INFORMÁCIE O ORGÁNOCH SPOLOČNOSTI  </w:t>
      </w:r>
    </w:p>
    <w:p w:rsidR="00C478FF" w:rsidRDefault="00581AEF">
      <w:pPr>
        <w:spacing w:after="34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rPr>
          <w:b/>
          <w:u w:val="single" w:color="000000"/>
        </w:rPr>
        <w:t>Informácie o orgánoch účtovnej jednotky</w:t>
      </w:r>
      <w:r>
        <w:t xml:space="preserve"> – </w:t>
      </w:r>
      <w:r>
        <w:t>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</w:t>
      </w:r>
      <w:r>
        <w:t xml:space="preserve">platenej pôžičky, suma odpustenej pôžičky), o použití majetku účtovnej jednotky na súkromné účely; v členení na jednotlivé orgány (informácie sa neuvádzajú vtedy, ak by umožnili identifikáciu finančnej situácie konkrétnej fyzickej osoby):  </w:t>
      </w:r>
    </w:p>
    <w:tbl>
      <w:tblPr>
        <w:tblStyle w:val="TableGrid"/>
        <w:tblW w:w="9491" w:type="dxa"/>
        <w:tblInd w:w="24" w:type="dxa"/>
        <w:tblCellMar>
          <w:top w:w="52" w:type="dxa"/>
          <w:left w:w="10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5957"/>
        <w:gridCol w:w="1685"/>
        <w:gridCol w:w="1849"/>
      </w:tblGrid>
      <w:tr w:rsidR="00C478FF">
        <w:trPr>
          <w:trHeight w:val="1147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89" w:firstLine="0"/>
              <w:jc w:val="center"/>
            </w:pPr>
            <w:r>
              <w:rPr>
                <w:b/>
              </w:rPr>
              <w:lastRenderedPageBreak/>
              <w:t>Orgány účtovnej</w:t>
            </w:r>
            <w:r>
              <w:rPr>
                <w:b/>
              </w:rPr>
              <w:t xml:space="preserve">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" w:right="5" w:firstLine="9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57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Milan Kalman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Milan Kalman </w:t>
            </w:r>
          </w:p>
        </w:tc>
      </w:tr>
      <w:tr w:rsidR="00C478FF">
        <w:trPr>
          <w:trHeight w:val="336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Dozorný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pStyle w:val="Nadpis1"/>
        <w:ind w:right="326"/>
      </w:pPr>
      <w:r>
        <w:t>Článok III – INFORMÁCIE O PRIJATÝCH POSTUPOCH</w:t>
      </w:r>
      <w:r>
        <w:rPr>
          <w:u w:val="none"/>
        </w:rPr>
        <w:t xml:space="preserve">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</w:t>
      </w:r>
      <w:r>
        <w:t>vo svojej činnosti minimálne 12 mesiacov po závierkovom dni v zmysle § 7 ods. 4 zákona o účtovníctve. Ak by tento predpoklad nebol splnený, uvedie sa aj dopad do účtovnej závierky (napr. zrušenie dlhodobých rezerv): Účtovná závierka bola zostavená za predp</w:t>
      </w:r>
      <w:r>
        <w:t xml:space="preserve">okladu, že spoločnosť Lekáreň TERNO, s.r.o. bude nepretržite pokračovať vo svojej činnosti.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>Informácia o aplikácii účtovných zásad a účtovných metód, ktoré sú dôležité na posúdenie majetku, záväzkov, finančnej situácie a výsledku hospodárenia. Inf</w:t>
      </w:r>
      <w:r>
        <w:t xml:space="preserve">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</w:t>
      </w:r>
      <w:r>
        <w:t xml:space="preserve"> </w:t>
      </w:r>
      <w:r>
        <w:rPr>
          <w:u w:val="single" w:color="000000"/>
        </w:rPr>
        <w:t>hodnotu</w:t>
      </w:r>
      <w:r>
        <w:t xml:space="preserve"> majetku, záväzkov, vlastného imania a výsledku hospodárenia. Ak v dôsledku zmeny účtovných zásad a účtovných metód nie sú hodnoty za </w:t>
      </w:r>
      <w:r>
        <w:t>bezprostredne predchádzajúce účtovné obdobie v jednotlivých súčastiach účtovnej závierky porovnateľné, uvádza sa vysvetlenie v neporovnateľných hodnotách: Účtovné metódy a všeobecné účtovné zásady boli účtovnou jednotkou konzistentne aplikované a neboli zm</w:t>
      </w:r>
      <w:r>
        <w:t xml:space="preserve">enené.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</w:t>
      </w:r>
      <w:r>
        <w:t>o prínosov je potrebné na účely posúdenia finančnej situácie účtovnej jednotky (napr. súdne spory, zmluvy, časovo limitované licencie a oprávnenia, podnikové kombinácie, záväzky investovať, dopad legislatívy, celkový pokles v hospodárskom segmente):    Účt</w:t>
      </w:r>
      <w:r>
        <w:t xml:space="preserve">ovná jednotka nemá žiadne významné transakcie , ktoré sa neuvádzajú v súvahe.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spacing w:after="129"/>
        <w:ind w:right="330" w:hanging="708"/>
      </w:pPr>
      <w:r>
        <w:rPr>
          <w:b/>
        </w:rPr>
        <w:t>Spôsob a určenie oceňovania</w:t>
      </w:r>
      <w:r>
        <w:t xml:space="preserve"> majetku a záväzkov (vrátane rozhodujúcich odhadov): a) </w:t>
      </w:r>
    </w:p>
    <w:p w:rsidR="00C478FF" w:rsidRDefault="00581AEF">
      <w:pPr>
        <w:spacing w:after="88"/>
        <w:ind w:left="19" w:right="451"/>
      </w:pPr>
      <w:r>
        <w:t xml:space="preserve">Spôsob oceňovania majetku a záväzkov (§ 25 ZoU):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lastRenderedPageBreak/>
        <w:t xml:space="preserve">  </w:t>
      </w:r>
    </w:p>
    <w:tbl>
      <w:tblPr>
        <w:tblStyle w:val="TableGrid"/>
        <w:tblW w:w="9611" w:type="dxa"/>
        <w:tblInd w:w="24" w:type="dxa"/>
        <w:tblCellMar>
          <w:top w:w="57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06"/>
        <w:gridCol w:w="5304"/>
        <w:gridCol w:w="3601"/>
      </w:tblGrid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Č. </w:t>
            </w:r>
            <w:r>
              <w:t xml:space="preserve">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2.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interne vytvorený: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3.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4.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hmotný majetok externe kúpený: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5.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hmotný majetok interne vytvorený: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6.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7.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8.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9.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33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10.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obstarané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ZV a zákazková výstavba nehnuteľnosti určenej na predaj: </w:t>
            </w:r>
            <w:r>
              <w:t xml:space="preserve">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12.1.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Vlastné pohľadávky: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12.2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Kúpené pohľadávky: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13.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14.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Časové rozlíšenie na strane aktív súvahy: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15.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Záväzky, vrátane rezerv, dlhopisov, pôžičiek a úverov: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16.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Časové rozlíšenie na strane pasív súvahy: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17.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Deriváty: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18.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Majetok a záväzky zabezpečené derivátmi: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60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19.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</w:pPr>
            <w:r>
              <w:t xml:space="preserve">Prenajatý majetok a majetok obstaraný na základe zmluvy o kúpe prenajatej veci: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20.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Splatná daň z príjmov a odložená daň z príjmov: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</w:tbl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5"/>
        </w:numPr>
        <w:spacing w:after="120"/>
        <w:ind w:right="451" w:hanging="211"/>
      </w:pPr>
      <w:r>
        <w:t xml:space="preserve">Trvalé zníženie hodnoty majetku nebolo účtované. Prechodné zníženie hodnoty majetku je zaúčtované formou opravnej položky stanovené odborným odhadom bonity klienta.   </w:t>
      </w:r>
    </w:p>
    <w:p w:rsidR="00C478FF" w:rsidRDefault="00581AEF">
      <w:pPr>
        <w:numPr>
          <w:ilvl w:val="0"/>
          <w:numId w:val="5"/>
        </w:numPr>
        <w:spacing w:after="121"/>
        <w:ind w:right="451" w:hanging="211"/>
      </w:pPr>
      <w:r>
        <w:t>Záväzky účtovná jednotka ocenila menovitou hodnotou záväzkov. Rezervy účtovná jednotka o</w:t>
      </w:r>
      <w:r>
        <w:t xml:space="preserve">cenila odborným odhadom budúcej menovitej hodnoty potrebnej na ich úhradu.   </w:t>
      </w:r>
    </w:p>
    <w:p w:rsidR="00C478FF" w:rsidRDefault="00581AEF">
      <w:pPr>
        <w:numPr>
          <w:ilvl w:val="0"/>
          <w:numId w:val="5"/>
        </w:numPr>
        <w:spacing w:after="123"/>
        <w:ind w:right="45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 </w:t>
      </w:r>
    </w:p>
    <w:p w:rsidR="00C478FF" w:rsidRDefault="00581AEF">
      <w:pPr>
        <w:numPr>
          <w:ilvl w:val="0"/>
          <w:numId w:val="5"/>
        </w:numPr>
        <w:spacing w:after="120"/>
        <w:ind w:right="45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</w:t>
      </w:r>
      <w:r>
        <w:t xml:space="preserve">pri oceňovaní obstarávacou cenou alebo vlastnými nákladmi:  </w:t>
      </w:r>
    </w:p>
    <w:p w:rsidR="00C478FF" w:rsidRDefault="00581AEF">
      <w:pPr>
        <w:spacing w:after="161" w:line="270" w:lineRule="auto"/>
        <w:ind w:left="9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 </w:t>
      </w:r>
    </w:p>
    <w:p w:rsidR="00C478FF" w:rsidRDefault="00581AEF">
      <w:pPr>
        <w:numPr>
          <w:ilvl w:val="0"/>
          <w:numId w:val="6"/>
        </w:numPr>
        <w:spacing w:after="159"/>
        <w:ind w:right="451" w:hanging="228"/>
      </w:pPr>
      <w:r>
        <w:rPr>
          <w:u w:val="single" w:color="000000"/>
        </w:rPr>
        <w:lastRenderedPageBreak/>
        <w:t>Finančné nástroje</w:t>
      </w:r>
      <w:r>
        <w:t xml:space="preserve"> definuje § 5 zákona č.566/2001 Z.z. o cenných papieroch v znení neskorších predpisov – sú to napr. cenné papiere (akcie, dlhopisy, d</w:t>
      </w:r>
      <w:r>
        <w:t xml:space="preserve">očasné listy), deriváty (opcie, futures, swapy, forwardy), nástroje peňažného trhu (pokladničné poukážky, vkladové listy).  </w:t>
      </w:r>
    </w:p>
    <w:p w:rsidR="00C478FF" w:rsidRDefault="00581AEF">
      <w:pPr>
        <w:numPr>
          <w:ilvl w:val="0"/>
          <w:numId w:val="6"/>
        </w:numPr>
        <w:spacing w:after="159"/>
        <w:ind w:right="451" w:hanging="228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</w:t>
      </w:r>
      <w:r>
        <w:t xml:space="preserve">.  </w:t>
      </w:r>
    </w:p>
    <w:p w:rsidR="00C478FF" w:rsidRDefault="00581AEF">
      <w:pPr>
        <w:numPr>
          <w:ilvl w:val="0"/>
          <w:numId w:val="6"/>
        </w:numPr>
        <w:spacing w:after="156"/>
        <w:ind w:right="451" w:hanging="228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>metódu odúročenia</w:t>
      </w:r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 </w:t>
      </w:r>
    </w:p>
    <w:p w:rsidR="00C478FF" w:rsidRDefault="00581AEF">
      <w:pPr>
        <w:numPr>
          <w:ilvl w:val="0"/>
          <w:numId w:val="6"/>
        </w:numPr>
        <w:ind w:right="451" w:hanging="228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</w:t>
      </w:r>
      <w:r>
        <w:t xml:space="preserve">úcich záväzkov.  </w:t>
      </w:r>
    </w:p>
    <w:p w:rsidR="00C478FF" w:rsidRDefault="00581AEF">
      <w:pPr>
        <w:numPr>
          <w:ilvl w:val="0"/>
          <w:numId w:val="6"/>
        </w:numPr>
        <w:spacing w:after="157"/>
        <w:ind w:right="451" w:hanging="228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 </w:t>
      </w:r>
    </w:p>
    <w:p w:rsidR="00C478FF" w:rsidRDefault="00581AEF">
      <w:pPr>
        <w:numPr>
          <w:ilvl w:val="0"/>
          <w:numId w:val="6"/>
        </w:numPr>
        <w:spacing w:after="157"/>
        <w:ind w:right="451" w:hanging="228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</w:t>
      </w:r>
      <w:r>
        <w:t xml:space="preserve"> </w:t>
      </w:r>
      <w:r>
        <w:rPr>
          <w:u w:val="single" w:color="000000"/>
        </w:rPr>
        <w:t>aritmetický</w:t>
      </w:r>
      <w:r>
        <w:rPr>
          <w:u w:val="single" w:color="000000"/>
        </w:rPr>
        <w:t xml:space="preserve"> priemer</w:t>
      </w:r>
      <w:r>
        <w:t xml:space="preserve"> (§ 25/5 ZoU; § 22/1 PU).  </w:t>
      </w:r>
    </w:p>
    <w:p w:rsidR="00C478FF" w:rsidRDefault="00581AEF">
      <w:pPr>
        <w:numPr>
          <w:ilvl w:val="0"/>
          <w:numId w:val="6"/>
        </w:numPr>
        <w:spacing w:after="161"/>
        <w:ind w:right="451" w:hanging="228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 </w:t>
      </w:r>
    </w:p>
    <w:p w:rsidR="00C478FF" w:rsidRDefault="00581AEF">
      <w:pPr>
        <w:numPr>
          <w:ilvl w:val="0"/>
          <w:numId w:val="6"/>
        </w:numPr>
        <w:ind w:right="451" w:hanging="228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</w:t>
      </w:r>
      <w:r>
        <w:t xml:space="preserve"> </w:t>
      </w:r>
      <w:r>
        <w:rPr>
          <w:u w:val="single" w:color="000000"/>
        </w:rPr>
        <w:t>pravidlo</w:t>
      </w:r>
      <w:r>
        <w:t xml:space="preserve"> (D-1), teda kurz zo dňa predchádzajúceho dňu účtovného prípadu (§ 24/2/a; § 24/6 ZoU).</w:t>
      </w:r>
      <w:r>
        <w:rPr>
          <w:b/>
        </w:rPr>
        <w:t xml:space="preserve">  </w:t>
      </w:r>
      <w:r>
        <w:t xml:space="preserve"> </w:t>
      </w:r>
    </w:p>
    <w:p w:rsidR="00C478FF" w:rsidRDefault="00581AEF">
      <w:pPr>
        <w:numPr>
          <w:ilvl w:val="0"/>
          <w:numId w:val="7"/>
        </w:numPr>
        <w:ind w:right="451" w:hanging="70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</w:t>
      </w:r>
      <w:r>
        <w:t xml:space="preserve"> </w:t>
      </w:r>
    </w:p>
    <w:p w:rsidR="00C478FF" w:rsidRDefault="00581AEF">
      <w:pPr>
        <w:spacing w:after="103"/>
        <w:ind w:left="185" w:right="451"/>
      </w:pPr>
      <w:r>
        <w:rPr>
          <w:u w:val="single" w:color="000000"/>
        </w:rPr>
        <w:t>imania</w:t>
      </w:r>
      <w:r>
        <w:t xml:space="preserve"> (§ 27/9 ZoU).  </w:t>
      </w:r>
    </w:p>
    <w:p w:rsidR="00C478FF" w:rsidRDefault="00581AEF">
      <w:pPr>
        <w:spacing w:after="14" w:line="259" w:lineRule="auto"/>
        <w:ind w:left="14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7"/>
        </w:numPr>
        <w:spacing w:after="36" w:line="259" w:lineRule="auto"/>
        <w:ind w:right="451" w:hanging="708"/>
      </w:pPr>
      <w:r>
        <w:rPr>
          <w:b/>
          <w:i/>
        </w:rPr>
        <w:t>Tvorba odpisového plánu</w:t>
      </w:r>
      <w:r>
        <w:rPr>
          <w:i/>
        </w:rPr>
        <w:t xml:space="preserve"> pre dlhodo</w:t>
      </w:r>
      <w:r>
        <w:rPr>
          <w:i/>
        </w:rPr>
        <w:t xml:space="preserve">bý majetok, pričom sa uvádza doba odpisovania, </w:t>
      </w:r>
    </w:p>
    <w:p w:rsidR="00C478FF" w:rsidRDefault="00581AEF">
      <w:pPr>
        <w:spacing w:after="0" w:line="259" w:lineRule="auto"/>
        <w:ind w:left="185" w:right="443"/>
      </w:pPr>
      <w:r>
        <w:rPr>
          <w:i/>
        </w:rPr>
        <w:t xml:space="preserve">sadzby odpisov a odpisové metódy pre účtovné odpisy: </w:t>
      </w:r>
      <w:r>
        <w:t xml:space="preserve"> </w:t>
      </w:r>
    </w:p>
    <w:tbl>
      <w:tblPr>
        <w:tblStyle w:val="TableGrid"/>
        <w:tblW w:w="9491" w:type="dxa"/>
        <w:tblInd w:w="24" w:type="dxa"/>
        <w:tblCellMar>
          <w:top w:w="55" w:type="dxa"/>
          <w:left w:w="1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143"/>
        <w:gridCol w:w="1027"/>
        <w:gridCol w:w="2088"/>
        <w:gridCol w:w="2233"/>
      </w:tblGrid>
      <w:tr w:rsidR="00C478FF">
        <w:trPr>
          <w:trHeight w:val="87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33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číslo </w:t>
            </w:r>
            <w:r>
              <w:t xml:space="preserve"> </w:t>
            </w:r>
          </w:p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</w:rPr>
              <w:t xml:space="preserve">účtu </w:t>
            </w:r>
            <w: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7" w:firstLine="0"/>
              <w:jc w:val="center"/>
            </w:pPr>
            <w:r>
              <w:rPr>
                <w:b/>
              </w:rPr>
              <w:t xml:space="preserve">doba </w:t>
            </w:r>
          </w:p>
          <w:p w:rsidR="00C478FF" w:rsidRDefault="00581AEF">
            <w:pPr>
              <w:spacing w:after="37" w:line="259" w:lineRule="auto"/>
              <w:ind w:left="0" w:right="117" w:firstLine="0"/>
              <w:jc w:val="center"/>
            </w:pPr>
            <w:r>
              <w:rPr>
                <w:b/>
              </w:rPr>
              <w:t xml:space="preserve">odpisovania </w:t>
            </w:r>
          </w:p>
          <w:p w:rsidR="00C478FF" w:rsidRDefault="00581AEF">
            <w:pPr>
              <w:spacing w:after="0" w:line="259" w:lineRule="auto"/>
              <w:ind w:left="0" w:right="119" w:firstLine="0"/>
              <w:jc w:val="center"/>
            </w:pPr>
            <w:r>
              <w:rPr>
                <w:b/>
              </w:rPr>
              <w:t xml:space="preserve">(počet rokov) </w:t>
            </w:r>
            <w:r>
              <w:t xml:space="preserve">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odpisová sadzba  (%)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Software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013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10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10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019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48" w:right="0" w:firstLine="0"/>
              <w:jc w:val="left"/>
            </w:pPr>
            <w:r>
              <w:t xml:space="preserve">jednorazový odpis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100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Stavby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021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20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5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021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40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2,5  </w:t>
            </w:r>
          </w:p>
        </w:tc>
      </w:tr>
      <w:tr w:rsidR="00C478FF">
        <w:trPr>
          <w:trHeight w:val="332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022.002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4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25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022.003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4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25  </w:t>
            </w:r>
          </w:p>
        </w:tc>
      </w:tr>
      <w:tr w:rsidR="00C478FF">
        <w:trPr>
          <w:trHeight w:val="329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Nábytok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6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4" w:firstLine="0"/>
              <w:jc w:val="center"/>
            </w:pPr>
            <w:r>
              <w:t xml:space="preserve">16,66  </w:t>
            </w:r>
          </w:p>
        </w:tc>
      </w:tr>
      <w:tr w:rsidR="00C478FF">
        <w:trPr>
          <w:trHeight w:val="334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Pozemky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031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5" w:firstLine="0"/>
              <w:jc w:val="center"/>
            </w:pPr>
            <w:r>
              <w:t xml:space="preserve">neodpisovaný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64" w:right="0" w:firstLine="0"/>
              <w:jc w:val="center"/>
            </w:pPr>
            <w:r>
              <w:t xml:space="preserve">  </w:t>
            </w:r>
          </w:p>
        </w:tc>
      </w:tr>
    </w:tbl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161" w:line="270" w:lineRule="auto"/>
        <w:ind w:left="9" w:right="0"/>
        <w:jc w:val="left"/>
      </w:pPr>
      <w:r>
        <w:rPr>
          <w:u w:val="single" w:color="000000"/>
        </w:rPr>
        <w:t>Komentár k odpisovému plánu</w:t>
      </w:r>
      <w:r>
        <w:t xml:space="preserve">:   </w:t>
      </w:r>
    </w:p>
    <w:p w:rsidR="00C478FF" w:rsidRDefault="00581AEF">
      <w:pPr>
        <w:numPr>
          <w:ilvl w:val="0"/>
          <w:numId w:val="8"/>
        </w:numPr>
        <w:spacing w:after="160"/>
        <w:ind w:right="451" w:hanging="360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</w:t>
      </w:r>
      <w:r>
        <w:lastRenderedPageBreak/>
        <w:t>používania majetku. Dlhodobý nehmotný majetok s</w:t>
      </w:r>
      <w:r>
        <w:t xml:space="preserve">a odpisuje počas 10 rokov od jeho obstarania.  </w:t>
      </w:r>
    </w:p>
    <w:p w:rsidR="00C478FF" w:rsidRDefault="00581AEF">
      <w:pPr>
        <w:numPr>
          <w:ilvl w:val="0"/>
          <w:numId w:val="8"/>
        </w:numPr>
        <w:spacing w:after="161"/>
        <w:ind w:right="451" w:hanging="360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Chemat (taktiež daň</w:t>
      </w:r>
      <w:r>
        <w:t xml:space="preserve">ové odpisy podľa zákona o dani z príjmov).  </w:t>
      </w:r>
    </w:p>
    <w:p w:rsidR="00C478FF" w:rsidRDefault="00581AEF">
      <w:pPr>
        <w:numPr>
          <w:ilvl w:val="0"/>
          <w:numId w:val="8"/>
        </w:numPr>
        <w:spacing w:after="164"/>
        <w:ind w:right="451" w:hanging="360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 </w:t>
      </w:r>
    </w:p>
    <w:p w:rsidR="00C478FF" w:rsidRDefault="00581AEF">
      <w:pPr>
        <w:numPr>
          <w:ilvl w:val="0"/>
          <w:numId w:val="8"/>
        </w:numPr>
        <w:spacing w:after="156"/>
        <w:ind w:right="451" w:hanging="360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 </w:t>
      </w:r>
    </w:p>
    <w:p w:rsidR="00C478FF" w:rsidRDefault="00581AEF">
      <w:pPr>
        <w:numPr>
          <w:ilvl w:val="0"/>
          <w:numId w:val="8"/>
        </w:numPr>
        <w:spacing w:after="157"/>
        <w:ind w:right="451" w:hanging="360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 </w:t>
      </w:r>
    </w:p>
    <w:p w:rsidR="00C478FF" w:rsidRDefault="00581AEF">
      <w:pPr>
        <w:numPr>
          <w:ilvl w:val="0"/>
          <w:numId w:val="8"/>
        </w:numPr>
        <w:spacing w:after="160"/>
        <w:ind w:right="451" w:hanging="360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 </w:t>
      </w:r>
    </w:p>
    <w:p w:rsidR="00C478FF" w:rsidRDefault="00581AEF">
      <w:pPr>
        <w:numPr>
          <w:ilvl w:val="0"/>
          <w:numId w:val="8"/>
        </w:numPr>
        <w:spacing w:after="159"/>
        <w:ind w:right="451" w:hanging="360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</w:t>
      </w:r>
      <w:r>
        <w:t xml:space="preserve">ické zhodnotenie pod 1 700 eur za účtovné obdobie (§ 21/3 PU; § 29/2 ZDP).  </w:t>
      </w:r>
    </w:p>
    <w:p w:rsidR="00C478FF" w:rsidRDefault="00581AEF">
      <w:pPr>
        <w:numPr>
          <w:ilvl w:val="0"/>
          <w:numId w:val="8"/>
        </w:numPr>
        <w:spacing w:after="82"/>
        <w:ind w:right="451" w:hanging="360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2" w:line="259" w:lineRule="auto"/>
        <w:ind w:left="9" w:right="443"/>
      </w:pPr>
      <w:r>
        <w:rPr>
          <w:i/>
        </w:rPr>
        <w:t>h) In</w:t>
      </w:r>
      <w:r>
        <w:rPr>
          <w:i/>
        </w:rPr>
        <w:t xml:space="preserve">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</w:t>
      </w:r>
    </w:p>
    <w:p w:rsidR="00C478FF" w:rsidRDefault="00581AEF">
      <w:pPr>
        <w:spacing w:after="96" w:line="259" w:lineRule="auto"/>
        <w:ind w:left="9" w:right="443"/>
      </w:pPr>
      <w:r>
        <w:rPr>
          <w:i/>
        </w:rPr>
        <w:t xml:space="preserve">majetku a ich ocenenie: Spoločnosť Lekáreň TERNO, s.r.o. má dotáciu na zamestnanca. </w:t>
      </w:r>
      <w:r>
        <w:t xml:space="preserve">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rPr>
          <w:i/>
        </w:rPr>
        <w:t xml:space="preserve"> </w:t>
      </w:r>
      <w:r>
        <w:t xml:space="preserve"> </w:t>
      </w:r>
    </w:p>
    <w:p w:rsidR="00C478FF" w:rsidRDefault="00581AEF">
      <w:pPr>
        <w:spacing w:after="0" w:line="259" w:lineRule="auto"/>
        <w:ind w:left="9" w:right="443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</w:t>
      </w:r>
      <w:r>
        <w:rPr>
          <w:i/>
        </w:rPr>
        <w:t xml:space="preserve">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</w:rPr>
        <w:t xml:space="preserve">s uvedením sumy vplyvu na výsledok hospodárenia bežného účtovného obdobia: </w:t>
      </w:r>
      <w:r>
        <w:rPr>
          <w:b/>
          <w:i/>
        </w:rPr>
        <w:t xml:space="preserve"> </w:t>
      </w:r>
      <w:r>
        <w:t xml:space="preserve"> </w:t>
      </w:r>
    </w:p>
    <w:tbl>
      <w:tblPr>
        <w:tblStyle w:val="TableGrid"/>
        <w:tblW w:w="9383" w:type="dxa"/>
        <w:tblInd w:w="24" w:type="dxa"/>
        <w:tblCellMar>
          <w:top w:w="55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1010"/>
        <w:gridCol w:w="1070"/>
        <w:gridCol w:w="1872"/>
        <w:gridCol w:w="2444"/>
      </w:tblGrid>
      <w:tr w:rsidR="00C478FF">
        <w:trPr>
          <w:trHeight w:val="602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  <w:r>
              <w:t xml:space="preserve">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  Suma </w:t>
            </w:r>
            <w: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478FF" w:rsidRDefault="00581AEF">
            <w:pPr>
              <w:spacing w:after="0" w:line="259" w:lineRule="auto"/>
              <w:ind w:left="2" w:right="0" w:firstLine="0"/>
            </w:pPr>
            <w:r>
              <w:rPr>
                <w:b/>
              </w:rPr>
              <w:t xml:space="preserve">MD/DAL 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</w:rPr>
              <w:t xml:space="preserve">Vplyv na výsledok </w:t>
            </w:r>
            <w:r>
              <w:t xml:space="preserve">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Vplyv na vlastné imanie </w:t>
            </w:r>
            <w:r>
              <w:t xml:space="preserve"> </w:t>
            </w:r>
          </w:p>
        </w:tc>
      </w:tr>
      <w:tr w:rsidR="00C478FF">
        <w:trPr>
          <w:trHeight w:val="444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0 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0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t xml:space="preserve">0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439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41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63" w:line="270" w:lineRule="auto"/>
        <w:ind w:left="9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 </w:t>
      </w:r>
    </w:p>
    <w:p w:rsidR="00C478FF" w:rsidRDefault="00581AEF">
      <w:pPr>
        <w:numPr>
          <w:ilvl w:val="0"/>
          <w:numId w:val="9"/>
        </w:numPr>
        <w:spacing w:after="162"/>
        <w:ind w:right="451" w:hanging="228"/>
      </w:pPr>
      <w:r>
        <w:t xml:space="preserve">Po schválení účtovnej závierky na valnom zhromaždení už nemožno otvárať účtovné knihy minulých účtovných období a prípadné opravy sa vykonajú v bežnom účtovnom období (§ 16/10,11 ZoU).  </w:t>
      </w:r>
    </w:p>
    <w:p w:rsidR="00C478FF" w:rsidRDefault="00581AEF">
      <w:pPr>
        <w:numPr>
          <w:ilvl w:val="0"/>
          <w:numId w:val="9"/>
        </w:numPr>
        <w:spacing w:after="159"/>
        <w:ind w:right="451" w:hanging="228"/>
      </w:pPr>
      <w:r>
        <w:t xml:space="preserve">Opravy nevýznamných nákladov a nevýznamných výnosov minulých účtovných období sa účtujú ako výsledkové účtovné prípady bežného účtovného obdobia (§ 5/1 PU).    </w:t>
      </w:r>
    </w:p>
    <w:p w:rsidR="00C478FF" w:rsidRDefault="00581AEF">
      <w:pPr>
        <w:numPr>
          <w:ilvl w:val="0"/>
          <w:numId w:val="9"/>
        </w:numPr>
        <w:spacing w:after="156"/>
        <w:ind w:right="451" w:hanging="228"/>
      </w:pPr>
      <w:r>
        <w:lastRenderedPageBreak/>
        <w:t xml:space="preserve">Významné opravy chýb minulých účtovných období sa účtujú (§ 59/13 PU) - voči minulým výsledkom </w:t>
      </w:r>
      <w:r>
        <w:t xml:space="preserve">hospodárenia (voči vlastnému imaniu na účet 428 alebo 429).   </w:t>
      </w:r>
    </w:p>
    <w:p w:rsidR="00C478FF" w:rsidRDefault="00581AEF">
      <w:pPr>
        <w:numPr>
          <w:ilvl w:val="0"/>
          <w:numId w:val="9"/>
        </w:numPr>
        <w:spacing w:after="155"/>
        <w:ind w:right="451" w:hanging="228"/>
      </w:pPr>
      <w:r>
        <w:t xml:space="preserve">Hranicu významnosti si UJ stanoví individuálne v internej účtovnej smernici (napr. 1 tisícina z brutto aktív).  </w:t>
      </w:r>
    </w:p>
    <w:p w:rsidR="00C478FF" w:rsidRDefault="00581AEF">
      <w:pPr>
        <w:numPr>
          <w:ilvl w:val="0"/>
          <w:numId w:val="9"/>
        </w:numPr>
        <w:spacing w:after="157"/>
        <w:ind w:right="451" w:hanging="228"/>
      </w:pPr>
      <w:r>
        <w:t>Pri ukladaní pokuty za nesprávnosti v účtovníctve prihliadne daňový úrad aj na t</w:t>
      </w:r>
      <w:r>
        <w:t xml:space="preserve">o, či UJ písomne ohlásila obsah a sumu vykonanej opravy chýb minulých účtovných období (§ 38/5 ZoU).  </w:t>
      </w:r>
    </w:p>
    <w:p w:rsidR="00C478FF" w:rsidRDefault="00581AEF">
      <w:pPr>
        <w:numPr>
          <w:ilvl w:val="0"/>
          <w:numId w:val="9"/>
        </w:numPr>
        <w:spacing w:after="82"/>
        <w:ind w:right="451" w:hanging="228"/>
      </w:pPr>
      <w:r>
        <w:t>Opravy chýb minulých účtovných období sa daňovo vysporiadajú podľa pravidiel v zákone o dani z príjmov (§ 17/15,29 ZDP) a pravidiel v daňovom poriadku (§</w:t>
      </w:r>
      <w:r>
        <w:t xml:space="preserve"> 16). 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94" w:lineRule="auto"/>
        <w:ind w:left="718" w:right="0" w:firstLine="0"/>
        <w:jc w:val="left"/>
      </w:pPr>
      <w:r>
        <w:rPr>
          <w:b/>
          <w:u w:val="single" w:color="000000"/>
        </w:rPr>
        <w:t>Článok IV – INFORMÁCIE, KTORÉ VYSVETĽUJÚ A DOPĹŇAJÚ SÚVAHU A VÝKAZ</w:t>
      </w:r>
      <w:r>
        <w:rPr>
          <w:b/>
        </w:rPr>
        <w:t xml:space="preserve"> </w:t>
      </w:r>
      <w:r>
        <w:rPr>
          <w:b/>
          <w:u w:val="single" w:color="000000"/>
        </w:rPr>
        <w:t>ZISKOV A STRÁT</w:t>
      </w:r>
      <w:r>
        <w:t xml:space="preserve">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>dôvod jeho vzniku, spôsob výpočtu a prehodnotenie opodstatnenosti jeho výšky a odpi</w:t>
      </w:r>
      <w:r>
        <w:t xml:space="preserve">su jeho hodnoty: Účtovná jednotka nemá obsahovú náplň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[Vysvetlivky: Záporný goodwill sa účtovne odpíše do výnosov (075/551) jednorázovo v roku jeho vzniku (§ 37 PU). Daňovo sa goodwill z podnikových kombinácií spravidla odpisuje najdlhšie počas </w:t>
      </w:r>
    </w:p>
    <w:p w:rsidR="00C478FF" w:rsidRDefault="00581AEF">
      <w:pPr>
        <w:ind w:left="19" w:right="451"/>
      </w:pPr>
      <w:r>
        <w:t>7 rok</w:t>
      </w:r>
      <w:r>
        <w:t xml:space="preserve">ov podľa pravidiel v zákone o dani z príjmov (§ 17/11; § 17a - 17e ZDP)]  </w:t>
      </w:r>
    </w:p>
    <w:p w:rsidR="00C478FF" w:rsidRDefault="00581AEF">
      <w:pPr>
        <w:spacing w:after="98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86" w:line="270" w:lineRule="auto"/>
        <w:ind w:left="9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</w:t>
      </w:r>
      <w:r>
        <w:t xml:space="preserve"> </w:t>
      </w:r>
      <w:r>
        <w:rPr>
          <w:u w:val="single" w:color="000000"/>
        </w:rPr>
        <w:t>16 PU):</w:t>
      </w:r>
      <w:r>
        <w:t xml:space="preserve"> Účtovná jednotka nemá obsahovú náplň  </w:t>
      </w:r>
    </w:p>
    <w:p w:rsidR="00C478FF" w:rsidRDefault="00581AEF">
      <w:pPr>
        <w:spacing w:after="9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Pritom sa uvádza forma tohto zabezpečenia a uvádza sa zmena reálnej hodnoty v priebehu účtovného obdobia (§ 27 ZoU). Pre každý druh derivátov sa uvádza informácia o rozsahu a povahe týchto derivátov vrátane významných podmienok, ktoré môžu ovplyvniť sumu, </w:t>
      </w:r>
      <w:r>
        <w:t xml:space="preserve">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386" w:type="dxa"/>
        <w:tblInd w:w="24" w:type="dxa"/>
        <w:tblCellMar>
          <w:top w:w="55" w:type="dxa"/>
          <w:left w:w="0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3570"/>
        <w:gridCol w:w="1109"/>
        <w:gridCol w:w="1109"/>
        <w:gridCol w:w="1805"/>
        <w:gridCol w:w="1793"/>
      </w:tblGrid>
      <w:tr w:rsidR="00C478FF">
        <w:trPr>
          <w:trHeight w:val="605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  Suma </w:t>
            </w: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</w:pPr>
            <w:r>
              <w:rPr>
                <w:b/>
              </w:rPr>
              <w:t xml:space="preserve"> MD/DAL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hanging="132"/>
              <w:jc w:val="left"/>
            </w:pPr>
            <w:r>
              <w:t xml:space="preserve"> </w:t>
            </w:r>
            <w:r>
              <w:rPr>
                <w:b/>
              </w:rPr>
              <w:t xml:space="preserve">Vplyv na výsledok </w:t>
            </w: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</w:rPr>
              <w:t xml:space="preserve">Vplyv na imanie </w:t>
            </w:r>
            <w:r>
              <w:t xml:space="preserve"> </w:t>
            </w:r>
          </w:p>
        </w:tc>
      </w:tr>
      <w:tr w:rsidR="00C478FF">
        <w:trPr>
          <w:trHeight w:val="439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44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84"/>
        <w:ind w:left="19" w:right="451"/>
      </w:pPr>
      <w:r>
        <w:rPr>
          <w:u w:val="single" w:color="000000"/>
        </w:rPr>
        <w:t>Komentár</w:t>
      </w:r>
      <w:r>
        <w:t>: Prvotné ocenenie reálnou hodnotou (§ 25 ZoU) počas účtovného obdobia – bez náplne.  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</w:t>
      </w:r>
      <w:r>
        <w:t xml:space="preserve">sa k závierkovému dňu oceňujú, okrem iného, aj deriváty a majetok a záväzky zabezpečené derivátmi (§ 27/1 ZoU); precenenie na reálnu hodnotu k závierkovému dňu sa účtuje (§ 16 PU) - výsledkovo (účty 56x, 66x) alebo súvahovo (účet 414)].  </w:t>
      </w:r>
    </w:p>
    <w:p w:rsidR="00C478FF" w:rsidRDefault="00581AEF">
      <w:pPr>
        <w:spacing w:after="134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70" w:lineRule="auto"/>
        <w:ind w:left="9" w:right="0"/>
        <w:jc w:val="left"/>
      </w:pPr>
      <w:r>
        <w:t>3a) Celková su</w:t>
      </w:r>
      <w:r>
        <w:t xml:space="preserve">ma </w:t>
      </w:r>
      <w:r>
        <w:rPr>
          <w:u w:val="single" w:color="000000"/>
        </w:rPr>
        <w:t>záväzkov so zostatkovou dobou splatnosti dlhšou ako 5 rokov</w:t>
      </w:r>
      <w:r>
        <w:t xml:space="preserve">:    </w:t>
      </w:r>
    </w:p>
    <w:tbl>
      <w:tblPr>
        <w:tblStyle w:val="TableGrid"/>
        <w:tblW w:w="9491" w:type="dxa"/>
        <w:tblInd w:w="24" w:type="dxa"/>
        <w:tblCellMar>
          <w:top w:w="55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4678"/>
        <w:gridCol w:w="2492"/>
        <w:gridCol w:w="2321"/>
      </w:tblGrid>
      <w:tr w:rsidR="00C478FF">
        <w:trPr>
          <w:trHeight w:val="87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Záväzky so zostatkovou dobou splatnosti nad 5 rokov 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C478FF" w:rsidRDefault="00581AEF">
      <w:pPr>
        <w:spacing w:after="82"/>
        <w:ind w:left="19" w:right="0"/>
      </w:pPr>
      <w:r>
        <w:t xml:space="preserve">[Vysvetlivky: Zostatková doba splatnosti záväzku alebo jeho časti – je rozdiel medzi dohodnutou dobou splatnosti záväzkov a závierkovým dňom (§ 12 PU).]  </w:t>
      </w:r>
    </w:p>
    <w:p w:rsidR="00C478FF" w:rsidRDefault="00581AEF">
      <w:pPr>
        <w:spacing w:after="3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83"/>
        <w:ind w:left="19" w:right="45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 </w:t>
      </w:r>
    </w:p>
    <w:p w:rsidR="00C478FF" w:rsidRDefault="00581AEF">
      <w:pPr>
        <w:spacing w:after="82"/>
        <w:ind w:left="19" w:right="0"/>
      </w:pPr>
      <w:r>
        <w:t>Spoločnosť dňa 7</w:t>
      </w:r>
      <w:r>
        <w:t xml:space="preserve">.4.2016 zriadila záložné právo na všetky pohľadávky do výšky 140.000 € v prospech dodávateľa Phoenix Zdravotnícke zásobovanie, a.s., IČO: 34142941  </w:t>
      </w:r>
    </w:p>
    <w:p w:rsidR="00C478FF" w:rsidRDefault="00581AEF">
      <w:pPr>
        <w:spacing w:after="112"/>
        <w:ind w:left="19" w:right="451"/>
      </w:pPr>
      <w:r>
        <w:t>Spoločnosť dňa 24.07.2017 zriadila záložné právo na všetky pohľadávky do výšky 130.000 € v prospech dodávat</w:t>
      </w:r>
      <w:r>
        <w:t xml:space="preserve">eľa  </w:t>
      </w:r>
    </w:p>
    <w:p w:rsidR="00C478FF" w:rsidRDefault="00581AEF">
      <w:pPr>
        <w:ind w:left="19" w:right="451"/>
      </w:pPr>
      <w:r>
        <w:t xml:space="preserve">UNIPHARMA – 1. slovenská lekárnická akciová spoločnosť, IČO: 31625657  </w:t>
      </w:r>
    </w:p>
    <w:tbl>
      <w:tblPr>
        <w:tblStyle w:val="TableGrid"/>
        <w:tblW w:w="9491" w:type="dxa"/>
        <w:tblInd w:w="24" w:type="dxa"/>
        <w:tblCellMar>
          <w:top w:w="57" w:type="dxa"/>
          <w:left w:w="70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4330"/>
        <w:gridCol w:w="2789"/>
        <w:gridCol w:w="2372"/>
      </w:tblGrid>
      <w:tr w:rsidR="00C478FF">
        <w:trPr>
          <w:trHeight w:val="331"/>
        </w:trPr>
        <w:tc>
          <w:tcPr>
            <w:tcW w:w="4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Zabezpečené záväzky </w:t>
            </w:r>
            <w:r>
              <w:t xml:space="preserve"> </w:t>
            </w:r>
          </w:p>
        </w:tc>
        <w:tc>
          <w:tcPr>
            <w:tcW w:w="5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</w:tr>
      <w:tr w:rsidR="00C478FF">
        <w:trPr>
          <w:trHeight w:val="6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478FF" w:rsidRDefault="00C478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62" w:right="5" w:firstLine="0"/>
              <w:jc w:val="center"/>
            </w:pPr>
            <w:r>
              <w:rPr>
                <w:b/>
              </w:rPr>
              <w:t xml:space="preserve">Spôsob  zabezpečenia </w:t>
            </w: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121" w:firstLine="0"/>
              <w:jc w:val="right"/>
            </w:pPr>
            <w:r>
              <w:rPr>
                <w:b/>
              </w:rPr>
              <w:t xml:space="preserve">Hodnota záväzkov </w:t>
            </w:r>
            <w:r>
              <w:t xml:space="preserve"> </w:t>
            </w:r>
          </w:p>
        </w:tc>
      </w:tr>
      <w:tr w:rsidR="00C478FF">
        <w:trPr>
          <w:trHeight w:val="449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záložným právom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2" w:right="0" w:firstLine="0"/>
              <w:jc w:val="center"/>
            </w:pPr>
            <w:r>
              <w:t xml:space="preserve">záložné právo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270 000,-  </w:t>
            </w:r>
          </w:p>
        </w:tc>
      </w:tr>
      <w:tr w:rsidR="00C478FF">
        <w:trPr>
          <w:trHeight w:val="446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iným spôsobom 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02" w:right="0" w:firstLine="0"/>
              <w:jc w:val="center"/>
            </w:pPr>
            <w: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605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  <w:r>
              <w:t xml:space="preserve">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3" w:right="0" w:firstLine="0"/>
              <w:jc w:val="center"/>
            </w:pPr>
            <w:r>
              <w:t xml:space="preserve">x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</w:tbl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21" w:line="270" w:lineRule="auto"/>
        <w:ind w:left="9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 </w:t>
      </w:r>
    </w:p>
    <w:p w:rsidR="00C478FF" w:rsidRDefault="00581AEF">
      <w:pPr>
        <w:spacing w:after="83"/>
        <w:ind w:left="19" w:right="451"/>
      </w:pPr>
      <w:r>
        <w:t xml:space="preserve">a) dôvod nadobudnutia vlastných akcií počas účtovného obdobia:  </w:t>
      </w:r>
    </w:p>
    <w:p w:rsidR="00C478FF" w:rsidRDefault="00581AEF">
      <w:pPr>
        <w:spacing w:after="86"/>
        <w:ind w:left="19" w:right="451"/>
      </w:pPr>
      <w:r>
        <w:t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Účt</w:t>
      </w:r>
      <w:r>
        <w:t xml:space="preserve">ovná jednotka nemá obsahovú náplň.  </w:t>
      </w:r>
    </w:p>
    <w:p w:rsidR="00C478FF" w:rsidRDefault="00581AEF">
      <w:pPr>
        <w:spacing w:after="82"/>
        <w:ind w:left="19" w:right="451"/>
      </w:pPr>
      <w:r>
        <w:t>b2) počet a protihodnota, za ktorú sa vlastné akcie počas účtovného obdobia nadobudli a počet a protihodnota, za ktorú sa vlastné akcie počas účtovného obdobia previedli na inú osobu: Účtovná jednotka nemá obsahovú nápl</w:t>
      </w:r>
      <w:r>
        <w:t xml:space="preserve">ň.  </w:t>
      </w:r>
    </w:p>
    <w:p w:rsidR="00C478FF" w:rsidRDefault="00581AEF">
      <w:pPr>
        <w:ind w:left="19" w:right="4"/>
      </w:pPr>
      <w:r>
        <w:t>c) počet, menovitá hodnota a protihodnota, za ktorú sa vlastné akcie nadobudli a ktoré účtovná jednotka má v držbe k poslednému dňu účtovného obdobia; uvádza sa aj ich percentuálny podiel na upísanom základnom imaní: Účtovná jednotka nemá obsahovú náp</w:t>
      </w:r>
      <w:r>
        <w:t xml:space="preserve">lň.  </w:t>
      </w:r>
    </w:p>
    <w:p w:rsidR="00C478FF" w:rsidRDefault="00581AEF">
      <w:pPr>
        <w:spacing w:after="96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ind w:left="19" w:right="45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</w:t>
      </w:r>
      <w:r>
        <w:t xml:space="preserve">(napr. výnosy z predaja podniku alebo jeho časti, náklady z dôvodu predaja podniku alebo jeho časti, škody z dôvodu živelných pohrôm): Účtovná jednotka nemá obsahovú náplň.  </w:t>
      </w:r>
    </w:p>
    <w:p w:rsidR="00C478FF" w:rsidRDefault="00581AEF">
      <w:pPr>
        <w:spacing w:after="134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spacing w:after="133"/>
        <w:ind w:left="16"/>
      </w:pPr>
      <w:r>
        <w:t xml:space="preserve">Článok V – INFORMÁCIE O INÝCH AKTÍVACH A INÝCH PASÍVACH  </w:t>
      </w:r>
    </w:p>
    <w:p w:rsidR="00C478FF" w:rsidRDefault="00581AEF">
      <w:pPr>
        <w:ind w:left="19" w:right="451"/>
      </w:pPr>
      <w:r>
        <w:t xml:space="preserve">1a) </w:t>
      </w:r>
      <w:r>
        <w:rPr>
          <w:b/>
          <w:u w:val="single" w:color="000000"/>
        </w:rPr>
        <w:t>Podmienený majet</w:t>
      </w:r>
      <w:r>
        <w:rPr>
          <w:b/>
          <w:u w:val="single" w:color="000000"/>
        </w:rPr>
        <w:t>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</w:t>
      </w:r>
      <w:r>
        <w:t xml:space="preserve">ých vznik </w:t>
      </w:r>
      <w:r>
        <w:lastRenderedPageBreak/>
        <w:t xml:space="preserve">nezávisí od účtovnej jednotky; týmto majetkom sú – napr. práva zo servisných zmlúv, poistných zmlúv, koncesionárskych zmlúv, licenčných zmlúv: Účtovná jednotka nemá obsahovú 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60"/>
        <w:ind w:left="19" w:right="45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</w:t>
      </w:r>
      <w:r>
        <w:t xml:space="preserve">v vyplývajúcich napr. zo súdnych rozhodnutí, z poskytnutých záruk, zo všeobecne záväzných právnych predpisov, z ručenia podľa jednotlivých druhov ručenia; takými podmienenými záväzkami sú: Účtovná jednotka nemá obsahovú náplň.  </w:t>
      </w:r>
    </w:p>
    <w:p w:rsidR="00C478FF" w:rsidRDefault="00581AEF">
      <w:pPr>
        <w:numPr>
          <w:ilvl w:val="0"/>
          <w:numId w:val="10"/>
        </w:numPr>
        <w:spacing w:after="161"/>
        <w:ind w:right="451" w:hanging="228"/>
      </w:pPr>
      <w:r>
        <w:t>možná povinnosť, ktorá vzni</w:t>
      </w:r>
      <w:r>
        <w:t xml:space="preserve">kla ako dôsledok minulej udalosti a ktorej existencia závisí od toho, či nastane lebo nenastane jedna alebo viac neistých udalostí v budúcnosti, ktorých vznik nezávisí od účtovnej jednotky: Účtovná jednotka nemá obsahovú náplň.  </w:t>
      </w:r>
    </w:p>
    <w:p w:rsidR="00C478FF" w:rsidRDefault="00581AEF">
      <w:pPr>
        <w:numPr>
          <w:ilvl w:val="0"/>
          <w:numId w:val="10"/>
        </w:numPr>
        <w:ind w:right="451" w:hanging="228"/>
      </w:pPr>
      <w:r>
        <w:t>povinnosť, ktorá vznikla a</w:t>
      </w:r>
      <w:r>
        <w:t xml:space="preserve">ko dôsledok minulej udalosti, ale ktorá sa nevykazuje v súvahe, pretože nie je pravdepodobné, že na splnenie tejto povinnosti bude potrebný úbytok ekonomických úžitkov, alebo výška tejto povinnosti sa nedá spoľahlivo oceniť: Účtovná jednotka nemá obsahovú </w:t>
      </w:r>
      <w:r>
        <w:t xml:space="preserve">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1"/>
        </w:numPr>
        <w:ind w:right="45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Účtovná jednotka nemá obsahovú 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1"/>
        </w:numPr>
        <w:ind w:right="451"/>
      </w:pPr>
      <w:r>
        <w:rPr>
          <w:b/>
          <w:u w:val="single" w:color="000000"/>
        </w:rPr>
        <w:t>Podsú</w:t>
      </w:r>
      <w:r>
        <w:rPr>
          <w:b/>
          <w:u w:val="single" w:color="000000"/>
        </w:rPr>
        <w:t>vahové účty</w:t>
      </w:r>
      <w:r>
        <w:t xml:space="preserve"> – uvádzajú sa informácie o významných položkách sledovaných na podsúvahových účtoch (§ 85 PU):  </w:t>
      </w:r>
    </w:p>
    <w:tbl>
      <w:tblPr>
        <w:tblStyle w:val="TableGrid"/>
        <w:tblW w:w="9386" w:type="dxa"/>
        <w:tblInd w:w="79" w:type="dxa"/>
        <w:tblCellMar>
          <w:top w:w="55" w:type="dxa"/>
          <w:left w:w="106" w:type="dxa"/>
          <w:bottom w:w="0" w:type="dxa"/>
          <w:right w:w="4" w:type="dxa"/>
        </w:tblCellMar>
        <w:tblLook w:val="04A0" w:firstRow="1" w:lastRow="0" w:firstColumn="1" w:lastColumn="0" w:noHBand="0" w:noVBand="1"/>
      </w:tblPr>
      <w:tblGrid>
        <w:gridCol w:w="5884"/>
        <w:gridCol w:w="1668"/>
        <w:gridCol w:w="1834"/>
      </w:tblGrid>
      <w:tr w:rsidR="00C478FF">
        <w:trPr>
          <w:trHeight w:val="1150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Názov podsúvahovej položky </w:t>
            </w:r>
            <w:r>
              <w:t xml:space="preserve">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" w:right="3" w:firstLine="9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336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32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29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</w:tbl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6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ind w:left="16" w:right="7"/>
      </w:pPr>
      <w:r>
        <w:t xml:space="preserve">Článok VI – UDALOSTI, KTORÉ NASTALI PO ZÁVIERKOVOM DNI (Následné udalosti) 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0" w:line="249" w:lineRule="auto"/>
        <w:ind w:left="9" w:right="0"/>
      </w:pPr>
      <w:r>
        <w:rPr>
          <w:b/>
        </w:rPr>
        <w:t>Po 31. decembri 2020 nenastali udalosti majúce významný vplyv na verné zobrazenie skutočností. V čase zverejnenia tejto účtovnej závierky spoločnosť nezaznamenala zreteľný pokles predaja vplyvom koronavírusu. Nakoľko sa však situácia stále mení, nie je mož</w:t>
      </w:r>
      <w:r>
        <w:rPr>
          <w:b/>
        </w:rPr>
        <w:t xml:space="preserve">né predvídať budúce dopady. Manažment bude pokračovať v monitorovaní potencionálneho dopadu a podnikne všetky možné kroky na zmiernenie akýchkoľvek negatívnych účinkov na spoločnosť a jej zamestnancov. </w:t>
      </w:r>
      <w:r>
        <w:t xml:space="preserve">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119"/>
        <w:ind w:left="19" w:right="451"/>
      </w:pPr>
      <w:r>
        <w:t>Uvádzajú sa informácie o charaktere a finančnom v</w:t>
      </w:r>
      <w:r>
        <w:t xml:space="preserve">plyve významných udalostí, ktoré nastali v čase po závierkovom dni - do dňa zostavenia účtovnej závierky (t.j. do dňa podpísania výkazov podľa § </w:t>
      </w:r>
      <w:r>
        <w:lastRenderedPageBreak/>
        <w:t>17/5 ZoU) a ktoré nie sú zohľadnené v súvahe alebo vo výkaze ziskov a strát, napríklad: Účtovná jednotka nemá o</w:t>
      </w:r>
      <w:r>
        <w:t xml:space="preserve">bsahovú náplň.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Účtovná jednotka nemá obsahovú </w:t>
      </w:r>
      <w:r>
        <w:t xml:space="preserve">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>Zmena spoločníkov účtovnej je</w:t>
      </w:r>
      <w:r>
        <w:t xml:space="preserve">dnotky: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Prijaté rozhodnutia o predaji účtovnej jednotky alebo jej časti: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Zmeny významných položiek dlhodobého finančného majetku: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Začatie alebo ukončenie činnosti časti účtovnej jednotky, napríklad odštepného závodu, organizačnej zložky, prevádzkarne: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Vydané dlhopisy a iné cenné papiere: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Zlúčenie, splynutie, rozdelenie a zmena právnej formy účtovnej jednotky: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Mimoriadne udalosti, ak majú vplyv na hospodárenie účtovnej jednotky, napr. živelná pohroma: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>Získ</w:t>
      </w:r>
      <w:r>
        <w:t xml:space="preserve">anie alebo odobratie licencií alebo iných povolení významných pre činnosť účtovnej </w:t>
      </w:r>
    </w:p>
    <w:p w:rsidR="00C478FF" w:rsidRDefault="00581AEF">
      <w:pPr>
        <w:ind w:left="236" w:right="451"/>
      </w:pPr>
      <w:r>
        <w:t xml:space="preserve">jednotky: Účtovná jednotka nemá obsahovú náplň.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</w:t>
      </w:r>
      <w:r>
        <w:t xml:space="preserve">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  <w:r>
        <w:t xml:space="preserve">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35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ind w:left="16" w:right="4"/>
      </w:pPr>
      <w:r>
        <w:t xml:space="preserve">Článok VII – OSTATNÉ INFORMÁCIE  </w:t>
      </w:r>
    </w:p>
    <w:p w:rsidR="00C478FF" w:rsidRDefault="00581AEF">
      <w:pPr>
        <w:spacing w:after="37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3"/>
        </w:numPr>
        <w:spacing w:after="118"/>
        <w:ind w:right="451" w:hanging="211"/>
      </w:pPr>
      <w:r>
        <w:t xml:space="preserve">Informácie o výlučnom práve poskytovať služby vo verejnom záujme:žiadne  </w:t>
      </w:r>
    </w:p>
    <w:p w:rsidR="00C478FF" w:rsidRDefault="00581AEF">
      <w:pPr>
        <w:numPr>
          <w:ilvl w:val="0"/>
          <w:numId w:val="13"/>
        </w:numPr>
        <w:spacing w:after="121"/>
        <w:ind w:right="451" w:hanging="211"/>
      </w:pPr>
      <w:r>
        <w:t xml:space="preserve">Informácie o osobitnej kategórii priemyselnej výroby (§ 23d/6 ZoU):žiadne  </w:t>
      </w:r>
    </w:p>
    <w:p w:rsidR="00C478FF" w:rsidRDefault="00581AEF">
      <w:pPr>
        <w:numPr>
          <w:ilvl w:val="0"/>
          <w:numId w:val="13"/>
        </w:numPr>
        <w:ind w:right="451" w:hanging="211"/>
      </w:pPr>
      <w:r>
        <w:t xml:space="preserve">Informácie o finančných vzťahoch s orgánmi verejnej moci (§ 23d/6 ZoU):žiadne  </w:t>
      </w:r>
    </w:p>
    <w:sectPr w:rsidR="00C478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63" w:right="515" w:bottom="1480" w:left="1402" w:header="566" w:footer="58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AEF" w:rsidRDefault="00581AEF">
      <w:pPr>
        <w:spacing w:after="0" w:line="240" w:lineRule="auto"/>
      </w:pPr>
      <w:r>
        <w:separator/>
      </w:r>
    </w:p>
  </w:endnote>
  <w:endnote w:type="continuationSeparator" w:id="0">
    <w:p w:rsidR="00581AEF" w:rsidRDefault="00581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7870AB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AEF" w:rsidRDefault="00581AEF">
      <w:pPr>
        <w:spacing w:after="0" w:line="240" w:lineRule="auto"/>
      </w:pPr>
      <w:r>
        <w:separator/>
      </w:r>
    </w:p>
  </w:footnote>
  <w:footnote w:type="continuationSeparator" w:id="0">
    <w:p w:rsidR="00581AEF" w:rsidRDefault="00581A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>Poznámky Úč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>Poznámky Úč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>Poznámky Úč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A74AD"/>
    <w:multiLevelType w:val="hybridMultilevel"/>
    <w:tmpl w:val="BF046EBE"/>
    <w:lvl w:ilvl="0" w:tplc="DC7C1AD8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02AD00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CC3FF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A277B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025BE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C8BF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0AD882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CDB64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636699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595DE2"/>
    <w:multiLevelType w:val="hybridMultilevel"/>
    <w:tmpl w:val="C06C601A"/>
    <w:lvl w:ilvl="0" w:tplc="2270664E">
      <w:start w:val="1"/>
      <w:numFmt w:val="decimal"/>
      <w:lvlText w:val="%1."/>
      <w:lvlJc w:val="left"/>
      <w:pPr>
        <w:ind w:left="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2048B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BEBFF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C65366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700EB8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BE2A2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90D140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D6A272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7E033E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89168B"/>
    <w:multiLevelType w:val="hybridMultilevel"/>
    <w:tmpl w:val="F738B814"/>
    <w:lvl w:ilvl="0" w:tplc="552A8D18">
      <w:start w:val="1"/>
      <w:numFmt w:val="bullet"/>
      <w:lvlText w:val=""/>
      <w:lvlJc w:val="left"/>
      <w:pPr>
        <w:ind w:left="2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3C3EBC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D403DC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0D0CE32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5093AA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6292C4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4FEA0C2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6C1146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20728E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382097"/>
    <w:multiLevelType w:val="hybridMultilevel"/>
    <w:tmpl w:val="1008538E"/>
    <w:lvl w:ilvl="0" w:tplc="00DC6FCA">
      <w:start w:val="1"/>
      <w:numFmt w:val="bullet"/>
      <w:lvlText w:val=""/>
      <w:lvlJc w:val="left"/>
      <w:pPr>
        <w:ind w:left="36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62FF86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485D60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B62B84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C8A322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6A3016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86400A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D0D93C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9463B4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7403FFB"/>
    <w:multiLevelType w:val="hybridMultilevel"/>
    <w:tmpl w:val="9C96D7CC"/>
    <w:lvl w:ilvl="0" w:tplc="2E829EC6">
      <w:start w:val="1"/>
      <w:numFmt w:val="decimal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298C17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D0D4A8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7CC13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26CB8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ECCE14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F656A4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905ED2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C1A6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0B53E5"/>
    <w:multiLevelType w:val="hybridMultilevel"/>
    <w:tmpl w:val="75AA6100"/>
    <w:lvl w:ilvl="0" w:tplc="D828036E">
      <w:start w:val="1"/>
      <w:numFmt w:val="lowerLetter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940992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90D972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3307476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C2F554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4C70E2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02C977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F68B7E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88FCB0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E2B1B07"/>
    <w:multiLevelType w:val="hybridMultilevel"/>
    <w:tmpl w:val="32A69600"/>
    <w:lvl w:ilvl="0" w:tplc="2640D7FA">
      <w:start w:val="2"/>
      <w:numFmt w:val="lowerLetter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CE65BC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EECFC8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D4261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CEC166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EAADEBE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F665A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DCADD4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9C6554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A761FC"/>
    <w:multiLevelType w:val="hybridMultilevel"/>
    <w:tmpl w:val="B3BA5BDC"/>
    <w:lvl w:ilvl="0" w:tplc="992824EE">
      <w:start w:val="1"/>
      <w:numFmt w:val="decimal"/>
      <w:lvlText w:val="%1.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E84A3C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BE594E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EECE9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96DE70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E4E138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F032A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E88CC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EBE7E8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BC7398"/>
    <w:multiLevelType w:val="hybridMultilevel"/>
    <w:tmpl w:val="9E6C030A"/>
    <w:lvl w:ilvl="0" w:tplc="D7A4595A">
      <w:start w:val="1"/>
      <w:numFmt w:val="decimal"/>
      <w:lvlText w:val="%1)"/>
      <w:lvlJc w:val="left"/>
      <w:pPr>
        <w:ind w:left="7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7A650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AA63D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2239A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8E80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B44B1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B24EE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32C60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0EF9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6FE107F"/>
    <w:multiLevelType w:val="hybridMultilevel"/>
    <w:tmpl w:val="26B2E176"/>
    <w:lvl w:ilvl="0" w:tplc="29FAD8D6">
      <w:start w:val="1"/>
      <w:numFmt w:val="bullet"/>
      <w:lvlText w:val=""/>
      <w:lvlJc w:val="left"/>
      <w:pPr>
        <w:ind w:left="2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DCB05E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0AAA54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FA0B18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AA241A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16523E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509E7C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1E2876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CEE188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7FA5F3C"/>
    <w:multiLevelType w:val="hybridMultilevel"/>
    <w:tmpl w:val="76C25B40"/>
    <w:lvl w:ilvl="0" w:tplc="07FCA8C4">
      <w:start w:val="6"/>
      <w:numFmt w:val="lowerLetter"/>
      <w:lvlText w:val="%1)"/>
      <w:lvlJc w:val="left"/>
      <w:pPr>
        <w:ind w:left="7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8ADF04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C11A0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43C8F5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742EC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4C86EE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CF4B482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845BF8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20D768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F644951"/>
    <w:multiLevelType w:val="hybridMultilevel"/>
    <w:tmpl w:val="F53A510E"/>
    <w:lvl w:ilvl="0" w:tplc="0F020064">
      <w:start w:val="2"/>
      <w:numFmt w:val="decimal"/>
      <w:lvlText w:val="%1)"/>
      <w:lvlJc w:val="left"/>
      <w:pPr>
        <w:ind w:left="1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40990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6A2C5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F4B704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FA4B3A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2DA5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B6A484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8A9CFA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24468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6883848"/>
    <w:multiLevelType w:val="hybridMultilevel"/>
    <w:tmpl w:val="D4C050C2"/>
    <w:lvl w:ilvl="0" w:tplc="741EFC58">
      <w:start w:val="1"/>
      <w:numFmt w:val="decimal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46C1C2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7EE6B2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4676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2C89B4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FAAE9E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74066C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96771A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84031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8"/>
  </w:num>
  <w:num w:numId="5">
    <w:abstractNumId w:val="6"/>
  </w:num>
  <w:num w:numId="6">
    <w:abstractNumId w:val="9"/>
  </w:num>
  <w:num w:numId="7">
    <w:abstractNumId w:val="10"/>
  </w:num>
  <w:num w:numId="8">
    <w:abstractNumId w:val="3"/>
  </w:num>
  <w:num w:numId="9">
    <w:abstractNumId w:val="2"/>
  </w:num>
  <w:num w:numId="10">
    <w:abstractNumId w:val="1"/>
  </w:num>
  <w:num w:numId="11">
    <w:abstractNumId w:val="11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8FF"/>
    <w:rsid w:val="00581AEF"/>
    <w:rsid w:val="007870AB"/>
    <w:rsid w:val="00C4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B98655-BAD7-4C69-B81B-981E001FE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5" w:lineRule="auto"/>
      <w:ind w:left="10" w:right="463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"/>
      <w:ind w:left="10" w:right="466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"/>
      <w:ind w:left="2098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3389</Words>
  <Characters>19320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cp:lastModifiedBy>Konto Microsoft</cp:lastModifiedBy>
  <cp:revision>3</cp:revision>
  <dcterms:created xsi:type="dcterms:W3CDTF">2023-08-18T08:15:00Z</dcterms:created>
  <dcterms:modified xsi:type="dcterms:W3CDTF">2023-08-18T08:15:00Z</dcterms:modified>
</cp:coreProperties>
</file>