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434" w:rsidRPr="001A7EAE" w:rsidRDefault="00894434" w:rsidP="001A7EAE">
      <w:pPr>
        <w:pBdr>
          <w:bottom w:val="single" w:sz="8" w:space="2" w:color="000000"/>
        </w:pBdr>
        <w:jc w:val="center"/>
        <w:rPr>
          <w:rFonts w:ascii="Times New Roman" w:hAnsi="Times New Roman"/>
          <w:b/>
          <w:sz w:val="44"/>
          <w:szCs w:val="44"/>
        </w:rPr>
      </w:pPr>
      <w:r w:rsidRPr="001A7EAE">
        <w:rPr>
          <w:rFonts w:ascii="Times New Roman" w:hAnsi="Times New Roman"/>
          <w:b/>
          <w:sz w:val="44"/>
          <w:szCs w:val="44"/>
        </w:rPr>
        <w:t>Obec Danišovce</w:t>
      </w:r>
    </w:p>
    <w:p w:rsidR="00894434" w:rsidRPr="001A7EAE" w:rsidRDefault="00894434" w:rsidP="001A7EAE">
      <w:pPr>
        <w:pBdr>
          <w:bottom w:val="single" w:sz="8" w:space="2" w:color="000000"/>
        </w:pBdr>
        <w:jc w:val="center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z w:val="44"/>
          <w:szCs w:val="44"/>
        </w:rPr>
        <w:t>Danišovce 33, 053 22 Odorín</w:t>
      </w: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>Konsolidovaná</w:t>
      </w: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73580C" w:rsidP="001A7EAE">
      <w:pPr>
        <w:ind w:left="709" w:firstLine="709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>v</w:t>
      </w:r>
      <w:r w:rsidR="00894434" w:rsidRPr="001A7EAE">
        <w:rPr>
          <w:rFonts w:ascii="Times New Roman" w:hAnsi="Times New Roman"/>
          <w:b/>
          <w:shadow/>
          <w:sz w:val="44"/>
          <w:szCs w:val="44"/>
        </w:rPr>
        <w:t>ýročná  správa Obce Danišovce</w:t>
      </w:r>
    </w:p>
    <w:p w:rsidR="00894434" w:rsidRPr="001A7EAE" w:rsidRDefault="00894434" w:rsidP="001A7EAE">
      <w:pPr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 xml:space="preserve">       </w:t>
      </w:r>
      <w:r w:rsidR="00456776" w:rsidRPr="001A7EAE">
        <w:rPr>
          <w:rFonts w:ascii="Times New Roman" w:hAnsi="Times New Roman"/>
          <w:b/>
          <w:shadow/>
          <w:sz w:val="44"/>
          <w:szCs w:val="44"/>
        </w:rPr>
        <w:t xml:space="preserve">                     za rok </w:t>
      </w:r>
      <w:r w:rsidR="008238F6" w:rsidRPr="001A7EAE">
        <w:rPr>
          <w:rFonts w:ascii="Times New Roman" w:hAnsi="Times New Roman"/>
          <w:b/>
          <w:shadow/>
          <w:sz w:val="44"/>
          <w:szCs w:val="44"/>
        </w:rPr>
        <w:t>2022</w:t>
      </w:r>
    </w:p>
    <w:p w:rsidR="0073580C" w:rsidRPr="001A7EAE" w:rsidRDefault="0073580C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  <w:r w:rsidRPr="001A7EAE">
        <w:rPr>
          <w:rFonts w:ascii="Times New Roman" w:hAnsi="Times New Roman"/>
          <w:b/>
          <w:shadow/>
          <w:sz w:val="44"/>
          <w:szCs w:val="44"/>
        </w:rPr>
        <w:t>(uvádza údaje z individuálnej výročne správy)</w:t>
      </w:r>
    </w:p>
    <w:p w:rsidR="0073580C" w:rsidRPr="001A7EAE" w:rsidRDefault="0073580C" w:rsidP="001A7EAE">
      <w:pPr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b/>
          <w:shadow/>
          <w:sz w:val="44"/>
          <w:szCs w:val="44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C21B0E" w:rsidRPr="001A7EAE" w:rsidRDefault="00C21B0E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jc w:val="center"/>
        <w:rPr>
          <w:rFonts w:ascii="Times New Roman" w:hAnsi="Times New Roman"/>
          <w:shadow/>
          <w:sz w:val="22"/>
          <w:szCs w:val="22"/>
        </w:rPr>
      </w:pPr>
    </w:p>
    <w:p w:rsidR="00894434" w:rsidRPr="001A7EAE" w:rsidRDefault="00894434" w:rsidP="001A7EAE">
      <w:pPr>
        <w:rPr>
          <w:rFonts w:ascii="Times New Roman" w:hAnsi="Times New Roman"/>
          <w:sz w:val="36"/>
          <w:szCs w:val="36"/>
        </w:rPr>
      </w:pPr>
      <w:r w:rsidRPr="001A7EAE">
        <w:rPr>
          <w:rFonts w:ascii="Times New Roman" w:hAnsi="Times New Roman"/>
          <w:sz w:val="36"/>
          <w:szCs w:val="36"/>
        </w:rPr>
        <w:t>Obecný úrad Danišovce</w:t>
      </w:r>
      <w:r w:rsidRPr="001A7EAE">
        <w:rPr>
          <w:rFonts w:ascii="Times New Roman" w:hAnsi="Times New Roman"/>
          <w:sz w:val="36"/>
          <w:szCs w:val="36"/>
        </w:rPr>
        <w:tab/>
      </w:r>
    </w:p>
    <w:p w:rsidR="00894434" w:rsidRPr="001A7EAE" w:rsidRDefault="00894434" w:rsidP="001A7EAE">
      <w:pPr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rPr>
          <w:rFonts w:ascii="Times New Roman" w:hAnsi="Times New Roman"/>
          <w:sz w:val="22"/>
          <w:szCs w:val="22"/>
        </w:rPr>
      </w:pPr>
    </w:p>
    <w:p w:rsidR="0064361B" w:rsidRPr="001A7EAE" w:rsidRDefault="00736630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Úvodné slovo starostu obce</w:t>
      </w:r>
      <w:r w:rsidR="0064361B" w:rsidRPr="001A7EAE">
        <w:rPr>
          <w:rFonts w:ascii="Times New Roman" w:hAnsi="Times New Roman"/>
          <w:b/>
          <w:sz w:val="22"/>
          <w:szCs w:val="22"/>
        </w:rPr>
        <w:t xml:space="preserve"> :</w:t>
      </w:r>
    </w:p>
    <w:p w:rsidR="0064361B" w:rsidRPr="001A7EAE" w:rsidRDefault="0064361B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:rsidR="006E4AF4" w:rsidRPr="001A7EAE" w:rsidRDefault="006E4AF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Vážení spoluobčania ! </w:t>
      </w:r>
    </w:p>
    <w:p w:rsidR="006E4AF4" w:rsidRPr="001A7EAE" w:rsidRDefault="006E4AF4" w:rsidP="001A7EAE">
      <w:pPr>
        <w:ind w:firstLine="708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Výročná správa, ktorú Vám predkladám, poskytuje reálny pohľad na činnosť obce a dosiahnuté výsledky v roku </w:t>
      </w:r>
      <w:r w:rsidR="008238F6" w:rsidRPr="001A7EAE">
        <w:rPr>
          <w:rFonts w:ascii="Times New Roman" w:hAnsi="Times New Roman"/>
          <w:sz w:val="22"/>
          <w:szCs w:val="22"/>
        </w:rPr>
        <w:t>2022</w:t>
      </w:r>
      <w:r w:rsidRPr="001A7EAE">
        <w:rPr>
          <w:rFonts w:ascii="Times New Roman" w:hAnsi="Times New Roman"/>
          <w:sz w:val="22"/>
          <w:szCs w:val="22"/>
        </w:rPr>
        <w:t xml:space="preserve"> V sledovanom roku sme sa snažili plniť všetky úlohy, ktoré nám vyplývajú z ustanovení zákona č. 369/1990 Zb. o obecnom zriadení v </w:t>
      </w:r>
      <w:proofErr w:type="spellStart"/>
      <w:r w:rsidRPr="001A7EAE">
        <w:rPr>
          <w:rFonts w:ascii="Times New Roman" w:hAnsi="Times New Roman"/>
          <w:sz w:val="22"/>
          <w:szCs w:val="22"/>
        </w:rPr>
        <w:t>z.n.p</w:t>
      </w:r>
      <w:proofErr w:type="spellEnd"/>
      <w:r w:rsidRPr="001A7EAE">
        <w:rPr>
          <w:rFonts w:ascii="Times New Roman" w:hAnsi="Times New Roman"/>
          <w:sz w:val="22"/>
          <w:szCs w:val="22"/>
        </w:rPr>
        <w:t>. Ide o činnosti vykonávané v rámci samosprávnych kompetencií, originálnych kompetencií a kompetencií v rámci preneseného výkonu štátnej správy. Našou snahou bolo zabezpečenie potrieb v prospech občanov obce pri dodržiavaní rozpočtových pravidiel.</w:t>
      </w:r>
    </w:p>
    <w:p w:rsidR="008238F6" w:rsidRPr="001A7EAE" w:rsidRDefault="001A7EAE" w:rsidP="001A7EAE">
      <w:pPr>
        <w:ind w:firstLine="708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Rok 2022 bol do značnej časti ovplyvnený pandémiou, energetickou krízou a s ňou spojenou infláciou. Ďalšou situáciou, ktorá ovplyvňovala ekonomický aj spoločenský život v krajine a tiež náladu v spoločnosti bolo vypuknutie ozbrojeného konfliktu na Ukrajine. Do našej krajiny prichádzali tisíce odídencov a tomu sa prispôsobovali aktivity obcí a miest v rámci preneseného výkonu štátnej správy.</w:t>
      </w:r>
    </w:p>
    <w:p w:rsidR="006E4AF4" w:rsidRPr="001A7EAE" w:rsidRDefault="008238F6" w:rsidP="001A7EAE">
      <w:pPr>
        <w:ind w:firstLine="708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Krízy ovplyvnili</w:t>
      </w:r>
      <w:r w:rsidR="006E4AF4" w:rsidRPr="001A7EAE">
        <w:rPr>
          <w:rFonts w:ascii="Times New Roman" w:hAnsi="Times New Roman"/>
          <w:sz w:val="22"/>
          <w:szCs w:val="22"/>
        </w:rPr>
        <w:t xml:space="preserve"> aj spoločenský život v obci a odrazilo sa to na znížení počtu kultúrnych a spoločenských podujatí v obci. Aj napriek zložitej situácií rok </w:t>
      </w:r>
      <w:r w:rsidRPr="001A7EAE">
        <w:rPr>
          <w:rFonts w:ascii="Times New Roman" w:hAnsi="Times New Roman"/>
          <w:sz w:val="22"/>
          <w:szCs w:val="22"/>
        </w:rPr>
        <w:t>2022</w:t>
      </w:r>
      <w:r w:rsidR="006E4AF4" w:rsidRPr="001A7EAE">
        <w:rPr>
          <w:rFonts w:ascii="Times New Roman" w:hAnsi="Times New Roman"/>
          <w:sz w:val="22"/>
          <w:szCs w:val="22"/>
        </w:rPr>
        <w:t xml:space="preserve"> z hľadiska dosiahnutých ekonomických výsledkov hodnotím kladne, tak ako v minulom roku sme dosiahli po zohľadnení finančných operácií prebytok rozpočtu, čo vytvára podmienky a zdroje pre ďalší rozvoj obce. V priebehu roka okrem zabezpečovania administratívneho chodu obecného úradu, bežnej prevádzky, údržby a opráv objektov, školských zariadení v zriaďovateľskej pôsobnosti obce, bolo potrebné sa každodenne starať o údržbu, opravy a zveľaďovanie verejných priestranstiev, verejnej zelene, miestnych komunikácií, starostlivosť o občanov v oblasti sociálnych vecí a mnoho ďalších každodenných aktivít. Okrem týchto povinnosti aj napriek zložitej situácií obec pokračovala aj v investičných aktivitách. </w:t>
      </w:r>
      <w:r w:rsidR="0088464C" w:rsidRPr="001A7EAE">
        <w:rPr>
          <w:rFonts w:ascii="Times New Roman" w:hAnsi="Times New Roman"/>
          <w:sz w:val="22"/>
          <w:szCs w:val="22"/>
        </w:rPr>
        <w:t xml:space="preserve">Investície vo výške </w:t>
      </w:r>
      <w:r w:rsidRPr="001A7EAE">
        <w:rPr>
          <w:rFonts w:ascii="Times New Roman" w:hAnsi="Times New Roman"/>
          <w:sz w:val="22"/>
          <w:szCs w:val="22"/>
        </w:rPr>
        <w:t>133 304,45</w:t>
      </w:r>
      <w:r w:rsidR="006E4AF4" w:rsidRPr="001A7EAE">
        <w:rPr>
          <w:rFonts w:ascii="Times New Roman" w:hAnsi="Times New Roman"/>
          <w:sz w:val="22"/>
          <w:szCs w:val="22"/>
        </w:rPr>
        <w:t xml:space="preserve"> eur, boli použité n</w:t>
      </w:r>
      <w:r w:rsidRPr="001A7EAE">
        <w:rPr>
          <w:rFonts w:ascii="Times New Roman" w:hAnsi="Times New Roman"/>
          <w:sz w:val="22"/>
          <w:szCs w:val="22"/>
        </w:rPr>
        <w:t>a rekonštrukciu priestorov MŠ</w:t>
      </w:r>
      <w:r w:rsidR="006E4AF4" w:rsidRPr="001A7EAE">
        <w:rPr>
          <w:rFonts w:ascii="Times New Roman" w:hAnsi="Times New Roman"/>
          <w:sz w:val="22"/>
          <w:szCs w:val="22"/>
        </w:rPr>
        <w:t xml:space="preserve">. Vážení občania, platí staré a veľmi potvrdené pravidlo, peňazí nie je a nikdy nebude, dosť na všetko, čo je potrebné v reálnom čase zabezpečiť, zmeniť, opraviť, vybudovať, skvalitniť </w:t>
      </w:r>
      <w:proofErr w:type="spellStart"/>
      <w:r w:rsidR="006E4AF4" w:rsidRPr="001A7EAE">
        <w:rPr>
          <w:rFonts w:ascii="Times New Roman" w:hAnsi="Times New Roman"/>
          <w:sz w:val="22"/>
          <w:szCs w:val="22"/>
        </w:rPr>
        <w:t>atď</w:t>
      </w:r>
      <w:proofErr w:type="spellEnd"/>
      <w:r w:rsidR="006E4AF4" w:rsidRPr="001A7EAE">
        <w:rPr>
          <w:rFonts w:ascii="Times New Roman" w:hAnsi="Times New Roman"/>
          <w:sz w:val="22"/>
          <w:szCs w:val="22"/>
        </w:rPr>
        <w:t xml:space="preserve">... Tak ako každý starosta, aj ja sa snažím svojou prácou budovať pozitívny imidž zdravej a perspektívnej obce so zvyšujúcou sa kvalitou života Vás obyvateľov. Posúdiť kvalitu z odvedenej práce však samozrejme môžu najlepšie iba občania. V posledných rokoch spoločenská, ekonomická a sociálna situácia prináša každodenne veľa problémov, pre organizácie, firmy a v neposlednom rade aj pre ľudí. Zmierniť túto situáciu môžeme, ak si budeme navzájom pomáhať, vychádzať si v ústrety, samozrejme v rámci svojich možností a schopností, aby sme si vytvorili pekné, pokojné a šťastné podmienky pre život v našej obci. Chcem sa preto poďakovať poslancom obecného zastupiteľstva, zamestnancom obce, aktivačným pracovníkom a všetkým občanom, ktorí svojou činnosťou v roku </w:t>
      </w:r>
      <w:r w:rsidRPr="001A7EAE">
        <w:rPr>
          <w:rFonts w:ascii="Times New Roman" w:hAnsi="Times New Roman"/>
          <w:sz w:val="22"/>
          <w:szCs w:val="22"/>
        </w:rPr>
        <w:t>2022</w:t>
      </w:r>
      <w:r w:rsidR="006E4AF4" w:rsidRPr="001A7EAE">
        <w:rPr>
          <w:rFonts w:ascii="Times New Roman" w:hAnsi="Times New Roman"/>
          <w:sz w:val="22"/>
          <w:szCs w:val="22"/>
        </w:rPr>
        <w:t xml:space="preserve"> prispeli k zveľadeniu a pozitívnemu zviditeľneniu našej obce. Vážení občania, pred sebou máme ešte veľa výziev, ktoré na nás čakajú. S každou situáciou sa musíme vedieť popasovať a verím, že spoločnými silami to všetko zvládneme. Obec je vizitka nás všetkých. Buďme jeden voči druhému milí, láskaví a tolerantní. </w:t>
      </w:r>
    </w:p>
    <w:p w:rsidR="006E4AF4" w:rsidRPr="001A7EAE" w:rsidRDefault="006E4AF4" w:rsidP="001A7EAE">
      <w:pPr>
        <w:jc w:val="both"/>
        <w:rPr>
          <w:rFonts w:ascii="Times New Roman" w:hAnsi="Times New Roman"/>
          <w:sz w:val="22"/>
          <w:szCs w:val="22"/>
        </w:rPr>
      </w:pPr>
    </w:p>
    <w:p w:rsidR="006E4AF4" w:rsidRPr="001A7EAE" w:rsidRDefault="006E4AF4" w:rsidP="001A7EAE">
      <w:pPr>
        <w:jc w:val="both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     </w:t>
      </w:r>
      <w:r w:rsidR="008238F6" w:rsidRPr="001A7EAE">
        <w:rPr>
          <w:rFonts w:ascii="Times New Roman" w:hAnsi="Times New Roman"/>
          <w:sz w:val="22"/>
          <w:szCs w:val="22"/>
        </w:rPr>
        <w:t xml:space="preserve">Mgr. Ján </w:t>
      </w:r>
      <w:proofErr w:type="spellStart"/>
      <w:r w:rsidR="008238F6" w:rsidRPr="001A7EAE">
        <w:rPr>
          <w:rFonts w:ascii="Times New Roman" w:hAnsi="Times New Roman"/>
          <w:sz w:val="22"/>
          <w:szCs w:val="22"/>
        </w:rPr>
        <w:t>Olekšák</w:t>
      </w:r>
      <w:proofErr w:type="spellEnd"/>
    </w:p>
    <w:p w:rsidR="006E4AF4" w:rsidRPr="001A7EAE" w:rsidRDefault="006E4AF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 xml:space="preserve">                                                                             </w:t>
      </w:r>
      <w:r w:rsidR="008238F6" w:rsidRPr="001A7EAE">
        <w:rPr>
          <w:rFonts w:ascii="Times New Roman" w:hAnsi="Times New Roman"/>
          <w:b/>
          <w:sz w:val="22"/>
          <w:szCs w:val="22"/>
        </w:rPr>
        <w:t xml:space="preserve">    </w:t>
      </w:r>
      <w:r w:rsidR="001A7EAE">
        <w:rPr>
          <w:rFonts w:ascii="Times New Roman" w:hAnsi="Times New Roman"/>
          <w:b/>
          <w:sz w:val="22"/>
          <w:szCs w:val="22"/>
        </w:rPr>
        <w:t xml:space="preserve">         </w:t>
      </w:r>
      <w:r w:rsidR="008238F6" w:rsidRPr="001A7EAE">
        <w:rPr>
          <w:rFonts w:ascii="Times New Roman" w:hAnsi="Times New Roman"/>
          <w:b/>
          <w:sz w:val="22"/>
          <w:szCs w:val="22"/>
        </w:rPr>
        <w:t xml:space="preserve"> </w:t>
      </w:r>
      <w:r w:rsidRPr="001A7EAE">
        <w:rPr>
          <w:rFonts w:ascii="Times New Roman" w:hAnsi="Times New Roman"/>
          <w:sz w:val="22"/>
          <w:szCs w:val="22"/>
        </w:rPr>
        <w:t>starosta obce</w:t>
      </w:r>
    </w:p>
    <w:p w:rsidR="0064361B" w:rsidRPr="001A7EAE" w:rsidRDefault="0064361B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 xml:space="preserve">1. Základná charakteristika konsolidovaného celku 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Obec je samostatný územný samosprávny a správny celok Slovenskej republiky. Obec Danišovce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u w:val="single"/>
          <w:lang w:eastAsia="sk-SK"/>
        </w:rPr>
      </w:pP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u w:val="single"/>
          <w:lang w:eastAsia="sk-SK"/>
        </w:rPr>
        <w:t xml:space="preserve">1.1 Geografické údaje 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kern w:val="0"/>
          <w:sz w:val="22"/>
          <w:szCs w:val="22"/>
          <w:u w:val="single"/>
          <w:lang w:eastAsia="sk-SK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2"/>
          <w:szCs w:val="22"/>
          <w:shd w:val="clear" w:color="auto" w:fill="FFFFFF"/>
        </w:rPr>
      </w:pPr>
      <w:r w:rsidRPr="001A7EAE">
        <w:rPr>
          <w:rFonts w:ascii="Times New Roman" w:hAnsi="Times New Roman"/>
          <w:color w:val="000000"/>
          <w:sz w:val="22"/>
          <w:szCs w:val="22"/>
          <w:shd w:val="clear" w:color="auto" w:fill="FFFFFF"/>
        </w:rPr>
        <w:t xml:space="preserve">Obec Danišovce sa nachádza v Hornádskej kotline, 5 km východne od okresného mesta Spišská Nová Ves. Jej stred leží v nadmorskej výške 470 m, ale severná časť chotára presahuje výšku 600 m. Mierne členitý a väčšinou odlesnený terén, dával obyvateľom  obce možnosť živiť sa v minulosti najmä roľníctvom. Dobré pasienky v okolí obce umožňovali pastierom nakŕmiť svoje stáda dobytka a oviec.  Katolícky kostol sv. Márie Magdalény bol  postavený okolo roku 1270 v  ranogotickom štýle. Architektonickými prvkami vzbudzuje pozornosť nielen v regióne Spiša, Slovenska, ale aj za hranicami nášho štátu. Prijatie sv. Márie Magdalény ako nosiča štítu, ktorý obsahuje obnovený starý historický symbol obce, je vyjadrením úcty </w:t>
      </w:r>
      <w:proofErr w:type="spellStart"/>
      <w:r w:rsidRPr="001A7EAE">
        <w:rPr>
          <w:rFonts w:ascii="Times New Roman" w:hAnsi="Times New Roman"/>
          <w:color w:val="000000"/>
          <w:sz w:val="22"/>
          <w:szCs w:val="22"/>
          <w:shd w:val="clear" w:color="auto" w:fill="FFFFFF"/>
        </w:rPr>
        <w:t>Danišovčanov</w:t>
      </w:r>
      <w:proofErr w:type="spellEnd"/>
      <w:r w:rsidRPr="001A7EAE">
        <w:rPr>
          <w:rFonts w:ascii="Times New Roman" w:hAnsi="Times New Roman"/>
          <w:color w:val="000000"/>
          <w:sz w:val="22"/>
          <w:szCs w:val="22"/>
          <w:shd w:val="clear" w:color="auto" w:fill="FFFFFF"/>
        </w:rPr>
        <w:t xml:space="preserve"> ku kresťanským tradíciám obce, k tomu čo si aj ich vlastní predkovia ctili a vážili.</w:t>
      </w: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Susedné mestá a obce : Katastrálne územie obce Danišovce susedí s katastrálnymi územiami obcí Harichovce, Iliašovce, Odorín, Spišská Nová Ves a Levoča.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Celková rozloha obce : 430 ha  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Nadmorská výška :  470</w:t>
      </w:r>
      <w:r w:rsidR="00732A67"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m. n. m.</w:t>
      </w:r>
    </w:p>
    <w:p w:rsidR="00894434" w:rsidRPr="001A7EAE" w:rsidRDefault="00894434" w:rsidP="001A7EAE">
      <w:pPr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b/>
          <w:color w:val="000000"/>
          <w:sz w:val="22"/>
          <w:szCs w:val="22"/>
          <w:u w:val="single"/>
        </w:rPr>
      </w:pPr>
      <w:r w:rsidRPr="001A7EAE">
        <w:rPr>
          <w:rFonts w:ascii="Times New Roman" w:hAnsi="Times New Roman"/>
          <w:b/>
          <w:color w:val="000000"/>
          <w:sz w:val="22"/>
          <w:szCs w:val="22"/>
          <w:u w:val="single"/>
        </w:rPr>
        <w:t>1.2 Demografické údaje.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20"/>
        <w:gridCol w:w="4568"/>
      </w:tblGrid>
      <w:tr w:rsidR="00894434" w:rsidRPr="001A7EAE" w:rsidTr="00C21B0E"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Počet obyvateľov ku 31.12.</w:t>
            </w:r>
            <w:r w:rsidR="008238F6" w:rsidRPr="001A75C5">
              <w:rPr>
                <w:rFonts w:ascii="Times New Roman" w:hAnsi="Times New Roman"/>
                <w:sz w:val="22"/>
                <w:szCs w:val="22"/>
              </w:rPr>
              <w:t>2022</w:t>
            </w:r>
          </w:p>
        </w:tc>
        <w:tc>
          <w:tcPr>
            <w:tcW w:w="4568" w:type="dxa"/>
          </w:tcPr>
          <w:p w:rsidR="00894434" w:rsidRPr="001A75C5" w:rsidRDefault="001A75C5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562</w:t>
            </w:r>
          </w:p>
        </w:tc>
      </w:tr>
      <w:tr w:rsidR="00894434" w:rsidRPr="001A7EAE" w:rsidTr="00C21B0E"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Počet narodených</w:t>
            </w:r>
          </w:p>
        </w:tc>
        <w:tc>
          <w:tcPr>
            <w:tcW w:w="4568" w:type="dxa"/>
          </w:tcPr>
          <w:p w:rsidR="00894434" w:rsidRPr="001A75C5" w:rsidRDefault="00732A67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</w:tr>
      <w:tr w:rsidR="00894434" w:rsidRPr="001A7EAE" w:rsidTr="00C21B0E"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Počet úmrtí</w:t>
            </w:r>
          </w:p>
        </w:tc>
        <w:tc>
          <w:tcPr>
            <w:tcW w:w="4568" w:type="dxa"/>
          </w:tcPr>
          <w:p w:rsidR="00894434" w:rsidRPr="001A75C5" w:rsidRDefault="001A75C5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</w:tr>
      <w:tr w:rsidR="00894434" w:rsidRPr="001A7EAE" w:rsidTr="00C21B0E">
        <w:tc>
          <w:tcPr>
            <w:tcW w:w="4720" w:type="dxa"/>
          </w:tcPr>
          <w:p w:rsidR="00894434" w:rsidRPr="001A75C5" w:rsidRDefault="00894434" w:rsidP="001A7EAE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Prisťahovaní/odsťahovaní</w:t>
            </w:r>
          </w:p>
        </w:tc>
        <w:tc>
          <w:tcPr>
            <w:tcW w:w="4568" w:type="dxa"/>
          </w:tcPr>
          <w:p w:rsidR="00894434" w:rsidRPr="001A75C5" w:rsidRDefault="001A75C5" w:rsidP="001A75C5">
            <w:pPr>
              <w:jc w:val="both"/>
              <w:rPr>
                <w:rFonts w:ascii="Times New Roman" w:hAnsi="Times New Roman"/>
              </w:rPr>
            </w:pPr>
            <w:r w:rsidRPr="001A75C5">
              <w:rPr>
                <w:rFonts w:ascii="Times New Roman" w:hAnsi="Times New Roman"/>
                <w:sz w:val="22"/>
                <w:szCs w:val="22"/>
              </w:rPr>
              <w:t>4/12</w:t>
            </w:r>
          </w:p>
        </w:tc>
      </w:tr>
    </w:tbl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outlineLvl w:val="1"/>
        <w:rPr>
          <w:rFonts w:ascii="Times New Roman" w:hAnsi="Times New Roman"/>
          <w:b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color w:val="000000"/>
          <w:kern w:val="0"/>
          <w:sz w:val="22"/>
          <w:szCs w:val="22"/>
          <w:lang w:eastAsia="sk-SK"/>
        </w:rPr>
        <w:t>symboly 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ind w:firstLine="708"/>
        <w:jc w:val="both"/>
        <w:outlineLvl w:val="1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Pre tvorbu obecných symbolov bol dôležitý fakt, že Danišovce mali svoj erb na pečati (holubica v štíte) už na prelome 16. a 17. storočia. Používaný bol až od roku 1834, kým si obec nedala vyhotoviť pečatidlo so sv. Máriou Magdalénou. Keďže jeho obsah bol z heraldického hľadiska jedinečný, bolo navrhnuté jeho kompletné prevzatie do nového obecného erbu. Pravda, v zhode so zásadami slovenskej heraldickej tvorby, renesančný tvar štítu bol nahradený štítom neskorogotickým. Heraldická komisia Ministerstva vnútra SR koncom roka 1995 prijala </w:t>
      </w:r>
      <w:r w:rsidRPr="001A7EAE">
        <w:rPr>
          <w:rFonts w:ascii="Times New Roman" w:hAnsi="Times New Roman"/>
          <w:bCs/>
          <w:kern w:val="0"/>
          <w:sz w:val="22"/>
          <w:szCs w:val="22"/>
          <w:lang w:eastAsia="sk-SK"/>
        </w:rPr>
        <w:t>obecný erb</w:t>
      </w: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na základe ideového návrhu L.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Vrteľa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a F.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Žifčáka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a výtvarného riešenia D.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Vrteľovej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outlineLvl w:val="1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>Erb 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808080"/>
          <w:kern w:val="0"/>
          <w:sz w:val="22"/>
          <w:szCs w:val="22"/>
          <w:lang w:eastAsia="sk-SK"/>
        </w:rPr>
        <w:drawing>
          <wp:inline distT="0" distB="0" distL="0" distR="0">
            <wp:extent cx="1790065" cy="1790065"/>
            <wp:effectExtent l="0" t="0" r="0" b="0"/>
            <wp:docPr id="2" name="Obrázok 2" descr="danisovce-e14886638787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anisovce-e148866387877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065" cy="1790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A7EAE">
        <w:rPr>
          <w:rFonts w:ascii="Times New Roman" w:hAnsi="Times New Roman"/>
          <w:bCs/>
          <w:kern w:val="0"/>
          <w:sz w:val="22"/>
          <w:szCs w:val="22"/>
          <w:lang w:eastAsia="sk-SK"/>
        </w:rPr>
        <w:t>V zelenom gotickom štíte na zlatej halúzke stojaca strieborná holubica so zlatou zbrojou, držiaca v zobáku zlatú vetvičku s tromi lístkami.</w:t>
      </w: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Danišovský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erb má nasledovnú interpretáciu: holubica v biblickej a kresťanskej symbolike predstavuje obetu, lásku, Ducha Svätého. V podobe s vetvičkou v zobáku symbolizuje skončenie potopy sveta. Podľa Biblie ju Noe vypustil z archy a ona sa mu vrátila s vetvičkou v zobáku, z čoho usúdil, že vody po potope začali opadávať. V istom zmysle je tu teda aj symbolom nádeje a života. Čo sa týka farieb, zelená popri tom, že zo všetkých farieb azda najviac vystihuje poľnohospodársky charakter obce, je symbolom nádeje, krásy, slobody i láskavosti. Biela alebo strieborná farba vyjadruje čistotu, nevinnosť, radosť, pravdivosť, a žltá alebo zlatá je symbolom rozumu, cnosti, úcty, vznešenosti.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 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808080"/>
          <w:kern w:val="0"/>
          <w:sz w:val="22"/>
          <w:szCs w:val="22"/>
          <w:lang w:eastAsia="sk-SK"/>
        </w:rPr>
        <w:lastRenderedPageBreak/>
        <w:drawing>
          <wp:inline distT="0" distB="0" distL="0" distR="0">
            <wp:extent cx="1790065" cy="2859405"/>
            <wp:effectExtent l="19050" t="0" r="635" b="0"/>
            <wp:docPr id="3" name="Obrázok 3" descr="patronka_erb-188x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atronka_erb-188x30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065" cy="2859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Pri slávnostnejších príležitostiach sa používa erb s nosičom štítu – patrónkou kostola obce a obce sv. Máriou Magdalénou. Svätica má byť zobrazovaná nasledovne: strieborná, zlatovlasá so zlatou gloriolou, zahalená v striebornom zlato zdobenom rúchu, v zelenom plášti s červenou podšívkou a zlatou sponou. Prijatie sv. Márie Magdalény ako nosiča štítu, ktorý obsahuje obnovený starý historický symbol obce, je vyjadrením  úcty </w:t>
      </w:r>
      <w:proofErr w:type="spellStart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Danišovčanov</w:t>
      </w:r>
      <w:proofErr w:type="spellEnd"/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 xml:space="preserve">  ku kresťanským tradíciám obce, k tomu čo si aj ich vlastní predkovia ctili a vážili.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 </w:t>
      </w: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>Pečať 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C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FF0000"/>
          <w:kern w:val="0"/>
          <w:sz w:val="22"/>
          <w:szCs w:val="22"/>
          <w:lang w:eastAsia="sk-SK"/>
        </w:rPr>
        <w:drawing>
          <wp:inline distT="0" distB="0" distL="0" distR="0">
            <wp:extent cx="1127125" cy="1152525"/>
            <wp:effectExtent l="19050" t="0" r="0" b="0"/>
            <wp:docPr id="4" name="Obrázok 4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ecat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12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b/>
          <w:bCs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Pečať obce je kruhová, bez heraldického šrafovania.</w:t>
      </w: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br/>
        <w:t xml:space="preserve">Stred vypĺňa obecný erb, kruhopis obce text : </w:t>
      </w:r>
      <w:r w:rsidRPr="001A7EAE">
        <w:rPr>
          <w:rFonts w:ascii="Times New Roman" w:hAnsi="Times New Roman"/>
          <w:b/>
          <w:bCs/>
          <w:kern w:val="0"/>
          <w:sz w:val="22"/>
          <w:szCs w:val="22"/>
          <w:lang w:eastAsia="sk-SK"/>
        </w:rPr>
        <w:t>OBEC DANIŠOVCE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537"/>
        <w:outlineLvl w:val="1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  <w:t> </w:t>
      </w:r>
      <w:r w:rsidRPr="001A7EAE">
        <w:rPr>
          <w:rFonts w:ascii="Times New Roman" w:hAnsi="Times New Roman"/>
          <w:b/>
          <w:bCs/>
          <w:color w:val="000000"/>
          <w:kern w:val="0"/>
          <w:sz w:val="22"/>
          <w:szCs w:val="22"/>
          <w:lang w:eastAsia="sk-SK"/>
        </w:rPr>
        <w:t>Vlajka obce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color w:val="80808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noProof/>
          <w:color w:val="808080"/>
          <w:kern w:val="0"/>
          <w:sz w:val="22"/>
          <w:szCs w:val="22"/>
          <w:lang w:eastAsia="sk-SK"/>
        </w:rPr>
        <w:drawing>
          <wp:inline distT="0" distB="0" distL="0" distR="0">
            <wp:extent cx="1693545" cy="1203960"/>
            <wp:effectExtent l="19050" t="0" r="1905" b="0"/>
            <wp:docPr id="5" name="Obrázok 5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vlajka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3545" cy="1203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ind w:firstLine="708"/>
        <w:jc w:val="both"/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Vlajka obce je odvodená od sfarbenia erbu. Skladá sa z 5 pozdĺžnych pruhov v poradí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biela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(1/6),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žltá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(1/6),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zelená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(2/6),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žltá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 a </w:t>
      </w:r>
      <w:r w:rsidRPr="001A7EAE">
        <w:rPr>
          <w:rFonts w:ascii="Times New Roman" w:hAnsi="Times New Roman"/>
          <w:b/>
          <w:bCs/>
          <w:i/>
          <w:iCs/>
          <w:color w:val="000000"/>
          <w:kern w:val="0"/>
          <w:sz w:val="22"/>
          <w:szCs w:val="22"/>
          <w:lang w:eastAsia="sk-SK"/>
        </w:rPr>
        <w:t>biela</w:t>
      </w:r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(1/6). V zmysle zásad slovenskej vlajkovej tvorby má pomer strán 2:3 a na konci dvojitý </w:t>
      </w:r>
      <w:proofErr w:type="spellStart"/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>zástrih</w:t>
      </w:r>
      <w:proofErr w:type="spellEnd"/>
      <w:r w:rsidRPr="001A7EAE">
        <w:rPr>
          <w:rFonts w:ascii="Times New Roman" w:hAnsi="Times New Roman"/>
          <w:color w:val="000000"/>
          <w:kern w:val="0"/>
          <w:sz w:val="22"/>
          <w:szCs w:val="22"/>
          <w:lang w:eastAsia="sk-SK"/>
        </w:rPr>
        <w:t xml:space="preserve"> siahajúci do tretiny listu vlajky.</w:t>
      </w:r>
    </w:p>
    <w:p w:rsidR="00894434" w:rsidRPr="001A7EAE" w:rsidRDefault="00894434" w:rsidP="001A7EAE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/>
          <w:b/>
          <w:color w:val="000000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b/>
          <w:color w:val="000000"/>
          <w:kern w:val="0"/>
          <w:sz w:val="22"/>
          <w:szCs w:val="22"/>
          <w:lang w:eastAsia="sk-SK"/>
        </w:rPr>
        <w:t> História obce</w:t>
      </w:r>
    </w:p>
    <w:p w:rsidR="00894434" w:rsidRPr="001A7EAE" w:rsidRDefault="00894434" w:rsidP="001A7EAE">
      <w:pPr>
        <w:jc w:val="both"/>
        <w:rPr>
          <w:rFonts w:ascii="Times New Roman" w:hAnsi="Times New Roman"/>
          <w:kern w:val="0"/>
          <w:sz w:val="22"/>
          <w:szCs w:val="22"/>
          <w:lang w:eastAsia="sk-SK"/>
        </w:rPr>
      </w:pPr>
      <w:r w:rsidRPr="001A7EAE">
        <w:rPr>
          <w:rFonts w:ascii="Times New Roman" w:hAnsi="Times New Roman"/>
          <w:kern w:val="0"/>
          <w:sz w:val="22"/>
          <w:szCs w:val="22"/>
          <w:lang w:eastAsia="sk-SK"/>
        </w:rPr>
        <w:t> </w:t>
      </w:r>
      <w:r w:rsidR="00C6102C" w:rsidRPr="001A7EAE">
        <w:rPr>
          <w:rFonts w:ascii="Times New Roman" w:hAnsi="Times New Roman"/>
          <w:kern w:val="0"/>
          <w:sz w:val="22"/>
          <w:szCs w:val="22"/>
          <w:lang w:eastAsia="sk-SK"/>
        </w:rPr>
        <w:tab/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V staršej historickej literatúre sa objavili informácie o existencii obce, kostola, resp. farára v Danišovciach už roku 1204. Dokumenty k tomuto kostolu by sa mali nachádzať v "kapitulských archívoch". Tieto informácie sa bližšie </w:t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lastRenderedPageBreak/>
        <w:t xml:space="preserve">nikde necitujú, preto ich môžeme brať zatiaľ iba ako hypotézu. Podporujú ju však románske prvky jeho architektúry, ako aj súpis pápežských desiatkov zo začiatku 14. </w:t>
      </w:r>
      <w:r w:rsidR="006305D0" w:rsidRPr="001A7EAE">
        <w:rPr>
          <w:rFonts w:ascii="Times New Roman" w:hAnsi="Times New Roman"/>
          <w:sz w:val="22"/>
          <w:szCs w:val="22"/>
          <w:shd w:val="clear" w:color="auto" w:fill="FFFFFF"/>
        </w:rPr>
        <w:t>storočia, z ktorých sa usudzuje,</w:t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že </w:t>
      </w:r>
      <w:proofErr w:type="spellStart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>danišovská</w:t>
      </w:r>
      <w:proofErr w:type="spellEnd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fara existovala </w:t>
      </w:r>
      <w:r w:rsidRPr="001A7EAE">
        <w:rPr>
          <w:rFonts w:ascii="Times New Roman" w:hAnsi="Times New Roman"/>
          <w:sz w:val="22"/>
          <w:szCs w:val="22"/>
        </w:rPr>
        <w:br/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už v 12. storočí. Počas tatárskeho vpádu v rokoch 1241 - 1242 bola spôsobená </w:t>
      </w:r>
      <w:proofErr w:type="spellStart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>vyľudnenosť</w:t>
      </w:r>
      <w:proofErr w:type="spellEnd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Danišoviec, a obec stratila postavenie aj farára. Majetok prešiel </w:t>
      </w:r>
      <w:r w:rsidRPr="001A7EAE">
        <w:rPr>
          <w:rFonts w:ascii="Times New Roman" w:hAnsi="Times New Roman"/>
          <w:sz w:val="22"/>
          <w:szCs w:val="22"/>
        </w:rPr>
        <w:br/>
      </w:r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do vlastníctva zemepána , ktorý sa postaral potom o jeho obnovu, t.j. </w:t>
      </w:r>
      <w:proofErr w:type="spellStart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>doosídlenie</w:t>
      </w:r>
      <w:proofErr w:type="spellEnd"/>
      <w:r w:rsidRPr="001A7EAE">
        <w:rPr>
          <w:rFonts w:ascii="Times New Roman" w:hAnsi="Times New Roman"/>
          <w:sz w:val="22"/>
          <w:szCs w:val="22"/>
          <w:shd w:val="clear" w:color="auto" w:fill="FFFFFF"/>
        </w:rPr>
        <w:t xml:space="preserve"> novými osadníkmi. S najväčšou pravdepodobnosťou to bol istý Dionýz, ktorý mal syna Mikuláša. Uvádza sa to v listine uhorského kráľa Ladislava IV. z 3.4.1287. Najstarší priamy písomný doklad o samotnej existencii obce Danišovce pochádza až z 12.11.1317.</w:t>
      </w:r>
    </w:p>
    <w:p w:rsidR="00894434" w:rsidRPr="001A7EAE" w:rsidRDefault="00894434" w:rsidP="001A7EAE">
      <w:pPr>
        <w:pStyle w:val="Bezriadkovania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Vtedy uhorský kráľ Karol Róbert potvrdil potvrdenie výsad za zásluhy v boji proti Matúšovi </w:t>
      </w:r>
      <w:proofErr w:type="spellStart"/>
      <w:r w:rsidRPr="001A7EAE">
        <w:rPr>
          <w:rFonts w:ascii="Times New Roman" w:hAnsi="Times New Roman"/>
          <w:sz w:val="22"/>
          <w:szCs w:val="22"/>
        </w:rPr>
        <w:t>Čákovi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 a jeho spojencom pri Rozhanovciach spišským Sasom staré výsady, ktoré získali od jeho predchodcov. Súčasne v listine vymenoval mestá a obce s príslušnými majetkami, ktorých sa tieto výsady týkali. Zatiaľ čo o obyvateľoch Danišoviec zo stredoveku vieme len veľmi málo a predpokladáme, že ich časť mohli tvoriť nemecké rodiny, od 2. polovice 16. a hlavne 17. storočia už máme k dispozícii viacej prameňov a môžeme sledovať aj konkrétne priezviská </w:t>
      </w:r>
      <w:proofErr w:type="spellStart"/>
      <w:r w:rsidRPr="001A7EAE">
        <w:rPr>
          <w:rFonts w:ascii="Times New Roman" w:hAnsi="Times New Roman"/>
          <w:sz w:val="22"/>
          <w:szCs w:val="22"/>
        </w:rPr>
        <w:t>Danišovčanov</w:t>
      </w:r>
      <w:proofErr w:type="spellEnd"/>
      <w:r w:rsidRPr="001A7EAE">
        <w:rPr>
          <w:rFonts w:ascii="Times New Roman" w:hAnsi="Times New Roman"/>
          <w:sz w:val="22"/>
          <w:szCs w:val="22"/>
        </w:rPr>
        <w:t>, ich majetok, počet domov i poddanské povinnosti.</w:t>
      </w:r>
      <w:r w:rsidRPr="001A7EAE">
        <w:rPr>
          <w:rFonts w:ascii="Times New Roman" w:hAnsi="Times New Roman"/>
          <w:sz w:val="22"/>
          <w:szCs w:val="22"/>
        </w:rPr>
        <w:br/>
        <w:t>Rozvoj Danišoviec, ale aj iných mestečiek a dedín na Spiši, bol ovplyvnený hlavne vnútropolitickou situáciou v krajine a stavom poľnohospodárskej výroby. V druhej polovici 18. storočia k tomu pristúpili aj zvýšená starostlivosť štátu o obyvateľov po stránke osvety a zdravotníctva.</w:t>
      </w:r>
    </w:p>
    <w:p w:rsidR="00894434" w:rsidRPr="001A7EAE" w:rsidRDefault="00894434" w:rsidP="001A7EAE">
      <w:pPr>
        <w:widowControl/>
        <w:suppressAutoHyphens w:val="0"/>
        <w:jc w:val="center"/>
        <w:rPr>
          <w:rFonts w:ascii="Times New Roman" w:hAnsi="Times New Roman"/>
          <w:kern w:val="0"/>
          <w:sz w:val="22"/>
          <w:szCs w:val="22"/>
          <w:lang w:eastAsia="sk-SK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Základným zdrojom obživy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Danišovčanov</w:t>
      </w:r>
      <w:proofErr w:type="spellEnd"/>
      <w:r w:rsidRPr="001A7EAE">
        <w:rPr>
          <w:rFonts w:ascii="Times New Roman" w:eastAsia="StarSymbol" w:hAnsi="Times New Roman"/>
          <w:sz w:val="22"/>
          <w:szCs w:val="22"/>
        </w:rPr>
        <w:t xml:space="preserve"> bola pôda. S pôdou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Danišovčania</w:t>
      </w:r>
      <w:proofErr w:type="spellEnd"/>
      <w:r w:rsidRPr="001A7EAE">
        <w:rPr>
          <w:rFonts w:ascii="Times New Roman" w:eastAsia="StarSymbol" w:hAnsi="Times New Roman"/>
          <w:sz w:val="22"/>
          <w:szCs w:val="22"/>
        </w:rPr>
        <w:t xml:space="preserve"> rástli, tešili sa z úrody a veľmi intenzívne prežívali roky neúrody a prírodných pohrôm.  Na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danišovských</w:t>
      </w:r>
      <w:proofErr w:type="spellEnd"/>
      <w:r w:rsidRPr="001A7EAE">
        <w:rPr>
          <w:rFonts w:ascii="Times New Roman" w:eastAsia="StarSymbol" w:hAnsi="Times New Roman"/>
          <w:sz w:val="22"/>
          <w:szCs w:val="22"/>
        </w:rPr>
        <w:t xml:space="preserve"> poliach sa pestovalo prevažne žito, jačmeň, ovos, krmoviny</w:t>
      </w:r>
      <w:r w:rsidRPr="001A7EAE">
        <w:rPr>
          <w:rFonts w:ascii="Times New Roman" w:hAnsi="Times New Roman"/>
          <w:sz w:val="22"/>
          <w:szCs w:val="22"/>
        </w:rPr>
        <w:t xml:space="preserve"> </w:t>
      </w:r>
      <w:r w:rsidRPr="001A7EAE">
        <w:rPr>
          <w:rFonts w:ascii="Times New Roman" w:eastAsia="StarSymbol" w:hAnsi="Times New Roman"/>
          <w:sz w:val="22"/>
          <w:szCs w:val="22"/>
        </w:rPr>
        <w:t>a ľan. Chlapi pracovali okolo hospodárstva, plietli koše a rúbali drevo</w:t>
      </w:r>
      <w:r w:rsidRPr="001A7EAE">
        <w:rPr>
          <w:rFonts w:ascii="Times New Roman" w:hAnsi="Times New Roman"/>
          <w:sz w:val="22"/>
          <w:szCs w:val="22"/>
        </w:rPr>
        <w:t xml:space="preserve">. Len malá časť </w:t>
      </w:r>
      <w:r w:rsidRPr="001A7EAE">
        <w:rPr>
          <w:rFonts w:ascii="Times New Roman" w:eastAsia="StarSymbol" w:hAnsi="Times New Roman"/>
          <w:sz w:val="22"/>
          <w:szCs w:val="22"/>
        </w:rPr>
        <w:t>sa zamestnávala murárstvom a tesárstvom. 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color w:val="000000"/>
          <w:sz w:val="22"/>
          <w:szCs w:val="22"/>
        </w:rPr>
      </w:pPr>
      <w:r w:rsidRPr="001A7EAE">
        <w:rPr>
          <w:rFonts w:ascii="Times New Roman" w:eastAsia="StarSymbol" w:hAnsi="Times New Roman"/>
          <w:b/>
          <w:color w:val="000000"/>
          <w:sz w:val="22"/>
          <w:szCs w:val="22"/>
        </w:rPr>
        <w:t>1.6.Pamiatky</w:t>
      </w:r>
    </w:p>
    <w:tbl>
      <w:tblPr>
        <w:tblW w:w="930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335"/>
        <w:gridCol w:w="1965"/>
      </w:tblGrid>
      <w:tr w:rsidR="00894434" w:rsidRPr="001A7EAE" w:rsidTr="007C42D1">
        <w:trPr>
          <w:tblCellSpacing w:w="15" w:type="dxa"/>
        </w:trPr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r w:rsidRPr="001A7EAE">
              <w:rPr>
                <w:rStyle w:val="nadpis"/>
                <w:b/>
                <w:bCs/>
                <w:color w:val="000000"/>
                <w:sz w:val="22"/>
                <w:szCs w:val="22"/>
              </w:rPr>
              <w:t>Katolícky kostol sv. Márie Magdalény</w:t>
            </w:r>
          </w:p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proofErr w:type="spellStart"/>
            <w:r w:rsidRPr="001A7EAE">
              <w:rPr>
                <w:color w:val="000000"/>
                <w:sz w:val="22"/>
                <w:szCs w:val="22"/>
              </w:rPr>
              <w:t>Danišovský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kostol je najčastejšie charakterizovaný ako kostol ranogotický postavený v 13. storočí. Vo svojich prvopočiatkoch nemal dnešnú podobu. Po tatárskom vpáde kostol stratil svoj pôvodný románsky charakter a bol prestavený v prechodnom románsko-gotickom slohu. Zachované ostali románske piliere zakončené hlavicami, ktoré sa nachádzajú pod víťazným oblúkom. Majú románsku bobuľovitú podobu. Klenba lode je z polovice 15.stor., predsieň z 18.stor.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Dvojlodie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(nepravé) je  s rovným uzáverom presbytéria, pristavanou sakristiou a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predstavanou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vežou. Obdĺžnikové presbytérium je zaklenuté gotickou krížovou rebrovou klenbou, ktorá dosadá na konzoly s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nábežníkmi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. Dnes je kostolík v Danišovciach zasvätený sv. Márii Magdaléne.  </w:t>
            </w:r>
          </w:p>
        </w:tc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noProof/>
                <w:color w:val="000000"/>
                <w:sz w:val="22"/>
                <w:szCs w:val="22"/>
                <w:lang w:eastAsia="sk-SK"/>
              </w:rPr>
              <w:drawing>
                <wp:inline distT="0" distB="0" distL="0" distR="0">
                  <wp:extent cx="1172210" cy="1751330"/>
                  <wp:effectExtent l="19050" t="0" r="8890" b="0"/>
                  <wp:docPr id="6" name="Obrázok 6" descr="katolicky_kost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katolicky_kost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2210" cy="17513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94434" w:rsidRPr="001A7EAE" w:rsidRDefault="00894434" w:rsidP="001A7EAE">
      <w:pPr>
        <w:rPr>
          <w:rFonts w:ascii="Times New Roman" w:hAnsi="Times New Roman"/>
          <w:vanish/>
          <w:sz w:val="22"/>
          <w:szCs w:val="22"/>
        </w:rPr>
      </w:pPr>
    </w:p>
    <w:tbl>
      <w:tblPr>
        <w:tblW w:w="9300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65"/>
        <w:gridCol w:w="7335"/>
      </w:tblGrid>
      <w:tr w:rsidR="00894434" w:rsidRPr="001A7EAE" w:rsidTr="007C42D1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noProof/>
                <w:color w:val="000000"/>
                <w:sz w:val="22"/>
                <w:szCs w:val="22"/>
                <w:lang w:eastAsia="sk-SK"/>
              </w:rPr>
              <w:drawing>
                <wp:inline distT="0" distB="0" distL="0" distR="0">
                  <wp:extent cx="1172210" cy="1751330"/>
                  <wp:effectExtent l="19050" t="0" r="8890" b="0"/>
                  <wp:docPr id="7" name="Obrázok 7" descr="kapl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kapln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2210" cy="17513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hideMark/>
          </w:tcPr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r w:rsidRPr="001A7EAE">
              <w:rPr>
                <w:rStyle w:val="nadpis"/>
                <w:b/>
                <w:bCs/>
                <w:color w:val="000000"/>
                <w:sz w:val="22"/>
                <w:szCs w:val="22"/>
              </w:rPr>
              <w:t>Kaplnka sv. Márie Magdalény</w:t>
            </w:r>
          </w:p>
          <w:p w:rsidR="00894434" w:rsidRPr="001A7EAE" w:rsidRDefault="00894434" w:rsidP="001A7EAE">
            <w:pPr>
              <w:pStyle w:val="Normlnywebov"/>
              <w:rPr>
                <w:color w:val="000000"/>
              </w:rPr>
            </w:pPr>
            <w:r w:rsidRPr="001A7EAE">
              <w:rPr>
                <w:color w:val="000000"/>
                <w:sz w:val="22"/>
                <w:szCs w:val="22"/>
              </w:rPr>
              <w:t>Do mozaiky duchovného života a histórie Danišoviec spojených s menom sv. Márie Magdalény patrí aj kaplnka  s prameňom nachádzajúcim sa severozápadne nad obcou. Prameňu sa pripisovali liečivé účinky už v 15.storočí. Voda z tohto prameňa posvätená osožila oddávna v predstavách mnohým ctiteľom sv. Márie Magdalény pri rôznych chorobách, neduhoch, najmä pri liečení nemocí očí, hlavy, vredov atď. To nežije len vo vedomí obyvateľov obce Danišovce, ale aj širokom okolí, o čom svedčili početné "strieborné odznaky" v kostole vydávajúce svedectvo vďačnosti a pravdivosti o tom. </w:t>
            </w:r>
            <w:r w:rsidRPr="001A7EAE">
              <w:rPr>
                <w:color w:val="000000"/>
                <w:sz w:val="22"/>
                <w:szCs w:val="22"/>
              </w:rPr>
              <w:br/>
              <w:t xml:space="preserve">Okrem kaplnky povšimnutie si zaslúžia aj obe lipy, ktoré sú tiež doplnkom histórie tohto miesta. Neviem v ktorom storočí boli zasadené, ale ich mohutný vzrast svedčí o dlhodobej pamäti z minulosti. V súčasnej dobe sa už robí výskum o ich veku s možnosťou zaregistrovania ako vzácnych exemplárov. </w:t>
            </w:r>
          </w:p>
        </w:tc>
      </w:tr>
    </w:tbl>
    <w:p w:rsidR="00894434" w:rsidRPr="001A7EAE" w:rsidRDefault="00894434" w:rsidP="001A7EAE">
      <w:pPr>
        <w:rPr>
          <w:rFonts w:ascii="Times New Roman" w:hAnsi="Times New Roman"/>
          <w:vanish/>
          <w:sz w:val="22"/>
          <w:szCs w:val="22"/>
        </w:rPr>
      </w:pPr>
    </w:p>
    <w:tbl>
      <w:tblPr>
        <w:tblW w:w="9300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390"/>
        <w:gridCol w:w="1910"/>
      </w:tblGrid>
      <w:tr w:rsidR="00894434" w:rsidRPr="001A7EAE" w:rsidTr="007C42D1">
        <w:trPr>
          <w:tblCellSpacing w:w="15" w:type="dxa"/>
          <w:jc w:val="center"/>
        </w:trPr>
        <w:tc>
          <w:tcPr>
            <w:tcW w:w="0" w:type="auto"/>
            <w:hideMark/>
          </w:tcPr>
          <w:p w:rsidR="00894434" w:rsidRPr="001A7EAE" w:rsidRDefault="00894434" w:rsidP="001A7EAE">
            <w:pPr>
              <w:pStyle w:val="nadpis10"/>
              <w:rPr>
                <w:b/>
                <w:bCs/>
                <w:color w:val="000000"/>
              </w:rPr>
            </w:pPr>
            <w:r w:rsidRPr="001A7EAE">
              <w:rPr>
                <w:b/>
                <w:bCs/>
                <w:color w:val="000000"/>
                <w:sz w:val="22"/>
                <w:szCs w:val="22"/>
              </w:rPr>
              <w:lastRenderedPageBreak/>
              <w:t>Patrónka obce sv. Mária Magdaléna</w:t>
            </w:r>
          </w:p>
          <w:p w:rsidR="00894434" w:rsidRPr="001A7EAE" w:rsidRDefault="00894434" w:rsidP="001A7EAE">
            <w:pPr>
              <w:pStyle w:val="text"/>
              <w:rPr>
                <w:color w:val="000000"/>
              </w:rPr>
            </w:pPr>
            <w:r w:rsidRPr="001A7EAE">
              <w:rPr>
                <w:color w:val="000000"/>
                <w:sz w:val="22"/>
                <w:szCs w:val="22"/>
              </w:rPr>
              <w:t>Námestie Danišoviec skrášľuje podobizeň </w:t>
            </w:r>
            <w:r w:rsidRPr="001A7EAE">
              <w:rPr>
                <w:rStyle w:val="Siln"/>
                <w:color w:val="000000"/>
                <w:sz w:val="22"/>
                <w:szCs w:val="22"/>
              </w:rPr>
              <w:t>Márie Magdalény,</w:t>
            </w:r>
            <w:r w:rsidRPr="001A7EAE">
              <w:rPr>
                <w:color w:val="000000"/>
                <w:sz w:val="22"/>
                <w:szCs w:val="22"/>
              </w:rPr>
              <w:t xml:space="preserve"> najmladšej z piatich stvárnení Márie z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Magdaly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nachádzajúcich sa v obci. Najstaršiu stvárnil pravdepodobne Majster Madony z Lomničky začiatkom 15. storočia. Stala na bočnom oltári v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Danišovskom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kostolíku až do začiatku 18. storočia, kedy na prosbu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danišovských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veriacich zmenilo sa </w:t>
            </w:r>
            <w:proofErr w:type="spellStart"/>
            <w:r w:rsidRPr="001A7EAE">
              <w:rPr>
                <w:color w:val="000000"/>
                <w:sz w:val="22"/>
                <w:szCs w:val="22"/>
              </w:rPr>
              <w:t>patróncium</w:t>
            </w:r>
            <w:proofErr w:type="spellEnd"/>
            <w:r w:rsidRPr="001A7EAE">
              <w:rPr>
                <w:color w:val="000000"/>
                <w:sz w:val="22"/>
                <w:szCs w:val="22"/>
              </w:rPr>
              <w:t xml:space="preserve"> a Mária Magdaléna zaujala miesto po Dionýzovi na hlavnom krídlovom oltári z 15. stor. V kostole sa nachádza mladšie zobrazenie modliacej sa Márie Magdalény. Treťou, ešte mladšou toho času, je plastika Márie Magdalény, zaujala miesto po najstaršej, ktorá sa presťahovala do múzea v Levoči. Predposledné najmladšie zobrazenie je na oltári v kaplnke na severozápadnom okraji obce. Všetky zobrazenia majú svoje historicko-umelecké hodnoty.  </w:t>
            </w:r>
          </w:p>
        </w:tc>
        <w:tc>
          <w:tcPr>
            <w:tcW w:w="0" w:type="auto"/>
            <w:vAlign w:val="center"/>
            <w:hideMark/>
          </w:tcPr>
          <w:p w:rsidR="00894434" w:rsidRPr="001A7EAE" w:rsidRDefault="00894434" w:rsidP="001A7EAE">
            <w:pPr>
              <w:jc w:val="right"/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noProof/>
                <w:color w:val="000000"/>
                <w:sz w:val="22"/>
                <w:szCs w:val="22"/>
                <w:lang w:eastAsia="sk-SK"/>
              </w:rPr>
              <w:drawing>
                <wp:inline distT="0" distB="0" distL="0" distR="0">
                  <wp:extent cx="1146175" cy="1925320"/>
                  <wp:effectExtent l="19050" t="0" r="0" b="0"/>
                  <wp:docPr id="8" name="Obrázok 8" descr="patron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patron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6175" cy="19253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94434" w:rsidRPr="001A7EAE" w:rsidRDefault="00894434" w:rsidP="001A7EAE">
      <w:pPr>
        <w:pStyle w:val="Normlnywebov"/>
        <w:rPr>
          <w:color w:val="000000"/>
          <w:sz w:val="22"/>
          <w:szCs w:val="22"/>
        </w:rPr>
      </w:pPr>
      <w:r w:rsidRPr="001A7EAE">
        <w:rPr>
          <w:color w:val="000000"/>
          <w:sz w:val="22"/>
          <w:szCs w:val="22"/>
        </w:rPr>
        <w:t> </w:t>
      </w:r>
      <w:r w:rsidRPr="001A7EAE">
        <w:rPr>
          <w:rFonts w:eastAsia="StarSymbol"/>
          <w:b/>
          <w:color w:val="000000"/>
          <w:sz w:val="22"/>
          <w:szCs w:val="22"/>
        </w:rPr>
        <w:t xml:space="preserve">    1.7. Výchova a vzdelávanie.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color w:val="000000"/>
          <w:sz w:val="22"/>
          <w:szCs w:val="22"/>
        </w:rPr>
      </w:pPr>
      <w:r w:rsidRPr="001A7EAE">
        <w:rPr>
          <w:rFonts w:ascii="Times New Roman" w:eastAsia="StarSymbol" w:hAnsi="Times New Roman"/>
          <w:color w:val="000000"/>
          <w:sz w:val="22"/>
          <w:szCs w:val="22"/>
        </w:rPr>
        <w:t xml:space="preserve">            V súčasnosti výchovu a vzdelávanie detí v obci poskytuje Materská škola.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</w:t>
      </w:r>
      <w:r w:rsidRPr="001A7EAE">
        <w:rPr>
          <w:rFonts w:ascii="Times New Roman" w:eastAsia="StarSymbol" w:hAnsi="Times New Roman"/>
          <w:b/>
          <w:sz w:val="22"/>
          <w:szCs w:val="22"/>
        </w:rPr>
        <w:t>1.8. Zdravotníctvo</w:t>
      </w:r>
      <w:r w:rsidRPr="001A7EAE">
        <w:rPr>
          <w:rFonts w:ascii="Times New Roman" w:eastAsia="StarSymbol" w:hAnsi="Times New Roman"/>
          <w:sz w:val="22"/>
          <w:szCs w:val="22"/>
        </w:rPr>
        <w:t>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Zdravotná starostlivosť sa v obci neposkytuje.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color w:val="000000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</w:t>
      </w:r>
      <w:r w:rsidRPr="001A7EAE">
        <w:rPr>
          <w:rFonts w:ascii="Times New Roman" w:eastAsia="StarSymbol" w:hAnsi="Times New Roman"/>
          <w:b/>
          <w:color w:val="000000"/>
          <w:sz w:val="22"/>
          <w:szCs w:val="22"/>
        </w:rPr>
        <w:t>1.9. Sociálne zabezpečenie.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 Sociálne služby zatiaľ obec neposkytuje.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  <w:r w:rsidRPr="001A7EAE">
        <w:rPr>
          <w:rFonts w:ascii="Times New Roman" w:eastAsia="StarSymbol" w:hAnsi="Times New Roman"/>
          <w:b/>
          <w:sz w:val="22"/>
          <w:szCs w:val="22"/>
        </w:rPr>
        <w:t xml:space="preserve">     1.10. Kultúra.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b/>
          <w:sz w:val="22"/>
          <w:szCs w:val="22"/>
        </w:rPr>
        <w:t xml:space="preserve">               </w:t>
      </w:r>
      <w:r w:rsidRPr="001A7EAE">
        <w:rPr>
          <w:rFonts w:ascii="Times New Roman" w:eastAsia="StarSymbol" w:hAnsi="Times New Roman"/>
          <w:sz w:val="22"/>
          <w:szCs w:val="22"/>
        </w:rPr>
        <w:t>Spoločenský</w:t>
      </w:r>
      <w:r w:rsidRPr="001A7EAE">
        <w:rPr>
          <w:rFonts w:ascii="Times New Roman" w:eastAsia="StarSymbol" w:hAnsi="Times New Roman"/>
          <w:b/>
          <w:sz w:val="22"/>
          <w:szCs w:val="22"/>
        </w:rPr>
        <w:t xml:space="preserve"> </w:t>
      </w:r>
      <w:r w:rsidRPr="001A7EAE">
        <w:rPr>
          <w:rFonts w:ascii="Times New Roman" w:eastAsia="StarSymbol" w:hAnsi="Times New Roman"/>
          <w:sz w:val="22"/>
          <w:szCs w:val="22"/>
        </w:rPr>
        <w:t xml:space="preserve">a kultúrny život v obci zabezpečuje obec v spolupráci 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   Materskou školou a členmi DHZ obce 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</w:t>
      </w:r>
      <w:r w:rsidRPr="001A7EAE">
        <w:rPr>
          <w:rFonts w:ascii="Times New Roman" w:eastAsia="StarSymbol" w:hAnsi="Times New Roman"/>
          <w:b/>
          <w:sz w:val="22"/>
          <w:szCs w:val="22"/>
        </w:rPr>
        <w:t>1.11. Hospodárstvo.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              Najvýznamnejší poskytovatelia služieb v obci.</w:t>
      </w:r>
    </w:p>
    <w:p w:rsidR="00894434" w:rsidRPr="001A7EAE" w:rsidRDefault="00894434" w:rsidP="001A7EAE">
      <w:pPr>
        <w:pStyle w:val="Bezriadkovania"/>
        <w:numPr>
          <w:ilvl w:val="0"/>
          <w:numId w:val="3"/>
        </w:numPr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>Poľnohospodárska výroba</w:t>
      </w:r>
    </w:p>
    <w:p w:rsidR="00894434" w:rsidRPr="001A7EAE" w:rsidRDefault="00894434" w:rsidP="001A7EAE">
      <w:pPr>
        <w:pStyle w:val="Bezriadkovania"/>
        <w:numPr>
          <w:ilvl w:val="0"/>
          <w:numId w:val="3"/>
        </w:numPr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 xml:space="preserve">Potraviny </w:t>
      </w:r>
      <w:proofErr w:type="spellStart"/>
      <w:r w:rsidRPr="001A7EAE">
        <w:rPr>
          <w:rFonts w:ascii="Times New Roman" w:eastAsia="StarSymbol" w:hAnsi="Times New Roman"/>
          <w:sz w:val="22"/>
          <w:szCs w:val="22"/>
        </w:rPr>
        <w:t>Paciga</w:t>
      </w:r>
      <w:proofErr w:type="spellEnd"/>
    </w:p>
    <w:p w:rsidR="00894434" w:rsidRPr="001A7EAE" w:rsidRDefault="00894434" w:rsidP="001A7EAE">
      <w:pPr>
        <w:pStyle w:val="Bezriadkovania"/>
        <w:numPr>
          <w:ilvl w:val="0"/>
          <w:numId w:val="3"/>
        </w:numPr>
        <w:jc w:val="both"/>
        <w:rPr>
          <w:rFonts w:ascii="Times New Roman" w:eastAsia="StarSymbol" w:hAnsi="Times New Roman"/>
          <w:sz w:val="22"/>
          <w:szCs w:val="22"/>
        </w:rPr>
      </w:pPr>
      <w:r w:rsidRPr="001A7EAE">
        <w:rPr>
          <w:rFonts w:ascii="Times New Roman" w:eastAsia="StarSymbol" w:hAnsi="Times New Roman"/>
          <w:sz w:val="22"/>
          <w:szCs w:val="22"/>
        </w:rPr>
        <w:t>Ubytovacie zariadenie UPJŠ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</w:p>
    <w:p w:rsidR="00894434" w:rsidRPr="001A7EAE" w:rsidRDefault="00C21B0E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  <w:r w:rsidRPr="001A7EAE">
        <w:rPr>
          <w:rFonts w:ascii="Times New Roman" w:eastAsia="StarSymbol" w:hAnsi="Times New Roman"/>
          <w:b/>
          <w:sz w:val="22"/>
          <w:szCs w:val="22"/>
        </w:rPr>
        <w:t xml:space="preserve">     </w:t>
      </w:r>
      <w:r w:rsidR="00894434" w:rsidRPr="001A7EAE">
        <w:rPr>
          <w:rFonts w:ascii="Times New Roman" w:eastAsia="StarSymbol" w:hAnsi="Times New Roman"/>
          <w:b/>
          <w:sz w:val="22"/>
          <w:szCs w:val="22"/>
        </w:rPr>
        <w:t>1.12. Organizačná štruktúra obce.</w:t>
      </w:r>
    </w:p>
    <w:p w:rsidR="00894434" w:rsidRPr="001A7EAE" w:rsidRDefault="00894434" w:rsidP="001A7EAE">
      <w:pPr>
        <w:pStyle w:val="Bezriadkovania"/>
        <w:jc w:val="both"/>
        <w:rPr>
          <w:rFonts w:ascii="Times New Roman" w:eastAsia="StarSymbol" w:hAnsi="Times New Roman"/>
          <w:b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>Obec Danišovce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 xml:space="preserve">Orgánmi obce sú obecné zastupiteľstvo a starosta obce. Obecné zastupiteľstvo je zastupiteľský zbor pozostávajúci z piatich poslancov – Bc. Kamil </w:t>
      </w:r>
      <w:proofErr w:type="spellStart"/>
      <w:r w:rsidRPr="001A7EAE">
        <w:rPr>
          <w:rFonts w:ascii="Times New Roman" w:hAnsi="Times New Roman"/>
          <w:sz w:val="22"/>
          <w:szCs w:val="22"/>
        </w:rPr>
        <w:t>Hudzík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Rastislav Kočiš, Mikuláš </w:t>
      </w:r>
      <w:proofErr w:type="spellStart"/>
      <w:r w:rsidRPr="001A7EAE">
        <w:rPr>
          <w:rFonts w:ascii="Times New Roman" w:hAnsi="Times New Roman"/>
          <w:sz w:val="22"/>
          <w:szCs w:val="22"/>
        </w:rPr>
        <w:t>Krescanko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Ľubomír </w:t>
      </w:r>
      <w:proofErr w:type="spellStart"/>
      <w:r w:rsidRPr="001A7EAE">
        <w:rPr>
          <w:rFonts w:ascii="Times New Roman" w:hAnsi="Times New Roman"/>
          <w:sz w:val="22"/>
          <w:szCs w:val="22"/>
        </w:rPr>
        <w:t>Majko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Emil </w:t>
      </w:r>
      <w:proofErr w:type="spellStart"/>
      <w:r w:rsidRPr="001A7EAE">
        <w:rPr>
          <w:rFonts w:ascii="Times New Roman" w:hAnsi="Times New Roman"/>
          <w:sz w:val="22"/>
          <w:szCs w:val="22"/>
        </w:rPr>
        <w:t>Mikolaj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. Po komunálnych voľbách 2022 pracuje obecné zastupiteľstvo v zložení - Mgr. Ľuboslava </w:t>
      </w:r>
      <w:proofErr w:type="spellStart"/>
      <w:r w:rsidRPr="001A7EAE">
        <w:rPr>
          <w:rFonts w:ascii="Times New Roman" w:hAnsi="Times New Roman"/>
          <w:sz w:val="22"/>
          <w:szCs w:val="22"/>
        </w:rPr>
        <w:t>Ambrozová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 Miroslav </w:t>
      </w:r>
      <w:proofErr w:type="spellStart"/>
      <w:r w:rsidRPr="001A7EAE">
        <w:rPr>
          <w:rFonts w:ascii="Times New Roman" w:hAnsi="Times New Roman"/>
          <w:sz w:val="22"/>
          <w:szCs w:val="22"/>
        </w:rPr>
        <w:t>Dobranský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Ľubomír </w:t>
      </w:r>
      <w:proofErr w:type="spellStart"/>
      <w:r w:rsidRPr="001A7EAE">
        <w:rPr>
          <w:rFonts w:ascii="Times New Roman" w:hAnsi="Times New Roman"/>
          <w:sz w:val="22"/>
          <w:szCs w:val="22"/>
        </w:rPr>
        <w:t>Majko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, Emil </w:t>
      </w:r>
      <w:proofErr w:type="spellStart"/>
      <w:r w:rsidRPr="001A7EAE">
        <w:rPr>
          <w:rFonts w:ascii="Times New Roman" w:hAnsi="Times New Roman"/>
          <w:sz w:val="22"/>
          <w:szCs w:val="22"/>
        </w:rPr>
        <w:t>Mikolaj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 a Ing. Henrich </w:t>
      </w:r>
      <w:proofErr w:type="spellStart"/>
      <w:r w:rsidRPr="001A7EAE">
        <w:rPr>
          <w:rFonts w:ascii="Times New Roman" w:hAnsi="Times New Roman"/>
          <w:sz w:val="22"/>
          <w:szCs w:val="22"/>
        </w:rPr>
        <w:t>Rimský</w:t>
      </w:r>
      <w:proofErr w:type="spellEnd"/>
      <w:r w:rsidRPr="001A7EAE">
        <w:rPr>
          <w:rFonts w:ascii="Times New Roman" w:hAnsi="Times New Roman"/>
          <w:sz w:val="22"/>
          <w:szCs w:val="22"/>
        </w:rPr>
        <w:t>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 xml:space="preserve">Starosta obce je predstaviteľom a najvyšším výkonným orgánom obce, ktorého volia obyvatelia obce na 4 roky. Starosta je štatutárnym orgánom obce. Funkciu starostu obce vo volebnom období 2018-2022 zastával Miroslav </w:t>
      </w:r>
      <w:proofErr w:type="spellStart"/>
      <w:r w:rsidRPr="001A7EAE">
        <w:rPr>
          <w:rFonts w:ascii="Times New Roman" w:hAnsi="Times New Roman"/>
          <w:sz w:val="22"/>
          <w:szCs w:val="22"/>
        </w:rPr>
        <w:t>Výrostek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. Od 28.11.2022 je starostom obce Mgr. Ján </w:t>
      </w:r>
      <w:proofErr w:type="spellStart"/>
      <w:r w:rsidRPr="001A7EAE">
        <w:rPr>
          <w:rFonts w:ascii="Times New Roman" w:hAnsi="Times New Roman"/>
          <w:sz w:val="22"/>
          <w:szCs w:val="22"/>
        </w:rPr>
        <w:t>Olekšák</w:t>
      </w:r>
      <w:proofErr w:type="spellEnd"/>
      <w:r w:rsidRPr="001A7EAE">
        <w:rPr>
          <w:rFonts w:ascii="Times New Roman" w:hAnsi="Times New Roman"/>
          <w:sz w:val="22"/>
          <w:szCs w:val="22"/>
        </w:rPr>
        <w:t>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 xml:space="preserve">Funkciu zástupcu starostu obce vykonával </w:t>
      </w:r>
      <w:r w:rsidR="001A75C5">
        <w:rPr>
          <w:rFonts w:ascii="Times New Roman" w:hAnsi="Times New Roman"/>
          <w:sz w:val="22"/>
          <w:szCs w:val="22"/>
        </w:rPr>
        <w:t xml:space="preserve">do komunálnych volieb 2022 </w:t>
      </w:r>
      <w:r w:rsidRPr="001A7EAE">
        <w:rPr>
          <w:rFonts w:ascii="Times New Roman" w:hAnsi="Times New Roman"/>
          <w:sz w:val="22"/>
          <w:szCs w:val="22"/>
        </w:rPr>
        <w:t xml:space="preserve">Ľubomír </w:t>
      </w:r>
      <w:proofErr w:type="spellStart"/>
      <w:r w:rsidRPr="001A7EAE">
        <w:rPr>
          <w:rFonts w:ascii="Times New Roman" w:hAnsi="Times New Roman"/>
          <w:sz w:val="22"/>
          <w:szCs w:val="22"/>
        </w:rPr>
        <w:t>Majko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. V novom volebnom období </w:t>
      </w:r>
      <w:r w:rsidR="001A75C5">
        <w:rPr>
          <w:rFonts w:ascii="Times New Roman" w:hAnsi="Times New Roman"/>
          <w:sz w:val="22"/>
          <w:szCs w:val="22"/>
        </w:rPr>
        <w:t xml:space="preserve">2022 – 2026 zástupcom </w:t>
      </w:r>
      <w:r w:rsidRPr="001A7EAE">
        <w:rPr>
          <w:rFonts w:ascii="Times New Roman" w:hAnsi="Times New Roman"/>
          <w:sz w:val="22"/>
          <w:szCs w:val="22"/>
        </w:rPr>
        <w:t>starostu</w:t>
      </w:r>
      <w:r w:rsidR="001A75C5">
        <w:rPr>
          <w:rFonts w:ascii="Times New Roman" w:hAnsi="Times New Roman"/>
          <w:sz w:val="22"/>
          <w:szCs w:val="22"/>
        </w:rPr>
        <w:t xml:space="preserve"> obce je</w:t>
      </w:r>
      <w:r w:rsidRPr="001A7EAE">
        <w:rPr>
          <w:rFonts w:ascii="Times New Roman" w:hAnsi="Times New Roman"/>
          <w:sz w:val="22"/>
          <w:szCs w:val="22"/>
        </w:rPr>
        <w:t xml:space="preserve"> Miroslav </w:t>
      </w:r>
      <w:proofErr w:type="spellStart"/>
      <w:r w:rsidRPr="001A7EAE">
        <w:rPr>
          <w:rFonts w:ascii="Times New Roman" w:hAnsi="Times New Roman"/>
          <w:sz w:val="22"/>
          <w:szCs w:val="22"/>
        </w:rPr>
        <w:t>Dobranský</w:t>
      </w:r>
      <w:proofErr w:type="spellEnd"/>
      <w:r w:rsidRPr="001A7EAE">
        <w:rPr>
          <w:rFonts w:ascii="Times New Roman" w:hAnsi="Times New Roman"/>
          <w:sz w:val="22"/>
          <w:szCs w:val="22"/>
        </w:rPr>
        <w:t>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>Výkonným orgánom obecného zastupite</w:t>
      </w:r>
      <w:r w:rsidRPr="001A7EAE">
        <w:rPr>
          <w:rFonts w:ascii="Times New Roman" w:eastAsia="TimesNewRoman" w:hAnsi="Times New Roman"/>
          <w:sz w:val="22"/>
          <w:szCs w:val="22"/>
        </w:rPr>
        <w:t>ľ</w:t>
      </w:r>
      <w:r w:rsidRPr="001A7EAE">
        <w:rPr>
          <w:rFonts w:ascii="Times New Roman" w:hAnsi="Times New Roman"/>
          <w:sz w:val="22"/>
          <w:szCs w:val="22"/>
        </w:rPr>
        <w:t xml:space="preserve">stva a starostu obce je obecný úrad. Obecný úrad vykonáva odborné, administratívne a organizačné práce súvisiace s plnením úloh samosprávy obce a preneseným výkonom štátnej správy. 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>Hlavný kontrolór obce Danišovce, ktorého volí obecné zastupiteľstvo na 6 rokov, je zamestnancom obce a vykonáva kontrolu plnenia úloh obce. V rámci zmluvy o hlavnom kontrolórovi viacerých obcí vykonáva funkciu kontrolóra Ing. František Stanislav.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D147F5" w:rsidRPr="001A7EAE" w:rsidRDefault="00D147F5" w:rsidP="001A7EAE">
      <w:pPr>
        <w:jc w:val="both"/>
        <w:rPr>
          <w:rFonts w:ascii="Times New Roman" w:hAnsi="Times New Roman"/>
          <w:sz w:val="22"/>
          <w:szCs w:val="22"/>
        </w:rPr>
      </w:pPr>
    </w:p>
    <w:p w:rsidR="003330C6" w:rsidRPr="001A7EAE" w:rsidRDefault="003330C6" w:rsidP="001A7EAE">
      <w:pPr>
        <w:pStyle w:val="Zkladntext"/>
        <w:jc w:val="center"/>
        <w:rPr>
          <w:rFonts w:ascii="Times New Roman" w:eastAsia="Wingdings" w:hAnsi="Times New Roman"/>
          <w:sz w:val="22"/>
          <w:szCs w:val="22"/>
        </w:rPr>
      </w:pPr>
      <w:r w:rsidRPr="001A7EAE">
        <w:rPr>
          <w:rFonts w:ascii="Times New Roman" w:eastAsia="Wingdings" w:hAnsi="Times New Roman"/>
          <w:sz w:val="22"/>
          <w:szCs w:val="22"/>
        </w:rPr>
        <w:lastRenderedPageBreak/>
        <w:t></w:t>
      </w:r>
      <w:r w:rsidRPr="001A7EAE">
        <w:rPr>
          <w:rFonts w:ascii="Times New Roman" w:eastAsia="Wingdings" w:hAnsi="Times New Roman"/>
          <w:sz w:val="22"/>
          <w:szCs w:val="22"/>
        </w:rPr>
        <w:t></w:t>
      </w:r>
      <w:r w:rsidRPr="001A7EAE">
        <w:rPr>
          <w:rFonts w:ascii="Times New Roman" w:eastAsia="Wingdings" w:hAnsi="Times New Roman"/>
          <w:sz w:val="22"/>
          <w:szCs w:val="22"/>
        </w:rPr>
        <w:t></w:t>
      </w:r>
      <w:r w:rsidRPr="001A7EAE">
        <w:rPr>
          <w:rFonts w:ascii="Times New Roman" w:eastAsia="Wingdings" w:hAnsi="Times New Roman"/>
          <w:sz w:val="22"/>
          <w:szCs w:val="22"/>
        </w:rPr>
        <w:t></w:t>
      </w:r>
      <w:r w:rsidRPr="001A7EAE">
        <w:rPr>
          <w:rFonts w:ascii="Times New Roman" w:eastAsia="Wingdings" w:hAnsi="Times New Roman"/>
          <w:sz w:val="22"/>
          <w:szCs w:val="22"/>
        </w:rPr>
        <w:t>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Súčasťou výročnej správy sú aj údaje o plnení rozpočtu k 31.12.</w:t>
      </w:r>
      <w:r w:rsidR="008238F6" w:rsidRPr="001A7EAE">
        <w:rPr>
          <w:rFonts w:ascii="Times New Roman" w:hAnsi="Times New Roman"/>
          <w:b/>
          <w:sz w:val="22"/>
          <w:szCs w:val="22"/>
        </w:rPr>
        <w:t>2022</w:t>
      </w:r>
    </w:p>
    <w:p w:rsidR="00894434" w:rsidRPr="001A7EAE" w:rsidRDefault="00894434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Obec Danišovce v zmysle § 16 zákona č. 583/2004 </w:t>
      </w:r>
      <w:proofErr w:type="spellStart"/>
      <w:r w:rsidRPr="001A7EAE">
        <w:rPr>
          <w:rFonts w:ascii="Times New Roman" w:hAnsi="Times New Roman"/>
          <w:sz w:val="22"/>
          <w:szCs w:val="22"/>
        </w:rPr>
        <w:t>Z.z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. o rozpočtových pravidlách územnej samosprávy a o zmene a doplnení niektorých zákonov v znení neskorších predpisov spracovala </w:t>
      </w:r>
      <w:r w:rsidR="00B7293B" w:rsidRPr="001A7EAE">
        <w:rPr>
          <w:rFonts w:ascii="Times New Roman" w:hAnsi="Times New Roman"/>
          <w:sz w:val="22"/>
          <w:szCs w:val="22"/>
        </w:rPr>
        <w:t>túto výročnú správu</w:t>
      </w:r>
      <w:r w:rsidRPr="001A7EAE">
        <w:rPr>
          <w:rFonts w:ascii="Times New Roman" w:hAnsi="Times New Roman"/>
          <w:sz w:val="22"/>
          <w:szCs w:val="22"/>
        </w:rPr>
        <w:t xml:space="preserve"> za rok </w:t>
      </w:r>
      <w:r w:rsidR="008238F6" w:rsidRPr="001A7EAE">
        <w:rPr>
          <w:rFonts w:ascii="Times New Roman" w:hAnsi="Times New Roman"/>
          <w:sz w:val="22"/>
          <w:szCs w:val="22"/>
        </w:rPr>
        <w:t>2022</w:t>
      </w:r>
      <w:r w:rsidRPr="001A7EAE">
        <w:rPr>
          <w:rFonts w:ascii="Times New Roman" w:hAnsi="Times New Roman"/>
          <w:sz w:val="22"/>
          <w:szCs w:val="22"/>
        </w:rPr>
        <w:t>.</w:t>
      </w:r>
    </w:p>
    <w:p w:rsidR="00894434" w:rsidRPr="001A7EAE" w:rsidRDefault="00894434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pStyle w:val="Zkladntext"/>
        <w:jc w:val="center"/>
        <w:rPr>
          <w:rFonts w:ascii="Times New Roman" w:eastAsia="Wingdings" w:hAnsi="Times New Roman"/>
          <w:sz w:val="22"/>
          <w:szCs w:val="22"/>
        </w:rPr>
      </w:pP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0020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0020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>Obsah: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Údaje o plnení rozpočtu v súlade s rozpočtovou klasifikáciou v členení:</w:t>
      </w:r>
    </w:p>
    <w:p w:rsidR="003C02C2" w:rsidRPr="001A7EAE" w:rsidRDefault="003C02C2" w:rsidP="001A7EAE">
      <w:pPr>
        <w:numPr>
          <w:ilvl w:val="0"/>
          <w:numId w:val="26"/>
        </w:numPr>
        <w:tabs>
          <w:tab w:val="clear" w:pos="720"/>
          <w:tab w:val="left" w:pos="0"/>
        </w:tabs>
        <w:ind w:left="108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bežné príjmy a bežné výdavky („bežný rozpočet“),</w:t>
      </w:r>
    </w:p>
    <w:p w:rsidR="003C02C2" w:rsidRPr="001A7EAE" w:rsidRDefault="003C02C2" w:rsidP="001A7EAE">
      <w:pPr>
        <w:numPr>
          <w:ilvl w:val="0"/>
          <w:numId w:val="26"/>
        </w:numPr>
        <w:tabs>
          <w:tab w:val="clear" w:pos="720"/>
          <w:tab w:val="left" w:pos="0"/>
        </w:tabs>
        <w:ind w:left="108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kapitálové príjmy a kapitálové výdavky („kapitálový rozpočet“),</w:t>
      </w:r>
    </w:p>
    <w:p w:rsidR="003C02C2" w:rsidRPr="001A7EAE" w:rsidRDefault="003C02C2" w:rsidP="001A7EAE">
      <w:pPr>
        <w:numPr>
          <w:ilvl w:val="0"/>
          <w:numId w:val="26"/>
        </w:numPr>
        <w:tabs>
          <w:tab w:val="clear" w:pos="720"/>
          <w:tab w:val="left" w:pos="0"/>
        </w:tabs>
        <w:ind w:left="108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finančné operácie.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Bilancia aktív a pasív.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Prehľad o stave a vývoji dlhu.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Údaje o hospodárení príspevkových organizácií v pôsobnosti obce.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Prehľad o poskytnutých dotáciách v členení podľa jednotlivých príjemcov.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Údaje o nákladoch a výnosoch podnikateľskej činnosti.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i/>
          <w:iCs/>
          <w:sz w:val="22"/>
          <w:szCs w:val="22"/>
        </w:rPr>
      </w:pPr>
    </w:p>
    <w:p w:rsidR="003C02C2" w:rsidRPr="001A7EAE" w:rsidRDefault="003C02C2" w:rsidP="001A7EAE">
      <w:pPr>
        <w:numPr>
          <w:ilvl w:val="0"/>
          <w:numId w:val="25"/>
        </w:numPr>
        <w:tabs>
          <w:tab w:val="left" w:pos="0"/>
        </w:tabs>
        <w:ind w:left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Hodnotenie plnenia programov obce.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pStyle w:val="Zkladntext"/>
        <w:jc w:val="center"/>
        <w:rPr>
          <w:rFonts w:ascii="Times New Roman" w:eastAsia="Wingdings" w:hAnsi="Times New Roman"/>
          <w:sz w:val="22"/>
          <w:szCs w:val="22"/>
        </w:rPr>
      </w:pP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0020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0020"/>
      </w:r>
      <w:r w:rsidRPr="001A7EAE">
        <w:rPr>
          <w:rFonts w:ascii="Times New Roman" w:eastAsia="Wingdings" w:hAnsi="Times New Roman"/>
          <w:sz w:val="22"/>
          <w:szCs w:val="22"/>
        </w:rPr>
        <w:sym w:font="Wingdings" w:char="F076"/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1. Údaje o plnení rozpočtu roku 2022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Bežný rozpočet</w:t>
      </w: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noProof/>
          <w:sz w:val="22"/>
          <w:szCs w:val="22"/>
          <w:lang w:eastAsia="sk-SK"/>
        </w:rPr>
        <w:drawing>
          <wp:anchor distT="0" distB="0" distL="0" distR="0" simplePos="0" relativeHeight="251659264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2264410"/>
            <wp:effectExtent l="0" t="0" r="0" b="0"/>
            <wp:wrapTopAndBottom/>
            <wp:docPr id="1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264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A7EAE">
        <w:rPr>
          <w:rFonts w:ascii="Times New Roman" w:hAnsi="Times New Roman"/>
          <w:b/>
          <w:bCs/>
          <w:sz w:val="22"/>
          <w:szCs w:val="22"/>
        </w:rPr>
        <w:tab/>
      </w: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noProof/>
          <w:sz w:val="22"/>
          <w:szCs w:val="22"/>
          <w:lang w:eastAsia="sk-SK"/>
        </w:rPr>
        <w:lastRenderedPageBreak/>
        <w:drawing>
          <wp:anchor distT="0" distB="0" distL="0" distR="0" simplePos="0" relativeHeight="251660288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2661920"/>
            <wp:effectExtent l="0" t="0" r="0" b="0"/>
            <wp:wrapTopAndBottom/>
            <wp:docPr id="9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661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noProof/>
          <w:sz w:val="22"/>
          <w:szCs w:val="22"/>
          <w:lang w:eastAsia="sk-SK"/>
        </w:rPr>
        <w:lastRenderedPageBreak/>
        <w:drawing>
          <wp:anchor distT="0" distB="0" distL="0" distR="0" simplePos="0" relativeHeight="251661312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7822565"/>
            <wp:effectExtent l="0" t="0" r="0" b="0"/>
            <wp:wrapTopAndBottom/>
            <wp:docPr id="10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3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78225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Kapitálový rozpočet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noProof/>
          <w:sz w:val="22"/>
          <w:szCs w:val="22"/>
          <w:lang w:eastAsia="sk-SK"/>
        </w:rPr>
        <w:lastRenderedPageBreak/>
        <w:drawing>
          <wp:anchor distT="0" distB="0" distL="0" distR="0" simplePos="0" relativeHeight="251662336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1064895"/>
            <wp:effectExtent l="0" t="0" r="0" b="0"/>
            <wp:wrapTopAndBottom/>
            <wp:docPr id="11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4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064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noProof/>
          <w:sz w:val="22"/>
          <w:szCs w:val="22"/>
          <w:lang w:eastAsia="sk-SK"/>
        </w:rPr>
        <w:drawing>
          <wp:anchor distT="0" distB="0" distL="0" distR="0" simplePos="0" relativeHeight="251663360" behindDoc="0" locked="0" layoutInCell="0" allowOverlap="1">
            <wp:simplePos x="0" y="0"/>
            <wp:positionH relativeFrom="column">
              <wp:posOffset>0</wp:posOffset>
            </wp:positionH>
            <wp:positionV relativeFrom="paragraph">
              <wp:posOffset>182880</wp:posOffset>
            </wp:positionV>
            <wp:extent cx="6120765" cy="2794635"/>
            <wp:effectExtent l="0" t="0" r="0" b="0"/>
            <wp:wrapTopAndBottom/>
            <wp:docPr id="12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5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794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Finančné operácie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noProof/>
          <w:sz w:val="22"/>
          <w:szCs w:val="22"/>
          <w:lang w:eastAsia="sk-SK"/>
        </w:rPr>
        <w:drawing>
          <wp:anchor distT="0" distB="0" distL="0" distR="0" simplePos="0" relativeHeight="251664384" behindDoc="0" locked="0" layoutInCell="0" allowOverlap="1">
            <wp:simplePos x="0" y="0"/>
            <wp:positionH relativeFrom="column">
              <wp:posOffset>0</wp:posOffset>
            </wp:positionH>
            <wp:positionV relativeFrom="paragraph">
              <wp:posOffset>68580</wp:posOffset>
            </wp:positionV>
            <wp:extent cx="6120765" cy="1856105"/>
            <wp:effectExtent l="0" t="0" r="0" b="0"/>
            <wp:wrapTopAndBottom/>
            <wp:docPr id="13" name="Obrázok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8561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noProof/>
          <w:sz w:val="22"/>
          <w:szCs w:val="22"/>
          <w:lang w:eastAsia="sk-SK"/>
        </w:rPr>
        <w:drawing>
          <wp:anchor distT="0" distB="0" distL="0" distR="0" simplePos="0" relativeHeight="251665408" behindDoc="0" locked="0" layoutInCell="0" allowOverlap="1">
            <wp:simplePos x="0" y="0"/>
            <wp:positionH relativeFrom="column">
              <wp:posOffset>0</wp:posOffset>
            </wp:positionH>
            <wp:positionV relativeFrom="paragraph">
              <wp:posOffset>76200</wp:posOffset>
            </wp:positionV>
            <wp:extent cx="6120765" cy="1734185"/>
            <wp:effectExtent l="0" t="0" r="0" b="0"/>
            <wp:wrapTopAndBottom/>
            <wp:docPr id="14" name="Obrázok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7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73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Rekapitulácia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noProof/>
          <w:sz w:val="22"/>
          <w:szCs w:val="22"/>
          <w:lang w:eastAsia="sk-SK"/>
        </w:rPr>
        <w:drawing>
          <wp:anchor distT="0" distB="0" distL="0" distR="0" simplePos="0" relativeHeight="251666432" behindDoc="0" locked="0" layoutInCell="0" allowOverlap="1">
            <wp:simplePos x="0" y="0"/>
            <wp:positionH relativeFrom="column">
              <wp:posOffset>0</wp:posOffset>
            </wp:positionH>
            <wp:positionV relativeFrom="paragraph">
              <wp:posOffset>198120</wp:posOffset>
            </wp:positionV>
            <wp:extent cx="6120765" cy="3041015"/>
            <wp:effectExtent l="0" t="0" r="0" b="0"/>
            <wp:wrapTopAndBottom/>
            <wp:docPr id="15" name="Obrázok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8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041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Výsledok hospodárenia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 xml:space="preserve">Schodok rozpočtu obce za r. 2022 podľa ustanovení </w:t>
      </w:r>
      <w:r w:rsidRPr="001A7EAE">
        <w:rPr>
          <w:rFonts w:ascii="Times New Roman" w:hAnsi="Times New Roman"/>
          <w:iCs/>
          <w:sz w:val="22"/>
          <w:szCs w:val="22"/>
        </w:rPr>
        <w:t>§ 10 ods. 3 písm. a) a b)</w:t>
      </w:r>
      <w:r w:rsidRPr="001A7EAE">
        <w:rPr>
          <w:rFonts w:ascii="Times New Roman" w:hAnsi="Times New Roman"/>
          <w:color w:val="000000"/>
          <w:sz w:val="22"/>
          <w:szCs w:val="22"/>
        </w:rPr>
        <w:t xml:space="preserve"> zákona č. 583/2004 </w:t>
      </w:r>
      <w:proofErr w:type="spellStart"/>
      <w:r w:rsidRPr="001A7EAE">
        <w:rPr>
          <w:rFonts w:ascii="Times New Roman" w:hAnsi="Times New Roman"/>
          <w:color w:val="000000"/>
          <w:sz w:val="22"/>
          <w:szCs w:val="22"/>
        </w:rPr>
        <w:t>Z.z</w:t>
      </w:r>
      <w:proofErr w:type="spellEnd"/>
      <w:r w:rsidRPr="001A7EAE">
        <w:rPr>
          <w:rFonts w:ascii="Times New Roman" w:hAnsi="Times New Roman"/>
          <w:color w:val="000000"/>
          <w:sz w:val="22"/>
          <w:szCs w:val="22"/>
        </w:rPr>
        <w:t>. je vykázaný vo výške</w:t>
      </w: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 xml:space="preserve"> -104.352,51 EUR</w:t>
      </w:r>
      <w:r w:rsidRPr="001A7EAE">
        <w:rPr>
          <w:rFonts w:ascii="Times New Roman" w:hAnsi="Times New Roman"/>
          <w:color w:val="000000"/>
          <w:sz w:val="22"/>
          <w:szCs w:val="22"/>
        </w:rPr>
        <w:t xml:space="preserve">. Po započítaní prebytku finančných operácií je vykázaný celkový prebytok vo výške </w:t>
      </w: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>3.691,14 EUR.</w:t>
      </w:r>
      <w:r w:rsidRPr="001A7EAE">
        <w:rPr>
          <w:rFonts w:ascii="Times New Roman" w:hAnsi="Times New Roman"/>
          <w:color w:val="000000"/>
          <w:sz w:val="22"/>
          <w:szCs w:val="22"/>
        </w:rPr>
        <w:t xml:space="preserve"> 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 xml:space="preserve">Z prebytku sa vylučujú nevyčerpané účelovo určené prostriedky poskytnuté v predchádzajúcom rozpočtovom roku zo štátneho rozpočtu vo výške </w:t>
      </w: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>1.274,57 EUR</w:t>
      </w:r>
      <w:r w:rsidRPr="001A7EAE">
        <w:rPr>
          <w:rFonts w:ascii="Times New Roman" w:hAnsi="Times New Roman"/>
          <w:color w:val="000000"/>
          <w:sz w:val="22"/>
          <w:szCs w:val="22"/>
        </w:rPr>
        <w:t>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eastAsia="Arial;Arial" w:hAnsi="Times New Roman"/>
          <w:color w:val="000000"/>
          <w:sz w:val="22"/>
          <w:szCs w:val="22"/>
        </w:rPr>
        <w:t>O</w:t>
      </w:r>
      <w:r w:rsidRPr="001A7EAE">
        <w:rPr>
          <w:rFonts w:ascii="Times New Roman" w:hAnsi="Times New Roman"/>
          <w:color w:val="000000"/>
          <w:sz w:val="22"/>
          <w:szCs w:val="22"/>
        </w:rPr>
        <w:t>bec Danišovce za r. 2022 vykázala účtovný výsledok hospodárenia vo výške</w:t>
      </w:r>
      <w:r w:rsidRPr="001A7EAE">
        <w:rPr>
          <w:rFonts w:ascii="Times New Roman" w:hAnsi="Times New Roman"/>
          <w:color w:val="C9211E"/>
          <w:sz w:val="22"/>
          <w:szCs w:val="22"/>
        </w:rPr>
        <w:t xml:space="preserve"> </w:t>
      </w:r>
      <w:r w:rsidRPr="001A7EAE">
        <w:rPr>
          <w:rFonts w:ascii="Times New Roman" w:hAnsi="Times New Roman"/>
          <w:b/>
          <w:bCs/>
          <w:color w:val="C9211E"/>
          <w:sz w:val="22"/>
          <w:szCs w:val="22"/>
        </w:rPr>
        <w:t>-</w:t>
      </w: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>93.112,23</w:t>
      </w:r>
      <w:r w:rsidRPr="001A7EAE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>EUR.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  <w:shd w:val="clear" w:color="auto" w:fill="FFFF00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color w:val="CE181E"/>
          <w:sz w:val="22"/>
          <w:szCs w:val="22"/>
        </w:rPr>
      </w:pPr>
      <w:r w:rsidRPr="001A7EAE">
        <w:rPr>
          <w:rFonts w:ascii="Times New Roman" w:eastAsia="Arial;Arial" w:hAnsi="Times New Roman"/>
          <w:color w:val="000000"/>
          <w:sz w:val="22"/>
          <w:szCs w:val="22"/>
        </w:rPr>
        <w:t xml:space="preserve">Výsledok hospodárenia obce podľa metodiky ESA 2010 je </w:t>
      </w:r>
      <w:r w:rsidRPr="001A7EAE">
        <w:rPr>
          <w:rFonts w:ascii="Times New Roman" w:eastAsia="Arial;Arial" w:hAnsi="Times New Roman"/>
          <w:b/>
          <w:bCs/>
          <w:color w:val="000000"/>
          <w:sz w:val="22"/>
          <w:szCs w:val="22"/>
        </w:rPr>
        <w:t>-89.136 EUR:</w:t>
      </w:r>
    </w:p>
    <w:p w:rsidR="003C02C2" w:rsidRPr="001A7EAE" w:rsidRDefault="003C02C2" w:rsidP="001A7EAE">
      <w:pPr>
        <w:jc w:val="both"/>
        <w:rPr>
          <w:rFonts w:ascii="Times New Roman" w:eastAsia="Arial;Arial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eastAsia="Arial;Arial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eastAsia="Arial;Arial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eastAsia="Arial;Arial" w:hAnsi="Times New Roman"/>
          <w:b/>
          <w:bCs/>
          <w:sz w:val="22"/>
          <w:szCs w:val="22"/>
        </w:rPr>
      </w:pPr>
      <w:r w:rsidRPr="001A7EAE">
        <w:rPr>
          <w:rFonts w:ascii="Times New Roman" w:eastAsia="Arial;Arial" w:hAnsi="Times New Roman"/>
          <w:b/>
          <w:bCs/>
          <w:noProof/>
          <w:color w:val="000000"/>
          <w:sz w:val="22"/>
          <w:szCs w:val="22"/>
          <w:lang w:eastAsia="sk-SK"/>
        </w:rPr>
        <w:lastRenderedPageBreak/>
        <w:drawing>
          <wp:anchor distT="0" distB="0" distL="0" distR="0" simplePos="0" relativeHeight="251668480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765" cy="4521200"/>
            <wp:effectExtent l="0" t="0" r="0" b="0"/>
            <wp:wrapTopAndBottom/>
            <wp:docPr id="16" name="Obrázok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9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21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02C2" w:rsidRPr="001A7EAE" w:rsidRDefault="003C02C2" w:rsidP="001A7EAE">
      <w:pPr>
        <w:jc w:val="both"/>
        <w:rPr>
          <w:rFonts w:ascii="Times New Roman" w:eastAsia="Arial;Arial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eastAsia="Arial;Arial" w:hAnsi="Times New Roman"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>2. Bilancia aktív a pasív</w:t>
      </w: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ab/>
        <w:t>A</w:t>
      </w:r>
      <w:r w:rsidRPr="001A7EAE">
        <w:rPr>
          <w:rFonts w:ascii="Times New Roman" w:hAnsi="Times New Roman"/>
          <w:b/>
          <w:sz w:val="22"/>
          <w:szCs w:val="22"/>
        </w:rPr>
        <w:t>ktíva</w:t>
      </w:r>
    </w:p>
    <w:p w:rsidR="003C02C2" w:rsidRPr="001A7EAE" w:rsidRDefault="003C02C2" w:rsidP="001A7EAE">
      <w:pPr>
        <w:jc w:val="both"/>
        <w:rPr>
          <w:rFonts w:ascii="Times New Roman" w:hAnsi="Times New Roman"/>
          <w:b/>
          <w:sz w:val="22"/>
          <w:szCs w:val="22"/>
        </w:rPr>
      </w:pPr>
    </w:p>
    <w:tbl>
      <w:tblPr>
        <w:tblW w:w="8628" w:type="dxa"/>
        <w:tblInd w:w="8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64"/>
        <w:gridCol w:w="2581"/>
        <w:gridCol w:w="2583"/>
      </w:tblGrid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  <w:vAlign w:val="bottom"/>
          </w:tcPr>
          <w:p w:rsidR="003C02C2" w:rsidRPr="001A7EAE" w:rsidRDefault="003C02C2" w:rsidP="001A7EAE">
            <w:pPr>
              <w:jc w:val="center"/>
              <w:rPr>
                <w:rFonts w:ascii="Times New Roman" w:hAnsi="Times New Roman"/>
                <w:b/>
                <w:color w:val="FFFFFF"/>
              </w:rPr>
            </w:pPr>
            <w:r w:rsidRPr="001A7EAE">
              <w:rPr>
                <w:rFonts w:ascii="Times New Roman" w:hAnsi="Times New Roman"/>
                <w:b/>
                <w:color w:val="FFFFFF"/>
                <w:sz w:val="22"/>
                <w:szCs w:val="22"/>
              </w:rPr>
              <w:t xml:space="preserve">Názov 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  <w:vAlign w:val="bottom"/>
          </w:tcPr>
          <w:p w:rsidR="003C02C2" w:rsidRPr="001A7EAE" w:rsidRDefault="003C02C2" w:rsidP="001A7EAE">
            <w:pPr>
              <w:jc w:val="center"/>
              <w:rPr>
                <w:rFonts w:ascii="Times New Roman" w:hAnsi="Times New Roman"/>
                <w:b/>
                <w:color w:val="FFFFFF"/>
              </w:rPr>
            </w:pPr>
            <w:r w:rsidRPr="001A7EAE">
              <w:rPr>
                <w:rFonts w:ascii="Times New Roman" w:hAnsi="Times New Roman"/>
                <w:b/>
                <w:color w:val="FFFFFF"/>
                <w:sz w:val="22"/>
                <w:szCs w:val="22"/>
              </w:rPr>
              <w:t>ZS  k  1.1.2022  v EUR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  <w:vAlign w:val="bottom"/>
          </w:tcPr>
          <w:p w:rsidR="003C02C2" w:rsidRPr="001A7EAE" w:rsidRDefault="003C02C2" w:rsidP="001A7EAE">
            <w:pPr>
              <w:jc w:val="center"/>
              <w:rPr>
                <w:rFonts w:ascii="Times New Roman" w:hAnsi="Times New Roman"/>
                <w:b/>
                <w:color w:val="FFFFFF"/>
              </w:rPr>
            </w:pPr>
            <w:r w:rsidRPr="001A7EAE">
              <w:rPr>
                <w:rFonts w:ascii="Times New Roman" w:hAnsi="Times New Roman"/>
                <w:b/>
                <w:color w:val="FFFFFF"/>
                <w:sz w:val="22"/>
                <w:szCs w:val="22"/>
              </w:rPr>
              <w:t>KZ  k  31.12.2022 v EUR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Majetok 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1 570 764,61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1 408 205,61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571BB1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571BB1">
              <w:rPr>
                <w:rFonts w:ascii="Times New Roman" w:hAnsi="Times New Roman"/>
                <w:sz w:val="22"/>
                <w:szCs w:val="22"/>
              </w:rPr>
              <w:fldChar w:fldCharType="begin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instrText xml:space="preserve"> =sum(A3)B4:B7</w:instrTex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separate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1 437 264,63</w: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571BB1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571BB1">
              <w:rPr>
                <w:rFonts w:ascii="Times New Roman" w:hAnsi="Times New Roman"/>
                <w:sz w:val="22"/>
                <w:szCs w:val="22"/>
              </w:rPr>
              <w:fldChar w:fldCharType="begin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instrText xml:space="preserve"> =sum(B3)C4:C7</w:instrTex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separate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1 393 905,91</w: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 toho :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Dlhodobý nehmotný majetok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Dlhodobý hmotný majetok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1 383 674,47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1 340 315,75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Dlhodobý finančný majetok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53 590,16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53 590,16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Obežný majetok 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571BB1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571BB1">
              <w:rPr>
                <w:rFonts w:ascii="Times New Roman" w:hAnsi="Times New Roman"/>
                <w:sz w:val="22"/>
                <w:szCs w:val="22"/>
              </w:rPr>
              <w:fldChar w:fldCharType="begin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instrText xml:space="preserve"> =sum(B3|B4|B5|B6|B7)B9:B16</w:instrTex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separate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133 323,58</w: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571BB1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571BB1">
              <w:rPr>
                <w:rFonts w:ascii="Times New Roman" w:hAnsi="Times New Roman"/>
                <w:sz w:val="22"/>
                <w:szCs w:val="22"/>
              </w:rPr>
              <w:fldChar w:fldCharType="begin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instrText xml:space="preserve"> =sum(C3|C4|C5|C6|C7)C9:C16</w:instrTex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separate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13 907,88</w: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 toho :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Zásoby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89,01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28,48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Zúčtovanie medzi </w:t>
            </w: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subjektami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 xml:space="preserve"> VS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Dlhodobé pohľadávky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6 030,84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6 857,76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Finančné účty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127 203,73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7 021,64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Poskytnuté návratné fin. výpomoci dlh.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Poskytnuté návratné fin. výpomoci krát.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</w:tr>
      <w:tr w:rsidR="003C02C2" w:rsidRPr="001A7EAE" w:rsidTr="001A7EAE"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176,40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391,82</w:t>
            </w:r>
          </w:p>
        </w:tc>
      </w:tr>
    </w:tbl>
    <w:p w:rsidR="003C02C2" w:rsidRPr="001A7EAE" w:rsidRDefault="003C02C2" w:rsidP="001A7EAE">
      <w:pPr>
        <w:jc w:val="both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ab/>
      </w:r>
    </w:p>
    <w:p w:rsidR="003C02C2" w:rsidRPr="001A7EAE" w:rsidRDefault="003C02C2" w:rsidP="001A7EAE">
      <w:pPr>
        <w:jc w:val="both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 xml:space="preserve">    Pasíva</w:t>
      </w:r>
    </w:p>
    <w:p w:rsidR="003C02C2" w:rsidRPr="001A7EAE" w:rsidRDefault="003C02C2" w:rsidP="001A7EAE">
      <w:pPr>
        <w:jc w:val="both"/>
        <w:rPr>
          <w:rFonts w:ascii="Times New Roman" w:hAnsi="Times New Roman"/>
          <w:b/>
          <w:sz w:val="22"/>
          <w:szCs w:val="22"/>
        </w:rPr>
      </w:pPr>
    </w:p>
    <w:tbl>
      <w:tblPr>
        <w:tblW w:w="8643" w:type="dxa"/>
        <w:tblInd w:w="7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65"/>
        <w:gridCol w:w="2580"/>
        <w:gridCol w:w="2598"/>
      </w:tblGrid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3C02C2" w:rsidRPr="001A7EAE" w:rsidRDefault="003C02C2" w:rsidP="001A7EAE">
            <w:pPr>
              <w:jc w:val="center"/>
              <w:rPr>
                <w:rFonts w:ascii="Times New Roman" w:hAnsi="Times New Roman"/>
                <w:b/>
                <w:color w:val="FFFFFF"/>
              </w:rPr>
            </w:pPr>
            <w:r w:rsidRPr="001A7EAE">
              <w:rPr>
                <w:rFonts w:ascii="Times New Roman" w:hAnsi="Times New Roman"/>
                <w:b/>
                <w:color w:val="FFFFFF"/>
                <w:sz w:val="22"/>
                <w:szCs w:val="22"/>
              </w:rPr>
              <w:t>Názov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3C02C2" w:rsidRPr="001A7EAE" w:rsidRDefault="003C02C2" w:rsidP="001A7EAE">
            <w:pPr>
              <w:jc w:val="center"/>
              <w:rPr>
                <w:rFonts w:ascii="Times New Roman" w:hAnsi="Times New Roman"/>
                <w:b/>
                <w:color w:val="FFFFFF"/>
              </w:rPr>
            </w:pPr>
            <w:r w:rsidRPr="001A7EAE">
              <w:rPr>
                <w:rFonts w:ascii="Times New Roman" w:hAnsi="Times New Roman"/>
                <w:b/>
                <w:color w:val="FFFFFF"/>
                <w:sz w:val="22"/>
                <w:szCs w:val="22"/>
              </w:rPr>
              <w:t>ZS  k  1.1.2022  v EUR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3C02C2" w:rsidRPr="001A7EAE" w:rsidRDefault="003C02C2" w:rsidP="001A7EAE">
            <w:pPr>
              <w:jc w:val="center"/>
              <w:rPr>
                <w:rFonts w:ascii="Times New Roman" w:hAnsi="Times New Roman"/>
                <w:b/>
                <w:color w:val="FFFFFF"/>
              </w:rPr>
            </w:pPr>
            <w:r w:rsidRPr="001A7EAE">
              <w:rPr>
                <w:rFonts w:ascii="Times New Roman" w:hAnsi="Times New Roman"/>
                <w:b/>
                <w:color w:val="FFFFFF"/>
                <w:sz w:val="22"/>
                <w:szCs w:val="22"/>
              </w:rPr>
              <w:t>KZ  k  31.12.2022 v EUR</w:t>
            </w:r>
          </w:p>
        </w:tc>
      </w:tr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Vlastné imanie a záväzky 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1 570 764,61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1 408 205,61</w:t>
            </w:r>
          </w:p>
        </w:tc>
      </w:tr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lastRenderedPageBreak/>
              <w:t xml:space="preserve">Vlastné imanie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571BB1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571BB1">
              <w:rPr>
                <w:rFonts w:ascii="Times New Roman" w:hAnsi="Times New Roman"/>
                <w:sz w:val="22"/>
                <w:szCs w:val="22"/>
              </w:rPr>
              <w:fldChar w:fldCharType="begin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instrText xml:space="preserve"> =sum(B2)B4:B7</w:instrTex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separate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543 824,53</w: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571BB1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571BB1">
              <w:rPr>
                <w:rFonts w:ascii="Times New Roman" w:hAnsi="Times New Roman"/>
                <w:sz w:val="22"/>
                <w:szCs w:val="22"/>
              </w:rPr>
              <w:fldChar w:fldCharType="begin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instrText xml:space="preserve"> =sum(C2)C4:C7</w:instrTex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separate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442 292,55</w: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 toho :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</w:tr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Oceňovacie rozdiely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</w:tr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Fondy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</w:tr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Výsledok hospodárenia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543 824,53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442 292,55</w:t>
            </w:r>
          </w:p>
        </w:tc>
      </w:tr>
      <w:tr w:rsidR="003C02C2" w:rsidRPr="001A7EAE" w:rsidTr="001A7EAE">
        <w:trPr>
          <w:trHeight w:val="272"/>
        </w:trPr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Záväzky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571BB1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571BB1">
              <w:rPr>
                <w:rFonts w:ascii="Times New Roman" w:hAnsi="Times New Roman"/>
                <w:sz w:val="22"/>
                <w:szCs w:val="22"/>
              </w:rPr>
              <w:fldChar w:fldCharType="begin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instrText xml:space="preserve"> =sum(B3)B9:B14</w:instrTex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separate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569 393,62</w: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571BB1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571BB1">
              <w:rPr>
                <w:rFonts w:ascii="Times New Roman" w:hAnsi="Times New Roman"/>
                <w:sz w:val="22"/>
                <w:szCs w:val="22"/>
              </w:rPr>
              <w:fldChar w:fldCharType="begin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instrText xml:space="preserve"> =sum(C5|C6|C7)C10:C14</w:instrTex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separate"/>
            </w:r>
            <w:r w:rsidR="003C02C2"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473 634,22</w:t>
            </w: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fldChar w:fldCharType="end"/>
            </w:r>
          </w:p>
        </w:tc>
      </w:tr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 toho :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</w:tr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Rezervy 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</w:tr>
      <w:tr w:rsidR="003C02C2" w:rsidRPr="001A7EAE" w:rsidTr="001A7EAE">
        <w:trPr>
          <w:trHeight w:val="206"/>
        </w:trPr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Zúčtovanie medzi </w:t>
            </w: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subjektami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 xml:space="preserve"> VS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105 477,21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1 274,57</w:t>
            </w:r>
          </w:p>
        </w:tc>
      </w:tr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Dlhodobé záväzky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386 794,70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361 793,86</w:t>
            </w:r>
          </w:p>
        </w:tc>
      </w:tr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Krátkodobé záväzky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19 421,10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30 515,34</w:t>
            </w:r>
          </w:p>
        </w:tc>
      </w:tr>
      <w:tr w:rsidR="003C02C2" w:rsidRPr="001A7EAE" w:rsidTr="001A7EAE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Bankové úvery a výpomoci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57 700,61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80050,45</w:t>
            </w:r>
          </w:p>
        </w:tc>
      </w:tr>
      <w:tr w:rsidR="003C02C2" w:rsidRPr="001A7EAE" w:rsidTr="001A7EAE">
        <w:trPr>
          <w:trHeight w:val="180"/>
        </w:trPr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02C2" w:rsidRPr="001A7EAE" w:rsidRDefault="003C02C2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Časové rozlíšenie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457 546,46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C02C2" w:rsidRPr="001A7EAE" w:rsidRDefault="003C02C2" w:rsidP="001A7EAE">
            <w:pPr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492 278,84</w:t>
            </w:r>
          </w:p>
        </w:tc>
      </w:tr>
    </w:tbl>
    <w:p w:rsidR="003C02C2" w:rsidRPr="001A7EAE" w:rsidRDefault="003C02C2" w:rsidP="001A7EAE">
      <w:pPr>
        <w:jc w:val="both"/>
        <w:rPr>
          <w:rFonts w:ascii="Times New Roman" w:hAnsi="Times New Roman"/>
          <w:b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  <w:t>Obec Danišovce je:</w:t>
      </w:r>
    </w:p>
    <w:p w:rsidR="003C02C2" w:rsidRPr="001A7EAE" w:rsidRDefault="003C02C2" w:rsidP="001A7EAE">
      <w:pPr>
        <w:numPr>
          <w:ilvl w:val="0"/>
          <w:numId w:val="27"/>
        </w:num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zakladateľom a jediným vlastníkom a spoločníkom obchodnej spoločnosti Obecné hospodárstvo obce Danišovce, s. r. o.  s vkladom 5.000 EUR,</w:t>
      </w:r>
    </w:p>
    <w:p w:rsidR="003C02C2" w:rsidRPr="001A7EAE" w:rsidRDefault="003C02C2" w:rsidP="001A7EAE">
      <w:pPr>
        <w:numPr>
          <w:ilvl w:val="0"/>
          <w:numId w:val="27"/>
        </w:num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akcionárom Podtatranskej vodárenskej spoločnosti, a.s. so sídlom v Poprade </w:t>
      </w:r>
      <w:r w:rsidRPr="001A7EAE">
        <w:rPr>
          <w:rFonts w:ascii="Times New Roman" w:hAnsi="Times New Roman"/>
          <w:color w:val="000000"/>
          <w:sz w:val="22"/>
          <w:szCs w:val="22"/>
        </w:rPr>
        <w:t>s počtom akcií 1.464 ks v celkovej menovitej hodnote 48.590,16 EUR</w:t>
      </w:r>
      <w:r w:rsidRPr="001A7EAE">
        <w:rPr>
          <w:rFonts w:ascii="Times New Roman" w:hAnsi="Times New Roman"/>
          <w:sz w:val="22"/>
          <w:szCs w:val="22"/>
        </w:rPr>
        <w:t>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>3. Prehľad o stave a vývoji dlhu</w:t>
      </w: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ab/>
        <w:t>Stav dlhu:</w:t>
      </w: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ab/>
      </w: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ab/>
        <w:t>O</w:t>
      </w:r>
      <w:r w:rsidRPr="001A7EAE">
        <w:rPr>
          <w:rFonts w:ascii="Times New Roman" w:hAnsi="Times New Roman"/>
          <w:sz w:val="22"/>
          <w:szCs w:val="22"/>
        </w:rPr>
        <w:t>bec Danišovce je dlžníkom peňažného ústavu: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>Československá obchodná banka, a.s.:</w:t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sz w:val="22"/>
          <w:szCs w:val="22"/>
        </w:rPr>
        <w:tab/>
      </w:r>
      <w:r w:rsidRPr="001A7EAE">
        <w:rPr>
          <w:rFonts w:ascii="Times New Roman" w:hAnsi="Times New Roman"/>
          <w:sz w:val="22"/>
          <w:szCs w:val="22"/>
        </w:rPr>
        <w:tab/>
      </w:r>
      <w:r w:rsidRPr="001A7EAE">
        <w:rPr>
          <w:rFonts w:ascii="Times New Roman" w:hAnsi="Times New Roman"/>
          <w:sz w:val="22"/>
          <w:szCs w:val="22"/>
        </w:rPr>
        <w:tab/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ab/>
        <w:t>dlhodobý úver so zostatkom vo výške</w:t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69.529,45 EUR,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 xml:space="preserve">      Obec Danišovce má záväzky voči: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ab/>
        <w:t>Štátnemu fondu rozvoja bývania vo výške zostatku úverov</w:t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 xml:space="preserve">          330.208,86 EUR,</w:t>
      </w:r>
    </w:p>
    <w:p w:rsidR="003C02C2" w:rsidRPr="001A7EAE" w:rsidRDefault="003C02C2" w:rsidP="001A7EAE">
      <w:pPr>
        <w:jc w:val="both"/>
        <w:rPr>
          <w:rFonts w:ascii="Times New Roman" w:hAnsi="Times New Roman"/>
          <w:color w:val="C9211E"/>
          <w:sz w:val="22"/>
          <w:szCs w:val="22"/>
        </w:rPr>
      </w:pPr>
      <w:r w:rsidRPr="001A7EAE">
        <w:rPr>
          <w:rFonts w:ascii="Times New Roman" w:hAnsi="Times New Roman"/>
          <w:color w:val="C9211E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>Ministerstvu financií  SR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ab/>
        <w:t xml:space="preserve">z návratnej finančnej výpomoci vo výške </w:t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10.521,00 EUR.</w:t>
      </w:r>
    </w:p>
    <w:p w:rsidR="003C02C2" w:rsidRPr="001A7EAE" w:rsidRDefault="003C02C2" w:rsidP="001A7EAE">
      <w:pPr>
        <w:jc w:val="both"/>
        <w:rPr>
          <w:rFonts w:ascii="Times New Roman" w:hAnsi="Times New Roman"/>
          <w:color w:val="C9211E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 xml:space="preserve">  Vývoj dlhu: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  <w:u w:val="single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  <w:u w:val="single"/>
        </w:rPr>
      </w:pPr>
      <w:r w:rsidRPr="001A7EAE">
        <w:rPr>
          <w:rFonts w:ascii="Times New Roman" w:hAnsi="Times New Roman"/>
          <w:noProof/>
          <w:sz w:val="22"/>
          <w:szCs w:val="22"/>
          <w:u w:val="single"/>
          <w:lang w:eastAsia="sk-SK"/>
        </w:rPr>
        <w:drawing>
          <wp:anchor distT="0" distB="0" distL="0" distR="0" simplePos="0" relativeHeight="251667456" behindDoc="0" locked="0" layoutInCell="0" allowOverlap="1">
            <wp:simplePos x="0" y="0"/>
            <wp:positionH relativeFrom="column">
              <wp:posOffset>91440</wp:posOffset>
            </wp:positionH>
            <wp:positionV relativeFrom="paragraph">
              <wp:posOffset>635</wp:posOffset>
            </wp:positionV>
            <wp:extent cx="6048375" cy="1073150"/>
            <wp:effectExtent l="0" t="0" r="0" b="0"/>
            <wp:wrapTopAndBottom/>
            <wp:docPr id="17" name="Obrázok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10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1073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  <w:u w:val="single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  <w:u w:val="single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4. Údaje o hospodárení príspevkových organizácií v pôsobnosti obce</w:t>
      </w: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ab/>
      </w:r>
      <w:r w:rsidRPr="001A7EAE">
        <w:rPr>
          <w:rFonts w:ascii="Times New Roman" w:hAnsi="Times New Roman"/>
          <w:sz w:val="22"/>
          <w:szCs w:val="22"/>
        </w:rPr>
        <w:t>Obec Danišovce nie je zriaďovateľom  príspevkovej organizácie.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5. Prehľad o poskytnutých dotáciách v členení podľa jednotlivých príjemcov</w:t>
      </w: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ab/>
      </w:r>
      <w:r w:rsidRPr="001A7EAE">
        <w:rPr>
          <w:rFonts w:ascii="Times New Roman" w:hAnsi="Times New Roman"/>
          <w:sz w:val="22"/>
          <w:szCs w:val="22"/>
        </w:rPr>
        <w:t>P</w:t>
      </w:r>
      <w:r w:rsidRPr="001A7EAE">
        <w:rPr>
          <w:rFonts w:ascii="Times New Roman" w:hAnsi="Times New Roman"/>
          <w:color w:val="000000"/>
          <w:sz w:val="22"/>
          <w:szCs w:val="22"/>
        </w:rPr>
        <w:t>rávnickej osobe ani fyzickej osobe – podnikateľovi, ktorí majú sídlo alebo trvalý pobyt na</w:t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území obce alebo ktoré pôsobia, vykonávajú činnosť na území obce, alebo poskytujú služby</w:t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obyvateľom obce na podporu všeobecne prospešných služieb, všeobecne prospešných alebo</w:t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verejnoprospešných účelov, na podporu podnikania a zamestnanosti obec Danišovce neposkytla</w:t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v roku 2022 dotáciu zo svojho rozpočtu.</w:t>
      </w: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6. Údaje o nákladoch a výnosoch podnikateľskej činnosti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Obec Danišovce je držiteľom živnostenského listu, ale nevykonáva podnikateľskú činnosť. Obec podniká vo vybraných oblastiach prostredníctvom svojej obchodnej spoločnosti Obecné hospodárstvo obce Danišovce, s. r. o..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  <w:u w:val="single"/>
        </w:rPr>
      </w:pP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>Výsledok hospodárenia k 31.12.2022 v EUR: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ab/>
      </w:r>
      <w:r w:rsidRPr="001A7EAE">
        <w:rPr>
          <w:rFonts w:ascii="Times New Roman" w:hAnsi="Times New Roman"/>
          <w:sz w:val="22"/>
          <w:szCs w:val="22"/>
        </w:rPr>
        <w:tab/>
      </w:r>
      <w:r w:rsidRPr="001A7EAE">
        <w:rPr>
          <w:rFonts w:ascii="Times New Roman" w:hAnsi="Times New Roman"/>
          <w:sz w:val="22"/>
          <w:szCs w:val="22"/>
        </w:rPr>
        <w:tab/>
      </w:r>
      <w:r w:rsidRPr="001A7EAE">
        <w:rPr>
          <w:rFonts w:ascii="Times New Roman" w:hAnsi="Times New Roman"/>
          <w:sz w:val="22"/>
          <w:szCs w:val="22"/>
        </w:rPr>
        <w:tab/>
        <w:t>Výnosy</w:t>
      </w:r>
      <w:r w:rsidRPr="001A7EAE">
        <w:rPr>
          <w:rFonts w:ascii="Times New Roman" w:hAnsi="Times New Roman"/>
          <w:sz w:val="22"/>
          <w:szCs w:val="22"/>
        </w:rPr>
        <w:tab/>
      </w:r>
      <w:r w:rsidRPr="001A7EAE">
        <w:rPr>
          <w:rFonts w:ascii="Times New Roman" w:hAnsi="Times New Roman"/>
          <w:sz w:val="22"/>
          <w:szCs w:val="22"/>
        </w:rPr>
        <w:tab/>
      </w:r>
      <w:r w:rsidRPr="001A7EAE">
        <w:rPr>
          <w:rFonts w:ascii="Times New Roman" w:hAnsi="Times New Roman"/>
          <w:sz w:val="22"/>
          <w:szCs w:val="22"/>
        </w:rPr>
        <w:tab/>
      </w:r>
      <w:r w:rsidRPr="001A7EAE">
        <w:rPr>
          <w:rFonts w:ascii="Times New Roman" w:hAnsi="Times New Roman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12.050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  <w:u w:val="single"/>
        </w:rPr>
        <w:t>Náklady</w:t>
      </w:r>
      <w:r w:rsidRPr="001A7EAE">
        <w:rPr>
          <w:rFonts w:ascii="Times New Roman" w:hAnsi="Times New Roman"/>
          <w:color w:val="000000"/>
          <w:sz w:val="22"/>
          <w:szCs w:val="22"/>
          <w:u w:val="single"/>
        </w:rPr>
        <w:tab/>
      </w:r>
      <w:r w:rsidRPr="001A7EAE">
        <w:rPr>
          <w:rFonts w:ascii="Times New Roman" w:hAnsi="Times New Roman"/>
          <w:color w:val="000000"/>
          <w:sz w:val="22"/>
          <w:szCs w:val="22"/>
          <w:u w:val="single"/>
        </w:rPr>
        <w:tab/>
      </w:r>
      <w:r w:rsidRPr="001A7EAE">
        <w:rPr>
          <w:rFonts w:ascii="Times New Roman" w:hAnsi="Times New Roman"/>
          <w:color w:val="000000"/>
          <w:sz w:val="22"/>
          <w:szCs w:val="22"/>
          <w:u w:val="single"/>
        </w:rPr>
        <w:tab/>
      </w:r>
      <w:r w:rsidRPr="001A7EAE">
        <w:rPr>
          <w:rFonts w:ascii="Times New Roman" w:hAnsi="Times New Roman"/>
          <w:color w:val="000000"/>
          <w:sz w:val="22"/>
          <w:szCs w:val="22"/>
          <w:u w:val="single"/>
        </w:rPr>
        <w:tab/>
      </w:r>
      <w:r w:rsidRPr="001A7EAE">
        <w:rPr>
          <w:rFonts w:ascii="Times New Roman" w:hAnsi="Times New Roman"/>
          <w:color w:val="000000"/>
          <w:sz w:val="22"/>
          <w:szCs w:val="22"/>
          <w:u w:val="single"/>
        </w:rPr>
        <w:tab/>
        <w:t xml:space="preserve">  7.201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Výsledok hospodárenie pred zdanením</w:t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 xml:space="preserve">  4.849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 xml:space="preserve">Výsledok hospodárenie po zdanení </w:t>
      </w:r>
      <w:r w:rsidRPr="001A7EAE">
        <w:rPr>
          <w:rFonts w:ascii="Times New Roman" w:hAnsi="Times New Roman"/>
          <w:color w:val="000000"/>
          <w:sz w:val="22"/>
          <w:szCs w:val="22"/>
        </w:rPr>
        <w:tab/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 xml:space="preserve">  4.122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color w:val="800000"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color w:val="800000"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>7. Hodnotenie plnenia programov obce</w:t>
      </w: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ab/>
        <w:t>Obec Danišovce na základe</w:t>
      </w:r>
      <w:r w:rsidRPr="001A7EAE">
        <w:rPr>
          <w:rFonts w:ascii="Times New Roman" w:eastAsia="TimesNewRomanPSMT" w:hAnsi="Times New Roman"/>
          <w:color w:val="000000"/>
          <w:sz w:val="22"/>
          <w:szCs w:val="22"/>
        </w:rPr>
        <w:t xml:space="preserve"> </w:t>
      </w:r>
      <w:r w:rsidRPr="001A7EAE">
        <w:rPr>
          <w:rFonts w:ascii="Times New Roman" w:eastAsia="TimesNewRomanPS-BoldMT" w:hAnsi="Times New Roman"/>
          <w:color w:val="000000"/>
          <w:sz w:val="22"/>
          <w:szCs w:val="22"/>
        </w:rPr>
        <w:t>Zásad rozpočtového hospodárenia obce Danišovce</w:t>
      </w:r>
      <w:r w:rsidRPr="001A7EAE">
        <w:rPr>
          <w:rFonts w:ascii="Times New Roman" w:eastAsia="TimesNewRomanPSMT" w:hAnsi="Times New Roman"/>
          <w:color w:val="000000"/>
          <w:sz w:val="22"/>
          <w:szCs w:val="22"/>
        </w:rPr>
        <w:t xml:space="preserve"> ne</w:t>
      </w:r>
      <w:r w:rsidRPr="001A7EAE">
        <w:rPr>
          <w:rFonts w:ascii="Times New Roman" w:eastAsia="FuturaTEE-Book" w:hAnsi="Times New Roman"/>
          <w:color w:val="000000"/>
          <w:sz w:val="22"/>
          <w:szCs w:val="22"/>
        </w:rPr>
        <w:t xml:space="preserve">zostavuje </w:t>
      </w:r>
      <w:r w:rsidRPr="001A7EAE">
        <w:rPr>
          <w:rFonts w:ascii="Times New Roman" w:eastAsia="FuturaTEE-Book" w:hAnsi="Times New Roman"/>
          <w:color w:val="000000"/>
          <w:sz w:val="22"/>
          <w:szCs w:val="22"/>
        </w:rPr>
        <w:tab/>
        <w:t>programový rozpočet.</w:t>
      </w: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ind w:left="360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color w:val="000000"/>
          <w:sz w:val="22"/>
          <w:szCs w:val="22"/>
        </w:rPr>
        <w:t>Záver</w:t>
      </w: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sz w:val="22"/>
          <w:szCs w:val="22"/>
        </w:rPr>
      </w:pPr>
    </w:p>
    <w:p w:rsidR="003C02C2" w:rsidRPr="001A7EAE" w:rsidRDefault="003C02C2" w:rsidP="001A7EAE">
      <w:pPr>
        <w:tabs>
          <w:tab w:val="left" w:pos="360"/>
        </w:tabs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color w:val="000000"/>
          <w:sz w:val="22"/>
          <w:szCs w:val="22"/>
        </w:rPr>
        <w:tab/>
        <w:t>Obec Danišovce finančne usporiadala svoje hospodárenie vrátane finančných vzťahov k</w:t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zriadeným alebo založeným právnickým osobám a fyzickým osobám – podnikateľom a</w:t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právnickým osobám, ktorým poskytla prostriedky svojho rozpočtu; zároveň usporiadala</w:t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finančné vzťahy k štátnemu rozpočtu, štátnym fondom, rozpočtom iných obcí a k rozpočtu</w:t>
      </w:r>
      <w:r w:rsidRPr="001A7EAE">
        <w:rPr>
          <w:rFonts w:ascii="Times New Roman" w:hAnsi="Times New Roman"/>
          <w:color w:val="000000"/>
          <w:sz w:val="22"/>
          <w:szCs w:val="22"/>
        </w:rPr>
        <w:tab/>
        <w:t>vyššieho územného celku.</w:t>
      </w:r>
    </w:p>
    <w:p w:rsidR="003C02C2" w:rsidRPr="001A7EAE" w:rsidRDefault="003C02C2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21175C" w:rsidRPr="001A7EAE" w:rsidRDefault="0021175C" w:rsidP="001A7EAE">
      <w:pPr>
        <w:jc w:val="both"/>
        <w:rPr>
          <w:rFonts w:ascii="Times New Roman" w:hAnsi="Times New Roman"/>
          <w:sz w:val="22"/>
          <w:szCs w:val="22"/>
        </w:rPr>
      </w:pPr>
    </w:p>
    <w:tbl>
      <w:tblPr>
        <w:tblW w:w="3464" w:type="dxa"/>
        <w:tblInd w:w="72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64"/>
      </w:tblGrid>
      <w:tr w:rsidR="00864FCF" w:rsidRPr="001A7EAE" w:rsidTr="00864FCF">
        <w:tc>
          <w:tcPr>
            <w:tcW w:w="3464" w:type="dxa"/>
            <w:vAlign w:val="bottom"/>
          </w:tcPr>
          <w:p w:rsidR="00864FCF" w:rsidRPr="001A7EAE" w:rsidRDefault="00864FCF" w:rsidP="001A7EAE">
            <w:pPr>
              <w:jc w:val="both"/>
              <w:rPr>
                <w:rFonts w:ascii="Times New Roman" w:hAnsi="Times New Roman"/>
              </w:rPr>
            </w:pPr>
          </w:p>
        </w:tc>
      </w:tr>
    </w:tbl>
    <w:p w:rsidR="00FA2DCC" w:rsidRPr="001A7EAE" w:rsidRDefault="002A11F6" w:rsidP="001A7EAE">
      <w:pPr>
        <w:tabs>
          <w:tab w:val="left" w:pos="720"/>
        </w:tabs>
        <w:jc w:val="both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 xml:space="preserve">     </w:t>
      </w:r>
      <w:r w:rsidR="00FA2DCC" w:rsidRPr="001A7EAE">
        <w:rPr>
          <w:rFonts w:ascii="Times New Roman" w:hAnsi="Times New Roman"/>
          <w:b/>
          <w:sz w:val="22"/>
          <w:szCs w:val="22"/>
        </w:rPr>
        <w:t>8. Informácie o konsolidovanom celku a</w:t>
      </w:r>
      <w:r w:rsidR="00C07B83" w:rsidRPr="001A7EAE">
        <w:rPr>
          <w:rFonts w:ascii="Times New Roman" w:hAnsi="Times New Roman"/>
          <w:b/>
          <w:sz w:val="22"/>
          <w:szCs w:val="22"/>
        </w:rPr>
        <w:t> </w:t>
      </w:r>
      <w:r w:rsidR="00FA2DCC" w:rsidRPr="001A7EAE">
        <w:rPr>
          <w:rFonts w:ascii="Times New Roman" w:hAnsi="Times New Roman"/>
          <w:b/>
          <w:sz w:val="22"/>
          <w:szCs w:val="22"/>
        </w:rPr>
        <w:t>konsolidácii</w:t>
      </w:r>
    </w:p>
    <w:p w:rsidR="00C07B83" w:rsidRPr="001A7EAE" w:rsidRDefault="00C07B83" w:rsidP="001A7EAE">
      <w:pPr>
        <w:tabs>
          <w:tab w:val="left" w:pos="720"/>
        </w:tabs>
        <w:ind w:left="360"/>
        <w:jc w:val="both"/>
        <w:rPr>
          <w:rFonts w:ascii="Times New Roman" w:hAnsi="Times New Roman"/>
          <w:b/>
          <w:sz w:val="22"/>
          <w:szCs w:val="22"/>
        </w:rPr>
      </w:pPr>
    </w:p>
    <w:p w:rsidR="001A7EAE" w:rsidRPr="001A7EAE" w:rsidRDefault="001A7EAE" w:rsidP="001A7EAE">
      <w:pPr>
        <w:jc w:val="center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rPr>
          <w:rFonts w:ascii="Times New Roman" w:hAnsi="Times New Roman"/>
          <w:b/>
          <w:i/>
          <w:sz w:val="22"/>
          <w:szCs w:val="22"/>
        </w:rPr>
      </w:pPr>
      <w:r w:rsidRPr="001A7EAE">
        <w:rPr>
          <w:rFonts w:ascii="Times New Roman" w:hAnsi="Times New Roman"/>
          <w:b/>
          <w:i/>
          <w:sz w:val="22"/>
          <w:szCs w:val="22"/>
        </w:rPr>
        <w:t>Identifikačné údaje o konsolidujúcej účtovnej jednotke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Obec Danišovce</w:t>
            </w:r>
          </w:p>
        </w:tc>
      </w:tr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Danišovce 33, 053 22 Danišovce</w:t>
            </w:r>
          </w:p>
        </w:tc>
      </w:tr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Zo zákona</w:t>
            </w:r>
          </w:p>
        </w:tc>
      </w:tr>
    </w:tbl>
    <w:p w:rsidR="001A7EAE" w:rsidRPr="001A7EAE" w:rsidRDefault="001A7EAE" w:rsidP="001A7EAE">
      <w:pPr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rPr>
          <w:rFonts w:ascii="Times New Roman" w:hAnsi="Times New Roman"/>
          <w:b/>
          <w:i/>
          <w:sz w:val="22"/>
          <w:szCs w:val="22"/>
        </w:rPr>
      </w:pPr>
      <w:r w:rsidRPr="001A7EAE">
        <w:rPr>
          <w:rFonts w:ascii="Times New Roman" w:hAnsi="Times New Roman"/>
          <w:b/>
          <w:i/>
          <w:sz w:val="22"/>
          <w:szCs w:val="22"/>
        </w:rPr>
        <w:t>Identifikačné údaje o konsolidovaných  účtovných  jednotkách – obchodných spoločnostiach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Obecné hospodárstvo obce Danišovce, s.r.o.</w:t>
            </w:r>
          </w:p>
        </w:tc>
      </w:tr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Sídlo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Danišovce 33, 053 22  Danišovce</w:t>
            </w:r>
          </w:p>
        </w:tc>
      </w:tr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IČO/ DIČ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44898282 / 2022872478</w:t>
            </w:r>
          </w:p>
        </w:tc>
      </w:tr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konatelia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 xml:space="preserve">Miroslav </w:t>
            </w:r>
            <w:proofErr w:type="spellStart"/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Výrostek</w:t>
            </w:r>
            <w:proofErr w:type="spellEnd"/>
            <w:r w:rsidRPr="001A7EAE">
              <w:rPr>
                <w:rFonts w:ascii="Times New Roman" w:hAnsi="Times New Roman"/>
                <w:i/>
                <w:sz w:val="22"/>
                <w:szCs w:val="22"/>
              </w:rPr>
              <w:t xml:space="preserve">, Ľubomír </w:t>
            </w:r>
            <w:proofErr w:type="spellStart"/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Majko</w:t>
            </w:r>
            <w:proofErr w:type="spellEnd"/>
          </w:p>
        </w:tc>
      </w:tr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Dátum založenia/vzniku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11.08.2009</w:t>
            </w:r>
          </w:p>
        </w:tc>
      </w:tr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100 % dcéra obce</w:t>
            </w:r>
          </w:p>
        </w:tc>
      </w:tr>
    </w:tbl>
    <w:p w:rsidR="001A7EAE" w:rsidRPr="001A7EAE" w:rsidRDefault="001A7EAE" w:rsidP="001A7EAE">
      <w:pPr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rPr>
          <w:rFonts w:ascii="Times New Roman" w:hAnsi="Times New Roman"/>
          <w:b/>
          <w:i/>
          <w:sz w:val="22"/>
          <w:szCs w:val="22"/>
        </w:rPr>
      </w:pPr>
      <w:r w:rsidRPr="001A7EAE">
        <w:rPr>
          <w:rFonts w:ascii="Times New Roman" w:hAnsi="Times New Roman"/>
          <w:b/>
          <w:i/>
          <w:sz w:val="22"/>
          <w:szCs w:val="22"/>
        </w:rPr>
        <w:t>Informácie o zamestnancoch konsolidovaného celku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7OBEC + 0 S.R.O. = 7</w:t>
            </w:r>
          </w:p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Obec zamestnáva  aj zamestnancov Materskej škôlky a školskej jedálne</w:t>
            </w:r>
          </w:p>
        </w:tc>
      </w:tr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1O + 1MŠ +  0 s.r.o. = 2</w:t>
            </w:r>
          </w:p>
        </w:tc>
      </w:tr>
    </w:tbl>
    <w:p w:rsidR="001A7EAE" w:rsidRPr="001A7EAE" w:rsidRDefault="001A7EAE" w:rsidP="001A7EAE">
      <w:pPr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b/>
          <w:i/>
          <w:sz w:val="22"/>
          <w:szCs w:val="22"/>
        </w:rPr>
      </w:pPr>
      <w:r w:rsidRPr="001A7EAE">
        <w:rPr>
          <w:rFonts w:ascii="Times New Roman" w:hAnsi="Times New Roman"/>
          <w:b/>
          <w:i/>
          <w:sz w:val="22"/>
          <w:szCs w:val="22"/>
        </w:rPr>
        <w:t>Informácie o zostavení individuálnej účtovnej závierky konsolidovanej účtovnej jednotky – obchodnej spoločnosti, ak je iný ako 31.12.2022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Obecné hospodárstvo obce Danišovce</w:t>
            </w:r>
          </w:p>
        </w:tc>
      </w:tr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Deň, ku ktorému  bola  zostavená individuálna </w:t>
            </w:r>
            <w:r w:rsidRPr="001A7EAE">
              <w:rPr>
                <w:rFonts w:ascii="Times New Roman" w:hAnsi="Times New Roman"/>
                <w:sz w:val="22"/>
                <w:szCs w:val="22"/>
              </w:rPr>
              <w:lastRenderedPageBreak/>
              <w:t>účtovná závierka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lastRenderedPageBreak/>
              <w:t>K 31.12.2022</w:t>
            </w:r>
          </w:p>
        </w:tc>
      </w:tr>
    </w:tbl>
    <w:p w:rsidR="001A7EAE" w:rsidRPr="001A7EAE" w:rsidRDefault="001A7EAE" w:rsidP="001A7EAE">
      <w:pPr>
        <w:rPr>
          <w:rFonts w:ascii="Times New Roman" w:hAnsi="Times New Roman"/>
          <w:b/>
          <w:i/>
          <w:sz w:val="22"/>
          <w:szCs w:val="22"/>
        </w:rPr>
      </w:pPr>
    </w:p>
    <w:p w:rsidR="001A7EAE" w:rsidRPr="001A7EAE" w:rsidRDefault="001A7EAE" w:rsidP="001A7EAE">
      <w:pPr>
        <w:spacing w:before="120"/>
        <w:jc w:val="both"/>
        <w:rPr>
          <w:rFonts w:ascii="Times New Roman" w:hAnsi="Times New Roman"/>
          <w:b/>
          <w:i/>
          <w:sz w:val="22"/>
          <w:szCs w:val="22"/>
        </w:rPr>
      </w:pPr>
      <w:r w:rsidRPr="001A7EAE">
        <w:rPr>
          <w:rFonts w:ascii="Times New Roman" w:hAnsi="Times New Roman"/>
          <w:b/>
          <w:i/>
          <w:sz w:val="22"/>
          <w:szCs w:val="22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Obecné hospodárstvo obce Danišovce</w:t>
            </w:r>
          </w:p>
        </w:tc>
      </w:tr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Výška podielu na výsledku hospodárenia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100%</w:t>
            </w:r>
          </w:p>
        </w:tc>
      </w:tr>
    </w:tbl>
    <w:p w:rsidR="001A7EAE" w:rsidRPr="001A7EAE" w:rsidRDefault="001A7EAE" w:rsidP="001A7EAE">
      <w:pPr>
        <w:rPr>
          <w:rFonts w:ascii="Times New Roman" w:hAnsi="Times New Roman"/>
          <w:b/>
          <w:i/>
          <w:sz w:val="22"/>
          <w:szCs w:val="22"/>
        </w:rPr>
      </w:pPr>
    </w:p>
    <w:p w:rsidR="001A7EAE" w:rsidRPr="001A7EAE" w:rsidRDefault="001A7EAE" w:rsidP="001A7EAE">
      <w:pPr>
        <w:spacing w:before="120"/>
        <w:jc w:val="both"/>
        <w:rPr>
          <w:rFonts w:ascii="Times New Roman" w:hAnsi="Times New Roman"/>
          <w:b/>
          <w:i/>
          <w:sz w:val="22"/>
          <w:szCs w:val="22"/>
        </w:rPr>
      </w:pPr>
      <w:r w:rsidRPr="001A7EAE">
        <w:rPr>
          <w:rFonts w:ascii="Times New Roman" w:hAnsi="Times New Roman"/>
          <w:b/>
          <w:i/>
          <w:sz w:val="22"/>
          <w:szCs w:val="22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Názov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–-</w:t>
            </w:r>
          </w:p>
        </w:tc>
      </w:tr>
      <w:tr w:rsidR="001A7EAE" w:rsidRPr="001A7EAE" w:rsidTr="001A7EAE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Výsledok hospodárenia  (+/-)  z predaja majetku v rámci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–-</w:t>
            </w:r>
          </w:p>
        </w:tc>
      </w:tr>
    </w:tbl>
    <w:p w:rsidR="001A7EAE" w:rsidRPr="001A7EAE" w:rsidRDefault="001A7EAE" w:rsidP="001A7EAE">
      <w:pPr>
        <w:rPr>
          <w:rFonts w:ascii="Times New Roman" w:hAnsi="Times New Roman"/>
          <w:b/>
          <w:i/>
          <w:sz w:val="22"/>
          <w:szCs w:val="22"/>
        </w:rPr>
      </w:pPr>
    </w:p>
    <w:p w:rsidR="001A7EAE" w:rsidRPr="001A7EAE" w:rsidRDefault="001A7EAE" w:rsidP="001A7EAE">
      <w:pPr>
        <w:rPr>
          <w:rFonts w:ascii="Times New Roman" w:hAnsi="Times New Roman"/>
          <w:b/>
          <w:i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b/>
          <w:i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Informácie o metódach oceňovania použitých pri ocenení jednotlivých položiek konsolidovanej účtovnej závierky Obce Danišovce</w:t>
      </w:r>
    </w:p>
    <w:p w:rsidR="001A7EAE" w:rsidRPr="001A7EAE" w:rsidRDefault="001A7EAE" w:rsidP="001A7EAE">
      <w:pPr>
        <w:rPr>
          <w:rFonts w:ascii="Times New Roman" w:hAnsi="Times New Roman"/>
          <w:b/>
          <w:i/>
          <w:sz w:val="22"/>
          <w:szCs w:val="22"/>
        </w:rPr>
      </w:pP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bCs/>
          <w:sz w:val="22"/>
          <w:szCs w:val="22"/>
        </w:rPr>
      </w:pPr>
      <w:r w:rsidRPr="001A7EAE">
        <w:rPr>
          <w:rFonts w:ascii="Times New Roman" w:hAnsi="Times New Roman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bCs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bCs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Súčasťou obstarávacej ceny dlhodobého nehmotného a hmotného majetku </w:t>
      </w:r>
      <w:r w:rsidRPr="001A7EAE">
        <w:rPr>
          <w:rFonts w:ascii="Times New Roman" w:hAnsi="Times New Roman"/>
          <w:iCs/>
          <w:sz w:val="22"/>
          <w:szCs w:val="22"/>
        </w:rPr>
        <w:t xml:space="preserve">(nie) sú </w:t>
      </w:r>
      <w:r w:rsidRPr="001A7EAE">
        <w:rPr>
          <w:rFonts w:ascii="Times New Roman" w:hAnsi="Times New Roman"/>
          <w:sz w:val="22"/>
          <w:szCs w:val="22"/>
        </w:rPr>
        <w:t>úroky z úverov.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bCs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bCs/>
          <w:sz w:val="22"/>
          <w:szCs w:val="22"/>
        </w:rPr>
      </w:pPr>
      <w:r w:rsidRPr="001A7EAE">
        <w:rPr>
          <w:rFonts w:ascii="Times New Roman" w:hAnsi="Times New Roman"/>
          <w:iCs/>
          <w:sz w:val="22"/>
          <w:szCs w:val="22"/>
        </w:rPr>
        <w:t>Dlhodobý majetok nadobudnutý darovaním sa oceňuje reprodukčnou obstarávacou cenou, teda cenou, za ktorú by sa majetok obstaral v čase, keď sa o ňom účtuje.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bCs/>
          <w:sz w:val="22"/>
          <w:szCs w:val="22"/>
        </w:rPr>
      </w:pPr>
      <w:r w:rsidRPr="001A7EAE">
        <w:rPr>
          <w:rFonts w:ascii="Times New Roman" w:hAnsi="Times New Roman"/>
          <w:iCs/>
          <w:sz w:val="22"/>
          <w:szCs w:val="22"/>
        </w:rPr>
        <w:t>Dlhodobý majetok nadobudnutý prevodom správy sa oceňuje cenou, v ktorej sa doteraz viedol v účtovníctve.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Cs/>
          <w:sz w:val="22"/>
          <w:szCs w:val="22"/>
        </w:rPr>
        <w:t>Dlhodobý finančný majetok sa oceňuje obstarávacou cenou.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Deriváty sa pri nadobudnutí oceňujú cenou obstarania a ku dňu, ku ktorému sa zostavuje účtovná závierka, reálnou hodnotou.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Majetok a záväzky zabezpečené derivátmi sa oceňujú reálnou hodnotou.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Cs/>
          <w:sz w:val="22"/>
          <w:szCs w:val="22"/>
        </w:rPr>
        <w:t xml:space="preserve">Nakupované zásoby </w:t>
      </w:r>
      <w:r w:rsidRPr="001A7EAE">
        <w:rPr>
          <w:rFonts w:ascii="Times New Roman" w:hAnsi="Times New Roman"/>
          <w:sz w:val="22"/>
          <w:szCs w:val="22"/>
        </w:rPr>
        <w:t xml:space="preserve">sa oceňujú obstarávacou cenou, ktorou je cena obstarania vrátane nákladov súvisiacich s obstaraním ako napr. prepravné, provízia, poistné a zľavy.     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Z</w:t>
      </w:r>
      <w:r w:rsidR="005F3730">
        <w:rPr>
          <w:rFonts w:ascii="Times New Roman" w:hAnsi="Times New Roman"/>
          <w:sz w:val="22"/>
          <w:szCs w:val="22"/>
        </w:rPr>
        <w:t>ásoby vytvorené vlastnou činnosť</w:t>
      </w:r>
      <w:r w:rsidRPr="001A7EAE">
        <w:rPr>
          <w:rFonts w:ascii="Times New Roman" w:hAnsi="Times New Roman"/>
          <w:sz w:val="22"/>
          <w:szCs w:val="22"/>
        </w:rPr>
        <w:t>ou</w:t>
      </w:r>
      <w:r w:rsidR="005F3730">
        <w:rPr>
          <w:rFonts w:ascii="Times New Roman" w:hAnsi="Times New Roman"/>
          <w:sz w:val="22"/>
          <w:szCs w:val="22"/>
        </w:rPr>
        <w:t xml:space="preserve"> </w:t>
      </w:r>
      <w:r w:rsidRPr="001A7EAE">
        <w:rPr>
          <w:rFonts w:ascii="Times New Roman" w:hAnsi="Times New Roman"/>
          <w:sz w:val="22"/>
          <w:szCs w:val="22"/>
        </w:rPr>
        <w:t xml:space="preserve">sa oceňujú vlastnými nákladmi t.j. priamymi nákladmi vynaloženými na tvorbu zásob ako aj časťou nepriamych nákladov, ktoré sa k tvorbe zásob vzťahujú. 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Pohľadávky sa oceňujú v menovitej hodnote.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Cenné papiere a podiely sa oceňujú obstarávacími cenami, vrátane nákladov súvisiacich s obstaraním. 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Pohľadávky sa pri ich vzniku oceňujú menovitou hodnotou.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Peňažné prostriedky a ceniny sa oceňujú ich menovitou hodnotou.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Záväzky sa pri ich vzniku oceňujú menovitou hodnotou.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Záväzky sa pri ich prevzatí oceňujú obstarávacou cenou.</w:t>
      </w:r>
    </w:p>
    <w:p w:rsidR="001A7EAE" w:rsidRPr="001A7EAE" w:rsidRDefault="001A7EAE" w:rsidP="001A7EAE">
      <w:pPr>
        <w:widowControl/>
        <w:numPr>
          <w:ilvl w:val="0"/>
          <w:numId w:val="29"/>
        </w:numPr>
        <w:suppressAutoHyphens w:val="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1A7EAE">
        <w:rPr>
          <w:rFonts w:ascii="Times New Roman" w:hAnsi="Times New Roman"/>
          <w:bCs/>
          <w:sz w:val="22"/>
          <w:szCs w:val="22"/>
        </w:rPr>
        <w:t> </w:t>
      </w:r>
    </w:p>
    <w:p w:rsidR="001A7EAE" w:rsidRPr="001A7EAE" w:rsidRDefault="001A7EAE" w:rsidP="001A7EAE">
      <w:pPr>
        <w:rPr>
          <w:rFonts w:ascii="Times New Roman" w:hAnsi="Times New Roman"/>
          <w:b/>
          <w:bCs/>
          <w:sz w:val="22"/>
          <w:szCs w:val="22"/>
        </w:rPr>
      </w:pPr>
    </w:p>
    <w:p w:rsidR="001A7EAE" w:rsidRPr="001A7EAE" w:rsidRDefault="001A7EAE" w:rsidP="001A7EAE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ind w:left="708"/>
        <w:jc w:val="both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Konsolidovaný celok Obce Danišovce zahŕňa  , 1 obchodnú spoločnosť;  ich identifikačné údaje sa nachádzajú v úvode.</w:t>
      </w:r>
    </w:p>
    <w:p w:rsidR="001A7EAE" w:rsidRPr="001A7EAE" w:rsidRDefault="001A7EAE" w:rsidP="001A7EAE">
      <w:pPr>
        <w:rPr>
          <w:rFonts w:ascii="Times New Roman" w:hAnsi="Times New Roman"/>
          <w:b/>
          <w:bCs/>
          <w:sz w:val="22"/>
          <w:szCs w:val="22"/>
        </w:rPr>
      </w:pPr>
    </w:p>
    <w:p w:rsidR="001A7EAE" w:rsidRPr="001A7EAE" w:rsidRDefault="001A7EAE" w:rsidP="001A7EAE">
      <w:pPr>
        <w:rPr>
          <w:rFonts w:ascii="Times New Roman" w:hAnsi="Times New Roman"/>
          <w:b/>
          <w:bCs/>
          <w:sz w:val="22"/>
          <w:szCs w:val="22"/>
        </w:rPr>
      </w:pPr>
    </w:p>
    <w:p w:rsidR="001A7EAE" w:rsidRPr="001A7EAE" w:rsidRDefault="001A7EAE" w:rsidP="001A7EAE">
      <w:pPr>
        <w:jc w:val="center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 </w:t>
      </w:r>
      <w:r w:rsidRPr="001A7EAE">
        <w:rPr>
          <w:rFonts w:ascii="Times New Roman" w:hAnsi="Times New Roman"/>
          <w:b/>
          <w:sz w:val="22"/>
          <w:szCs w:val="22"/>
        </w:rPr>
        <w:t>Čl. II</w:t>
      </w:r>
    </w:p>
    <w:p w:rsidR="001A7EAE" w:rsidRPr="001A7EAE" w:rsidRDefault="001A7EAE" w:rsidP="001A7EAE">
      <w:pPr>
        <w:jc w:val="center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Informácie o metódach a postupoch konsolidácie</w:t>
      </w: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Konsolidovaná účtovná závierka Obce Danišovce bola zostavená v súlade so zákonom</w:t>
      </w:r>
      <w:r w:rsidR="005F3730">
        <w:rPr>
          <w:rFonts w:ascii="Times New Roman" w:hAnsi="Times New Roman"/>
          <w:sz w:val="22"/>
          <w:szCs w:val="22"/>
        </w:rPr>
        <w:t xml:space="preserve"> </w:t>
      </w:r>
      <w:r w:rsidRPr="001A7EAE">
        <w:rPr>
          <w:rFonts w:ascii="Times New Roman" w:hAnsi="Times New Roman"/>
          <w:sz w:val="22"/>
          <w:szCs w:val="22"/>
        </w:rPr>
        <w:t>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b/>
          <w:i/>
          <w:sz w:val="22"/>
          <w:szCs w:val="22"/>
        </w:rPr>
      </w:pPr>
      <w:r w:rsidRPr="001A7EAE">
        <w:rPr>
          <w:rFonts w:ascii="Times New Roman" w:hAnsi="Times New Roman"/>
          <w:b/>
          <w:i/>
          <w:sz w:val="22"/>
          <w:szCs w:val="22"/>
        </w:rPr>
        <w:lastRenderedPageBreak/>
        <w:t>Zahrnutie konsolidovaných účtovných jednotiek do konsolidovanej účtovnej závierky</w:t>
      </w:r>
    </w:p>
    <w:tbl>
      <w:tblPr>
        <w:tblW w:w="9816" w:type="dxa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/>
      </w:tblPr>
      <w:tblGrid>
        <w:gridCol w:w="5100"/>
        <w:gridCol w:w="1537"/>
        <w:gridCol w:w="1559"/>
        <w:gridCol w:w="1620"/>
      </w:tblGrid>
      <w:tr w:rsidR="001A7EAE" w:rsidRPr="001A7EAE" w:rsidTr="001A7EAE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 xml:space="preserve">Názov resp. obchodné meno 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 xml:space="preserve">Metóda 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 xml:space="preserve">Metóda 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 xml:space="preserve">Metóda 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vlastného imania</w:t>
            </w:r>
          </w:p>
        </w:tc>
      </w:tr>
      <w:tr w:rsidR="001A7EAE" w:rsidRPr="001A7EAE" w:rsidTr="001A7EAE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Konsolidovaná účtovná jednotka s.r.o.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  <w:i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  <w:i/>
              </w:rPr>
            </w:pPr>
          </w:p>
        </w:tc>
      </w:tr>
    </w:tbl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  <w:u w:val="single"/>
        </w:rPr>
      </w:pPr>
      <w:r w:rsidRPr="001A7EAE">
        <w:rPr>
          <w:rFonts w:ascii="Times New Roman" w:hAnsi="Times New Roman"/>
          <w:sz w:val="22"/>
          <w:szCs w:val="22"/>
          <w:u w:val="single"/>
        </w:rPr>
        <w:t>Metóda úplnej konsolidácie bola použitá pri dcérskych účtovných jednotkách.</w:t>
      </w: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Metóda podielovej konsolidácie by bola použitá pri spoločných účtovných jednotkách.</w:t>
      </w: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Metóda vlastného imania by bola použitá pri pridružených účtovných jednotkách.</w:t>
      </w:r>
    </w:p>
    <w:p w:rsidR="001A7EAE" w:rsidRPr="001A7EAE" w:rsidRDefault="001A7EAE" w:rsidP="001A7EAE">
      <w:pPr>
        <w:jc w:val="both"/>
        <w:rPr>
          <w:rFonts w:ascii="Times New Roman" w:hAnsi="Times New Roman"/>
          <w:b/>
          <w:i/>
          <w:sz w:val="22"/>
          <w:szCs w:val="22"/>
        </w:rPr>
      </w:pPr>
    </w:p>
    <w:p w:rsidR="001A7EAE" w:rsidRPr="001A7EAE" w:rsidRDefault="001A7EAE" w:rsidP="001A7EAE">
      <w:pPr>
        <w:rPr>
          <w:rFonts w:ascii="Times New Roman" w:hAnsi="Times New Roman"/>
          <w:b/>
          <w:i/>
          <w:sz w:val="22"/>
          <w:szCs w:val="22"/>
        </w:rPr>
      </w:pPr>
      <w:r w:rsidRPr="001A7EAE">
        <w:rPr>
          <w:rFonts w:ascii="Times New Roman" w:hAnsi="Times New Roman"/>
          <w:b/>
          <w:i/>
          <w:sz w:val="22"/>
          <w:szCs w:val="22"/>
        </w:rPr>
        <w:t>Moment prvej konsolidácie kapitálu :</w:t>
      </w:r>
    </w:p>
    <w:p w:rsidR="001A7EAE" w:rsidRPr="001A7EAE" w:rsidRDefault="001A7EAE" w:rsidP="001A7EAE">
      <w:pPr>
        <w:widowControl/>
        <w:numPr>
          <w:ilvl w:val="0"/>
          <w:numId w:val="31"/>
        </w:numPr>
        <w:tabs>
          <w:tab w:val="left" w:pos="567"/>
        </w:tabs>
        <w:suppressAutoHyphens w:val="0"/>
        <w:ind w:hanging="1156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Pri  rozpočtových organizáciách je to deň ich zriadenia. </w:t>
      </w:r>
    </w:p>
    <w:p w:rsidR="001A7EAE" w:rsidRPr="001A7EAE" w:rsidRDefault="001A7EAE" w:rsidP="001A7EAE">
      <w:pPr>
        <w:widowControl/>
        <w:numPr>
          <w:ilvl w:val="0"/>
          <w:numId w:val="31"/>
        </w:numPr>
        <w:tabs>
          <w:tab w:val="left" w:pos="567"/>
        </w:tabs>
        <w:suppressAutoHyphens w:val="0"/>
        <w:ind w:hanging="1156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Pri  príspevkových  organizáciách je to deň ich zriadenia. </w:t>
      </w:r>
    </w:p>
    <w:p w:rsidR="001A7EAE" w:rsidRPr="001A7EAE" w:rsidRDefault="001A7EAE" w:rsidP="001A7EAE">
      <w:pPr>
        <w:widowControl/>
        <w:numPr>
          <w:ilvl w:val="0"/>
          <w:numId w:val="31"/>
        </w:numPr>
        <w:tabs>
          <w:tab w:val="left" w:pos="567"/>
        </w:tabs>
        <w:suppressAutoHyphens w:val="0"/>
        <w:ind w:hanging="1156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Pri obchodných spoločnostiach je to deň obstarania podielov.</w:t>
      </w: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b/>
          <w:i/>
          <w:sz w:val="22"/>
          <w:szCs w:val="22"/>
        </w:rPr>
      </w:pPr>
      <w:r w:rsidRPr="001A7EAE">
        <w:rPr>
          <w:rFonts w:ascii="Times New Roman" w:hAnsi="Times New Roman"/>
          <w:b/>
          <w:i/>
          <w:sz w:val="22"/>
          <w:szCs w:val="22"/>
        </w:rPr>
        <w:t>Informácie o </w:t>
      </w:r>
      <w:proofErr w:type="spellStart"/>
      <w:r w:rsidRPr="001A7EAE">
        <w:rPr>
          <w:rFonts w:ascii="Times New Roman" w:hAnsi="Times New Roman"/>
          <w:b/>
          <w:i/>
          <w:sz w:val="22"/>
          <w:szCs w:val="22"/>
        </w:rPr>
        <w:t>goodwille</w:t>
      </w:r>
      <w:proofErr w:type="spellEnd"/>
    </w:p>
    <w:p w:rsidR="001A7EAE" w:rsidRPr="001A7EAE" w:rsidRDefault="001A7EAE" w:rsidP="001A7EAE">
      <w:pPr>
        <w:widowControl/>
        <w:numPr>
          <w:ilvl w:val="0"/>
          <w:numId w:val="32"/>
        </w:numPr>
        <w:tabs>
          <w:tab w:val="left" w:pos="567"/>
        </w:tabs>
        <w:suppressAutoHyphens w:val="0"/>
        <w:ind w:left="567" w:hanging="283"/>
        <w:jc w:val="both"/>
        <w:rPr>
          <w:rFonts w:ascii="Times New Roman" w:hAnsi="Times New Roman"/>
          <w:sz w:val="22"/>
          <w:szCs w:val="22"/>
        </w:rPr>
      </w:pPr>
      <w:proofErr w:type="spellStart"/>
      <w:r w:rsidRPr="001A7EAE">
        <w:rPr>
          <w:rFonts w:ascii="Times New Roman" w:hAnsi="Times New Roman"/>
          <w:sz w:val="22"/>
          <w:szCs w:val="22"/>
        </w:rPr>
        <w:t>Goodwill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 nevzniká pri konsolidovanej účtovnej  jednotke, ktorou je rozpočtová organizácia.</w:t>
      </w:r>
    </w:p>
    <w:p w:rsidR="001A7EAE" w:rsidRPr="001A7EAE" w:rsidRDefault="001A7EAE" w:rsidP="001A7EAE">
      <w:pPr>
        <w:widowControl/>
        <w:numPr>
          <w:ilvl w:val="0"/>
          <w:numId w:val="32"/>
        </w:numPr>
        <w:tabs>
          <w:tab w:val="left" w:pos="567"/>
        </w:tabs>
        <w:suppressAutoHyphens w:val="0"/>
        <w:ind w:left="567" w:hanging="283"/>
        <w:jc w:val="both"/>
        <w:rPr>
          <w:rFonts w:ascii="Times New Roman" w:hAnsi="Times New Roman"/>
          <w:sz w:val="22"/>
          <w:szCs w:val="22"/>
        </w:rPr>
      </w:pPr>
      <w:proofErr w:type="spellStart"/>
      <w:r w:rsidRPr="001A7EAE">
        <w:rPr>
          <w:rFonts w:ascii="Times New Roman" w:hAnsi="Times New Roman"/>
          <w:sz w:val="22"/>
          <w:szCs w:val="22"/>
        </w:rPr>
        <w:t>Goodwill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 nevzniká pri konsolidovanej účtovnej  jednotke, ktorou je príspevková  organizácia.</w:t>
      </w:r>
    </w:p>
    <w:p w:rsidR="001A7EAE" w:rsidRPr="001A7EAE" w:rsidRDefault="001A7EAE" w:rsidP="001A7EAE">
      <w:pPr>
        <w:widowControl/>
        <w:numPr>
          <w:ilvl w:val="0"/>
          <w:numId w:val="32"/>
        </w:numPr>
        <w:tabs>
          <w:tab w:val="left" w:pos="567"/>
        </w:tabs>
        <w:suppressAutoHyphens w:val="0"/>
        <w:ind w:left="567" w:hanging="283"/>
        <w:jc w:val="both"/>
        <w:rPr>
          <w:rFonts w:ascii="Times New Roman" w:hAnsi="Times New Roman"/>
          <w:sz w:val="22"/>
          <w:szCs w:val="22"/>
        </w:rPr>
      </w:pPr>
      <w:proofErr w:type="spellStart"/>
      <w:r w:rsidRPr="001A7EAE">
        <w:rPr>
          <w:rFonts w:ascii="Times New Roman" w:hAnsi="Times New Roman"/>
          <w:sz w:val="22"/>
          <w:szCs w:val="22"/>
        </w:rPr>
        <w:t>Goodwill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 nevzniká pri založení konsolidovanej účtovnej  jednotky, ktorou je obchodná spoločnosť. </w:t>
      </w:r>
    </w:p>
    <w:p w:rsidR="001A7EAE" w:rsidRPr="001A7EAE" w:rsidRDefault="001A7EAE" w:rsidP="001A7EAE">
      <w:pPr>
        <w:widowControl/>
        <w:numPr>
          <w:ilvl w:val="0"/>
          <w:numId w:val="32"/>
        </w:numPr>
        <w:tabs>
          <w:tab w:val="left" w:pos="567"/>
        </w:tabs>
        <w:suppressAutoHyphens w:val="0"/>
        <w:ind w:left="567" w:hanging="283"/>
        <w:jc w:val="both"/>
        <w:rPr>
          <w:rFonts w:ascii="Times New Roman" w:hAnsi="Times New Roman"/>
          <w:sz w:val="22"/>
          <w:szCs w:val="22"/>
        </w:rPr>
      </w:pPr>
      <w:proofErr w:type="spellStart"/>
      <w:r w:rsidRPr="001A7EAE">
        <w:rPr>
          <w:rFonts w:ascii="Times New Roman" w:hAnsi="Times New Roman"/>
          <w:sz w:val="22"/>
          <w:szCs w:val="22"/>
        </w:rPr>
        <w:t>Goodwill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 vzniká pri kúpe už existujúcej konsolidovanej účtovnej  jednotky, ktorou je obchodná spoločnosť.</w:t>
      </w:r>
    </w:p>
    <w:p w:rsidR="001A7EAE" w:rsidRPr="001A7EAE" w:rsidRDefault="001A7EAE" w:rsidP="001A7EAE">
      <w:pPr>
        <w:widowControl/>
        <w:numPr>
          <w:ilvl w:val="0"/>
          <w:numId w:val="32"/>
        </w:numPr>
        <w:tabs>
          <w:tab w:val="left" w:pos="567"/>
        </w:tabs>
        <w:suppressAutoHyphens w:val="0"/>
        <w:ind w:hanging="1156"/>
        <w:jc w:val="both"/>
        <w:rPr>
          <w:rFonts w:ascii="Times New Roman" w:hAnsi="Times New Roman"/>
          <w:sz w:val="22"/>
          <w:szCs w:val="22"/>
        </w:rPr>
      </w:pPr>
      <w:proofErr w:type="spellStart"/>
      <w:r w:rsidRPr="001A7EAE">
        <w:rPr>
          <w:rFonts w:ascii="Times New Roman" w:hAnsi="Times New Roman"/>
          <w:sz w:val="22"/>
          <w:szCs w:val="22"/>
        </w:rPr>
        <w:t>Goodwill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 sa odpisuje do 5 rokov.</w:t>
      </w:r>
    </w:p>
    <w:p w:rsidR="001A7EAE" w:rsidRPr="001A7EAE" w:rsidRDefault="001A7EAE" w:rsidP="001A7EAE">
      <w:pPr>
        <w:ind w:left="1440"/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V roku 2022, rovnako ako v predchádzajúcich účtovných obdobiach,  sa medzi účtovnými jednotkami konsolidovaného celku Obce neuskutočnil nákup, resp. predaj majetku. Preto nebolo potrebné vykonať konsolidáciu medzivýsledku.</w:t>
      </w: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pStyle w:val="Nadpis21"/>
        <w:rPr>
          <w:sz w:val="22"/>
          <w:szCs w:val="22"/>
        </w:rPr>
      </w:pPr>
      <w:r w:rsidRPr="001A7EAE">
        <w:rPr>
          <w:sz w:val="22"/>
          <w:szCs w:val="22"/>
        </w:rPr>
        <w:t>Dlhodobý nehmotný majetok a dlhodobý hmotný majetok</w:t>
      </w:r>
    </w:p>
    <w:p w:rsidR="001A7EAE" w:rsidRPr="001A7EAE" w:rsidRDefault="001A7EAE" w:rsidP="001A7EAE">
      <w:pPr>
        <w:pStyle w:val="odstavec"/>
        <w:rPr>
          <w:sz w:val="22"/>
          <w:szCs w:val="22"/>
        </w:rPr>
      </w:pPr>
      <w:r w:rsidRPr="001A7EAE">
        <w:rPr>
          <w:sz w:val="22"/>
          <w:szCs w:val="22"/>
        </w:rPr>
        <w:t xml:space="preserve">Prehľad pohybu dlhodobého nehmotného a dlhodobého hmotného majetku od 1. januára 2022 do 31. decembra 2022 je uvedený v tabuľkovej časti </w:t>
      </w:r>
      <w:r w:rsidRPr="001A7EAE">
        <w:rPr>
          <w:i/>
          <w:sz w:val="22"/>
          <w:szCs w:val="22"/>
        </w:rPr>
        <w:t>Prehľad o pohybe dlhodobého majetku.</w:t>
      </w:r>
    </w:p>
    <w:p w:rsidR="001A7EAE" w:rsidRPr="001A7EAE" w:rsidRDefault="001A7EAE" w:rsidP="001A7EAE">
      <w:pPr>
        <w:pStyle w:val="odstavec"/>
        <w:rPr>
          <w:sz w:val="22"/>
          <w:szCs w:val="22"/>
        </w:rPr>
      </w:pPr>
    </w:p>
    <w:p w:rsidR="001A7EAE" w:rsidRPr="001A7EAE" w:rsidRDefault="001A7EAE" w:rsidP="001A7EAE">
      <w:pPr>
        <w:pStyle w:val="odstavec"/>
        <w:rPr>
          <w:sz w:val="22"/>
          <w:szCs w:val="22"/>
        </w:rPr>
      </w:pPr>
      <w:r w:rsidRPr="001A7EAE">
        <w:rPr>
          <w:sz w:val="22"/>
          <w:szCs w:val="22"/>
        </w:rPr>
        <w:t>Dlhodobý nehmotný a hmotný majetok je poistený pre prípad škôd spôsobených krádežou a živelnou pohromou.</w:t>
      </w:r>
    </w:p>
    <w:p w:rsidR="001A7EAE" w:rsidRPr="001A7EAE" w:rsidRDefault="001A7EAE" w:rsidP="001A7EAE">
      <w:pPr>
        <w:pStyle w:val="odstavec"/>
        <w:rPr>
          <w:sz w:val="22"/>
          <w:szCs w:val="22"/>
        </w:rPr>
      </w:pPr>
    </w:p>
    <w:p w:rsidR="001A7EAE" w:rsidRPr="001A7EAE" w:rsidRDefault="001A7EAE" w:rsidP="001A7EAE">
      <w:pPr>
        <w:pStyle w:val="odstavec"/>
        <w:rPr>
          <w:sz w:val="22"/>
          <w:szCs w:val="22"/>
        </w:rPr>
      </w:pPr>
      <w:r w:rsidRPr="001A7EAE">
        <w:rPr>
          <w:sz w:val="22"/>
          <w:szCs w:val="22"/>
        </w:rPr>
        <w:t xml:space="preserve">Obec má 1 osobné auto.  </w:t>
      </w:r>
    </w:p>
    <w:p w:rsidR="001A7EAE" w:rsidRPr="001A7EAE" w:rsidRDefault="001A7EAE" w:rsidP="001A7EAE">
      <w:pPr>
        <w:pStyle w:val="odstavec"/>
        <w:rPr>
          <w:sz w:val="22"/>
          <w:szCs w:val="22"/>
        </w:rPr>
      </w:pPr>
    </w:p>
    <w:p w:rsidR="001A7EAE" w:rsidRPr="001A7EAE" w:rsidRDefault="001A7EAE" w:rsidP="001A7EAE">
      <w:pPr>
        <w:pStyle w:val="odstavec"/>
        <w:rPr>
          <w:sz w:val="22"/>
          <w:szCs w:val="22"/>
        </w:rPr>
      </w:pPr>
    </w:p>
    <w:p w:rsidR="001A7EAE" w:rsidRPr="001A7EAE" w:rsidRDefault="001A7EAE" w:rsidP="001A7EAE">
      <w:pPr>
        <w:pStyle w:val="Nadpis21"/>
        <w:rPr>
          <w:sz w:val="22"/>
          <w:szCs w:val="22"/>
        </w:rPr>
      </w:pPr>
      <w:r w:rsidRPr="001A7EAE">
        <w:rPr>
          <w:sz w:val="22"/>
          <w:szCs w:val="22"/>
        </w:rPr>
        <w:t>Dlhodobý finančný majetok</w:t>
      </w:r>
    </w:p>
    <w:p w:rsidR="001A7EAE" w:rsidRPr="001A7EAE" w:rsidRDefault="001A7EAE" w:rsidP="001A7EAE">
      <w:pPr>
        <w:pStyle w:val="odstavec"/>
        <w:rPr>
          <w:i/>
          <w:sz w:val="22"/>
          <w:szCs w:val="22"/>
        </w:rPr>
      </w:pPr>
      <w:r w:rsidRPr="001A7EAE">
        <w:rPr>
          <w:sz w:val="22"/>
          <w:szCs w:val="22"/>
        </w:rPr>
        <w:t xml:space="preserve">Prehľad dlhodobého finančného majetku účtovnej jednotky od 1. januára 2022 do                   31. decembra 2022 je uvedený je uvedený v tabuľkovej časti </w:t>
      </w:r>
      <w:r w:rsidRPr="001A7EAE">
        <w:rPr>
          <w:i/>
          <w:sz w:val="22"/>
          <w:szCs w:val="22"/>
        </w:rPr>
        <w:t>Prehľad o pohybe dlhodobého majetku.</w:t>
      </w:r>
    </w:p>
    <w:p w:rsidR="001A7EAE" w:rsidRPr="001A7EAE" w:rsidRDefault="001A7EAE" w:rsidP="001A7EAE">
      <w:pPr>
        <w:pStyle w:val="odstavec"/>
        <w:rPr>
          <w:sz w:val="22"/>
          <w:szCs w:val="22"/>
        </w:rPr>
      </w:pPr>
    </w:p>
    <w:p w:rsidR="001A7EAE" w:rsidRPr="001A7EAE" w:rsidRDefault="001A7EAE" w:rsidP="001A7EAE">
      <w:pPr>
        <w:pStyle w:val="odstavec"/>
        <w:rPr>
          <w:sz w:val="22"/>
          <w:szCs w:val="22"/>
        </w:rPr>
      </w:pPr>
    </w:p>
    <w:p w:rsidR="001A7EAE" w:rsidRPr="001A7EAE" w:rsidRDefault="001A7EAE" w:rsidP="001A7EAE">
      <w:pPr>
        <w:pStyle w:val="odstavec"/>
        <w:rPr>
          <w:sz w:val="22"/>
          <w:szCs w:val="22"/>
        </w:rPr>
      </w:pPr>
      <w:r w:rsidRPr="001A7EAE">
        <w:rPr>
          <w:sz w:val="22"/>
          <w:szCs w:val="22"/>
        </w:rPr>
        <w:t xml:space="preserve">Obec vlastní akcie v Podtatranskej vodárenskej spoločnosti, a.s. v mene euro.  Účtovná hodnota k 31.12.2022 predstavovala sumu  48 590,16 eur. </w:t>
      </w:r>
    </w:p>
    <w:p w:rsidR="001A7EAE" w:rsidRPr="001A7EAE" w:rsidRDefault="001A7EAE" w:rsidP="001A7EAE">
      <w:pPr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pStyle w:val="Nadpis21"/>
        <w:rPr>
          <w:sz w:val="22"/>
          <w:szCs w:val="22"/>
        </w:rPr>
      </w:pPr>
      <w:r w:rsidRPr="001A7EAE">
        <w:rPr>
          <w:sz w:val="22"/>
          <w:szCs w:val="22"/>
        </w:rPr>
        <w:t>Pohľadávky</w:t>
      </w:r>
    </w:p>
    <w:p w:rsidR="001A7EAE" w:rsidRPr="001A7EAE" w:rsidRDefault="001A7EAE" w:rsidP="001A7EAE">
      <w:pPr>
        <w:pStyle w:val="odstavec"/>
        <w:rPr>
          <w:sz w:val="22"/>
          <w:szCs w:val="22"/>
        </w:rPr>
      </w:pPr>
      <w:r w:rsidRPr="001A7EAE">
        <w:rPr>
          <w:sz w:val="22"/>
          <w:szCs w:val="22"/>
        </w:rPr>
        <w:t>Rozdelenie pohľadávok podľa splatnosti sú uvedené v tabuľkovej časti.</w:t>
      </w:r>
    </w:p>
    <w:p w:rsidR="001A7EAE" w:rsidRPr="001A7EAE" w:rsidRDefault="001A7EAE" w:rsidP="001A7EAE">
      <w:pPr>
        <w:pStyle w:val="odstavec"/>
        <w:rPr>
          <w:sz w:val="22"/>
          <w:szCs w:val="22"/>
        </w:rPr>
      </w:pPr>
      <w:r w:rsidRPr="001A7EAE">
        <w:rPr>
          <w:sz w:val="22"/>
          <w:szCs w:val="22"/>
        </w:rPr>
        <w:t>Najvýznamnejšou položkou pohľadávok sú pohľadávky z daňových a nedaňových príjmov obce.</w:t>
      </w:r>
    </w:p>
    <w:p w:rsidR="001A7EAE" w:rsidRPr="001A7EAE" w:rsidRDefault="001A7EAE" w:rsidP="001A7EAE">
      <w:pPr>
        <w:pStyle w:val="Nadpis21"/>
        <w:rPr>
          <w:sz w:val="22"/>
          <w:szCs w:val="22"/>
        </w:rPr>
      </w:pPr>
    </w:p>
    <w:p w:rsidR="001A7EAE" w:rsidRPr="001A7EAE" w:rsidRDefault="001A7EAE" w:rsidP="001A7EAE">
      <w:pPr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pStyle w:val="Nadpis21"/>
        <w:rPr>
          <w:sz w:val="22"/>
          <w:szCs w:val="22"/>
        </w:rPr>
      </w:pPr>
      <w:r w:rsidRPr="001A7EAE">
        <w:rPr>
          <w:sz w:val="22"/>
          <w:szCs w:val="22"/>
        </w:rPr>
        <w:t>Finančný majetok</w:t>
      </w:r>
    </w:p>
    <w:p w:rsidR="001A7EAE" w:rsidRPr="001A7EAE" w:rsidRDefault="001A7EAE" w:rsidP="001A7EAE">
      <w:pPr>
        <w:pStyle w:val="Zkladntext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Ako finančný majetok sú vykázané peňažné prostriedky v pokladnici a účty v bankách. Účtami v bankách môže účtovná jednotka voľne disponovať.</w:t>
      </w:r>
    </w:p>
    <w:p w:rsidR="001A7EAE" w:rsidRPr="001A7EAE" w:rsidRDefault="001A7EAE" w:rsidP="001A7EAE">
      <w:pPr>
        <w:pStyle w:val="Zkladntext"/>
        <w:rPr>
          <w:rFonts w:ascii="Times New Roman" w:hAnsi="Times New Roman"/>
          <w:sz w:val="22"/>
          <w:szCs w:val="22"/>
          <w:highlight w:val="yellow"/>
        </w:rPr>
      </w:pPr>
    </w:p>
    <w:p w:rsidR="001A7EAE" w:rsidRPr="001A7EAE" w:rsidRDefault="001A7EAE" w:rsidP="001A7EAE">
      <w:pPr>
        <w:pStyle w:val="Nadpis21"/>
        <w:rPr>
          <w:sz w:val="22"/>
          <w:szCs w:val="22"/>
        </w:rPr>
      </w:pPr>
      <w:r w:rsidRPr="001A7EAE">
        <w:rPr>
          <w:sz w:val="22"/>
          <w:szCs w:val="22"/>
        </w:rPr>
        <w:lastRenderedPageBreak/>
        <w:t>Poskytnuté návratné finančné výpomoci</w:t>
      </w:r>
    </w:p>
    <w:p w:rsidR="001A7EAE" w:rsidRPr="001A7EAE" w:rsidRDefault="001A7EAE" w:rsidP="001A7EAE">
      <w:pPr>
        <w:pStyle w:val="odstavec"/>
        <w:rPr>
          <w:sz w:val="22"/>
          <w:szCs w:val="22"/>
        </w:rPr>
      </w:pPr>
      <w:r w:rsidRPr="001A7EAE">
        <w:rPr>
          <w:sz w:val="22"/>
          <w:szCs w:val="22"/>
        </w:rPr>
        <w:t>Obec neposkytla v roku 2022 návratnú finančnú výpomoc.</w:t>
      </w: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jc w:val="center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Čl. III</w:t>
      </w:r>
    </w:p>
    <w:p w:rsidR="001A7EAE" w:rsidRPr="001A7EAE" w:rsidRDefault="001A7EAE" w:rsidP="001A7EAE">
      <w:pPr>
        <w:jc w:val="center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Informácie o údajoch aktív a pasív</w:t>
      </w:r>
    </w:p>
    <w:p w:rsidR="001A7EAE" w:rsidRPr="001A7EAE" w:rsidRDefault="001A7EAE" w:rsidP="001A7EAE">
      <w:pPr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Popis údajov vyplnených v prehľade pohybov dlhodobého nehmotného a dlhodobého hmotného majetku</w:t>
      </w:r>
    </w:p>
    <w:p w:rsidR="001A7EAE" w:rsidRPr="001A7EAE" w:rsidRDefault="001A7EAE" w:rsidP="001A7EAE">
      <w:pPr>
        <w:widowControl/>
        <w:numPr>
          <w:ilvl w:val="0"/>
          <w:numId w:val="30"/>
        </w:numPr>
        <w:suppressAutoHyphens w:val="0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Bezprostredne predchádzajúce účtovné obdobie sa chápe k 31.12.2021</w:t>
      </w:r>
    </w:p>
    <w:p w:rsidR="001A7EAE" w:rsidRPr="001A7EAE" w:rsidRDefault="001A7EAE" w:rsidP="001A7EAE">
      <w:pPr>
        <w:widowControl/>
        <w:numPr>
          <w:ilvl w:val="0"/>
          <w:numId w:val="30"/>
        </w:numPr>
        <w:suppressAutoHyphens w:val="0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Bežné účtovné obdobie sa vykazuje k 31.12.2022</w:t>
      </w:r>
    </w:p>
    <w:p w:rsidR="001A7EAE" w:rsidRPr="001A7EAE" w:rsidRDefault="001A7EAE" w:rsidP="001A7EAE">
      <w:pPr>
        <w:widowControl/>
        <w:numPr>
          <w:ilvl w:val="0"/>
          <w:numId w:val="30"/>
        </w:numPr>
        <w:suppressAutoHyphens w:val="0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1A7EAE" w:rsidRPr="001A7EAE" w:rsidRDefault="001A7EAE" w:rsidP="001A7EAE">
      <w:pPr>
        <w:widowControl/>
        <w:numPr>
          <w:ilvl w:val="0"/>
          <w:numId w:val="30"/>
        </w:numPr>
        <w:suppressAutoHyphens w:val="0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Úbytok je vykázanie zníženia aktív (napr. predaj, darovanie)</w:t>
      </w:r>
    </w:p>
    <w:p w:rsidR="001A7EAE" w:rsidRPr="001A7EAE" w:rsidRDefault="001A7EAE" w:rsidP="001A7EAE">
      <w:pPr>
        <w:widowControl/>
        <w:numPr>
          <w:ilvl w:val="0"/>
          <w:numId w:val="30"/>
        </w:numPr>
        <w:suppressAutoHyphens w:val="0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Presun je vykázanie zmeny hodnoty niektorej položky bez zmeny celkovej hodnoty aktív</w:t>
      </w:r>
    </w:p>
    <w:p w:rsidR="001A7EAE" w:rsidRPr="001A7EAE" w:rsidRDefault="001A7EAE" w:rsidP="001A7EAE">
      <w:pPr>
        <w:jc w:val="both"/>
        <w:rPr>
          <w:rFonts w:ascii="Times New Roman" w:hAnsi="Times New Roman"/>
          <w:i/>
          <w:sz w:val="22"/>
          <w:szCs w:val="22"/>
          <w:highlight w:val="red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Prehľad o pohybe dlhodobého majetku sa nachádza v priloženom tabuľkovom formulári a vysvetľuje položky súvahy – aktív. </w:t>
      </w:r>
    </w:p>
    <w:p w:rsidR="001A7EAE" w:rsidRPr="001A7EAE" w:rsidRDefault="001A7EAE" w:rsidP="001A7EAE">
      <w:pPr>
        <w:pStyle w:val="Pismenka"/>
        <w:ind w:left="0" w:firstLine="0"/>
        <w:rPr>
          <w:b w:val="0"/>
          <w:bCs w:val="0"/>
          <w:sz w:val="22"/>
          <w:szCs w:val="22"/>
        </w:rPr>
      </w:pPr>
    </w:p>
    <w:p w:rsidR="001A7EAE" w:rsidRPr="001A7EAE" w:rsidRDefault="001A7EAE" w:rsidP="001A7EAE">
      <w:pPr>
        <w:widowControl/>
        <w:numPr>
          <w:ilvl w:val="0"/>
          <w:numId w:val="28"/>
        </w:numPr>
        <w:suppressAutoHyphens w:val="0"/>
        <w:ind w:left="357" w:hanging="357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Spôsob a výška poistenia majetku</w:t>
      </w:r>
    </w:p>
    <w:p w:rsidR="001A7EAE" w:rsidRPr="001A7EAE" w:rsidRDefault="001A7EAE" w:rsidP="001A7EAE">
      <w:pPr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           Majetok je poistený v KOOPERATÍVA poisťovňa a.s., </w:t>
      </w:r>
      <w:proofErr w:type="spellStart"/>
      <w:r w:rsidRPr="001A7EAE">
        <w:rPr>
          <w:rFonts w:ascii="Times New Roman" w:hAnsi="Times New Roman"/>
          <w:sz w:val="22"/>
          <w:szCs w:val="22"/>
        </w:rPr>
        <w:t>Lazaretská</w:t>
      </w:r>
      <w:proofErr w:type="spellEnd"/>
      <w:r w:rsidRPr="001A7EAE">
        <w:rPr>
          <w:rFonts w:ascii="Times New Roman" w:hAnsi="Times New Roman"/>
          <w:sz w:val="22"/>
          <w:szCs w:val="22"/>
        </w:rPr>
        <w:t xml:space="preserve"> 15, 820 07 Bratislava 27</w:t>
      </w:r>
    </w:p>
    <w:p w:rsidR="001A7EAE" w:rsidRPr="001A7EAE" w:rsidRDefault="001A7EAE" w:rsidP="001A7EAE">
      <w:pPr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widowControl/>
        <w:numPr>
          <w:ilvl w:val="0"/>
          <w:numId w:val="28"/>
        </w:numPr>
        <w:suppressAutoHyphens w:val="0"/>
        <w:ind w:left="357" w:hanging="357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Zriadenie záložného práva na dlhodobý majetok .</w:t>
      </w:r>
    </w:p>
    <w:p w:rsidR="001A7EAE" w:rsidRPr="001A7EAE" w:rsidRDefault="001A7EAE" w:rsidP="001A7EAE">
      <w:pPr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            Obec Danišovce nemá zriadené záložné právo na dlhodobý majetok.</w:t>
      </w:r>
    </w:p>
    <w:p w:rsidR="001A7EAE" w:rsidRPr="001A7EAE" w:rsidRDefault="001A7EAE" w:rsidP="001A7EAE">
      <w:pPr>
        <w:pStyle w:val="Pismenka"/>
        <w:ind w:left="0" w:firstLine="0"/>
        <w:rPr>
          <w:b w:val="0"/>
          <w:bCs w:val="0"/>
          <w:sz w:val="22"/>
          <w:szCs w:val="22"/>
        </w:rPr>
      </w:pPr>
    </w:p>
    <w:p w:rsidR="001A7EAE" w:rsidRPr="001A7EAE" w:rsidRDefault="001A7EAE" w:rsidP="001A7EAE">
      <w:pPr>
        <w:widowControl/>
        <w:numPr>
          <w:ilvl w:val="0"/>
          <w:numId w:val="28"/>
        </w:numPr>
        <w:tabs>
          <w:tab w:val="clear" w:pos="720"/>
          <w:tab w:val="left" w:pos="741"/>
        </w:tabs>
        <w:suppressAutoHyphens w:val="0"/>
        <w:ind w:left="357" w:hanging="357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Dôvody zvýšenia, zníženia a zrušenia opravných položiek k dlhodobému nehmotnému     majetku a dlhodobému hmotnému majetku</w:t>
      </w: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tbl>
      <w:tblPr>
        <w:tblStyle w:val="Mriekatabuky"/>
        <w:tblW w:w="10260" w:type="dxa"/>
        <w:tblInd w:w="98" w:type="dxa"/>
        <w:tblCellMar>
          <w:left w:w="98" w:type="dxa"/>
        </w:tblCellMar>
        <w:tblLook w:val="01E0"/>
      </w:tblPr>
      <w:tblGrid>
        <w:gridCol w:w="668"/>
        <w:gridCol w:w="3188"/>
        <w:gridCol w:w="2084"/>
        <w:gridCol w:w="4320"/>
      </w:tblGrid>
      <w:tr w:rsidR="001A7EAE" w:rsidRPr="001A7EAE" w:rsidTr="001A7EAE">
        <w:tc>
          <w:tcPr>
            <w:tcW w:w="667" w:type="dxa"/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Inv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>.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číslo</w:t>
            </w: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Konkrétny druh DM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Suma OP v EUR</w:t>
            </w: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Dôvod zvýšenia, zníženia a zrušenia OP</w:t>
            </w:r>
          </w:p>
        </w:tc>
      </w:tr>
      <w:tr w:rsidR="001A7EAE" w:rsidRPr="001A7EAE" w:rsidTr="001A7EAE">
        <w:tc>
          <w:tcPr>
            <w:tcW w:w="667" w:type="dxa"/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sz w:val="22"/>
                <w:szCs w:val="22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Nie sú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1A7EAE" w:rsidRPr="001A7EAE" w:rsidRDefault="001A7EAE" w:rsidP="001A7EAE">
      <w:pPr>
        <w:pStyle w:val="Pismenka"/>
        <w:ind w:left="0" w:firstLine="0"/>
        <w:rPr>
          <w:b w:val="0"/>
          <w:bCs w:val="0"/>
          <w:sz w:val="22"/>
          <w:szCs w:val="22"/>
        </w:rPr>
      </w:pPr>
    </w:p>
    <w:p w:rsidR="001A7EAE" w:rsidRPr="001A7EAE" w:rsidRDefault="001A7EAE" w:rsidP="001A7EAE">
      <w:pPr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II. Dlhodobý finančný majetok  po konsolidácií</w:t>
      </w:r>
    </w:p>
    <w:p w:rsidR="001A7EAE" w:rsidRPr="001A7EAE" w:rsidRDefault="001A7EAE" w:rsidP="001A7EAE">
      <w:pPr>
        <w:widowControl/>
        <w:numPr>
          <w:ilvl w:val="0"/>
          <w:numId w:val="10"/>
        </w:numPr>
        <w:tabs>
          <w:tab w:val="left" w:pos="360"/>
        </w:tabs>
        <w:suppressAutoHyphens w:val="0"/>
        <w:ind w:left="360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Prehľad o pohybe dlhodobého finančného majetku /v EUR /</w:t>
      </w:r>
    </w:p>
    <w:p w:rsidR="001A7EAE" w:rsidRPr="001A7EAE" w:rsidRDefault="001A7EAE" w:rsidP="001A7EAE">
      <w:pPr>
        <w:pStyle w:val="Pismenka"/>
        <w:numPr>
          <w:ilvl w:val="0"/>
          <w:numId w:val="13"/>
        </w:numPr>
        <w:tabs>
          <w:tab w:val="left" w:pos="360"/>
          <w:tab w:val="left" w:pos="426"/>
        </w:tabs>
        <w:ind w:left="360"/>
        <w:rPr>
          <w:b w:val="0"/>
          <w:bCs w:val="0"/>
          <w:sz w:val="22"/>
          <w:szCs w:val="22"/>
        </w:rPr>
      </w:pPr>
      <w:r w:rsidRPr="001A7EAE">
        <w:rPr>
          <w:b w:val="0"/>
          <w:bCs w:val="0"/>
          <w:sz w:val="22"/>
          <w:szCs w:val="22"/>
        </w:rPr>
        <w:t xml:space="preserve">OBSTARÁVACIA CENA </w:t>
      </w:r>
    </w:p>
    <w:tbl>
      <w:tblPr>
        <w:tblW w:w="10705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161"/>
        <w:gridCol w:w="721"/>
        <w:gridCol w:w="903"/>
        <w:gridCol w:w="1437"/>
        <w:gridCol w:w="1535"/>
        <w:gridCol w:w="1345"/>
        <w:gridCol w:w="1069"/>
        <w:gridCol w:w="1534"/>
      </w:tblGrid>
      <w:tr w:rsidR="001A7EAE" w:rsidRPr="001A7EAE" w:rsidTr="001A7EAE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Účet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Riadok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súvahy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OC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k 31.12.2021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Prírastky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+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Úbytky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Presuny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+ / -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OC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k 31.12.2022</w:t>
            </w:r>
          </w:p>
        </w:tc>
      </w:tr>
      <w:tr w:rsidR="001A7EAE" w:rsidRPr="001A7EAE" w:rsidTr="001A7EAE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061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026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5 000,00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5 000,00</w:t>
            </w:r>
          </w:p>
        </w:tc>
      </w:tr>
      <w:tr w:rsidR="001A7EAE" w:rsidRPr="001A7EAE" w:rsidTr="001A7EAE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Realizovateľné cenné papiere v materskej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063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029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48 590,16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48 590,16</w:t>
            </w:r>
          </w:p>
        </w:tc>
      </w:tr>
      <w:tr w:rsidR="001A7EAE" w:rsidRPr="001A7EAE" w:rsidTr="001A7EAE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53 590,16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53 590,16</w:t>
            </w:r>
          </w:p>
        </w:tc>
      </w:tr>
    </w:tbl>
    <w:p w:rsidR="001A7EAE" w:rsidRPr="001A7EAE" w:rsidRDefault="001A7EAE" w:rsidP="001A7EAE">
      <w:pPr>
        <w:pStyle w:val="Pismenka"/>
        <w:ind w:left="357" w:firstLine="0"/>
        <w:rPr>
          <w:b w:val="0"/>
          <w:bCs w:val="0"/>
          <w:sz w:val="22"/>
          <w:szCs w:val="22"/>
        </w:rPr>
      </w:pPr>
    </w:p>
    <w:p w:rsidR="001A7EAE" w:rsidRPr="001A7EAE" w:rsidRDefault="001A7EAE" w:rsidP="001A7EAE">
      <w:pPr>
        <w:pStyle w:val="Pismenka"/>
        <w:numPr>
          <w:ilvl w:val="0"/>
          <w:numId w:val="13"/>
        </w:numPr>
        <w:tabs>
          <w:tab w:val="left" w:pos="360"/>
          <w:tab w:val="left" w:pos="426"/>
        </w:tabs>
        <w:ind w:left="360"/>
        <w:rPr>
          <w:b w:val="0"/>
          <w:bCs w:val="0"/>
          <w:sz w:val="22"/>
          <w:szCs w:val="22"/>
        </w:rPr>
      </w:pPr>
      <w:r w:rsidRPr="001A7EAE">
        <w:rPr>
          <w:b w:val="0"/>
          <w:bCs w:val="0"/>
          <w:sz w:val="22"/>
          <w:szCs w:val="22"/>
        </w:rPr>
        <w:t>ZOSTATKOVÁ HODNOTA po konsolidácií</w:t>
      </w:r>
    </w:p>
    <w:tbl>
      <w:tblPr>
        <w:tblW w:w="10800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1A7EAE" w:rsidRPr="001A7EAE" w:rsidTr="001A7EAE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Riadok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Zostatková hodnota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k 31.12.2021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Zostatková hodnota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k 31.12.2022</w:t>
            </w:r>
          </w:p>
        </w:tc>
      </w:tr>
      <w:tr w:rsidR="001A7EAE" w:rsidRPr="001A7EAE" w:rsidTr="001A7EAE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</w:tr>
      <w:tr w:rsidR="001A7EAE" w:rsidRPr="001A7EAE" w:rsidTr="001A7EAE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027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48 590,16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48 590,16</w:t>
            </w:r>
          </w:p>
        </w:tc>
      </w:tr>
      <w:tr w:rsidR="001A7EAE" w:rsidRPr="001A7EAE" w:rsidTr="001A7EAE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48 590.16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48 590,16</w:t>
            </w:r>
          </w:p>
        </w:tc>
      </w:tr>
    </w:tbl>
    <w:p w:rsidR="001A7EAE" w:rsidRPr="001A7EAE" w:rsidRDefault="001A7EAE" w:rsidP="001A7EAE">
      <w:pPr>
        <w:jc w:val="both"/>
        <w:rPr>
          <w:rFonts w:ascii="Times New Roman" w:hAnsi="Times New Roman"/>
          <w:b/>
          <w:sz w:val="22"/>
          <w:szCs w:val="22"/>
        </w:rPr>
      </w:pPr>
    </w:p>
    <w:p w:rsidR="001A7EAE" w:rsidRPr="001A7EAE" w:rsidRDefault="001A7EAE" w:rsidP="001A7EAE">
      <w:pPr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 xml:space="preserve"> Pohľadávky po konsolidácii</w:t>
      </w:r>
    </w:p>
    <w:p w:rsidR="001A7EAE" w:rsidRPr="001A7EAE" w:rsidRDefault="001A7EAE" w:rsidP="001A7EAE">
      <w:pPr>
        <w:rPr>
          <w:rFonts w:ascii="Times New Roman" w:hAnsi="Times New Roman"/>
          <w:b/>
          <w:sz w:val="22"/>
          <w:szCs w:val="22"/>
        </w:rPr>
      </w:pPr>
    </w:p>
    <w:p w:rsidR="001A7EAE" w:rsidRPr="001A7EAE" w:rsidRDefault="001A7EAE" w:rsidP="001A7EAE">
      <w:pPr>
        <w:widowControl/>
        <w:numPr>
          <w:ilvl w:val="0"/>
          <w:numId w:val="11"/>
        </w:numPr>
        <w:tabs>
          <w:tab w:val="left" w:pos="360"/>
        </w:tabs>
        <w:suppressAutoHyphens w:val="0"/>
        <w:ind w:hanging="72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Významné pohľadávky podľa jednotlivých položiek súvahy /v EUR/</w:t>
      </w:r>
    </w:p>
    <w:p w:rsidR="001A7EAE" w:rsidRPr="001A7EAE" w:rsidRDefault="001A7EAE" w:rsidP="001A7EAE">
      <w:pPr>
        <w:pStyle w:val="Pismenka"/>
        <w:ind w:left="0" w:firstLine="0"/>
        <w:rPr>
          <w:b w:val="0"/>
          <w:bCs w:val="0"/>
          <w:sz w:val="22"/>
          <w:szCs w:val="22"/>
        </w:rPr>
      </w:pPr>
    </w:p>
    <w:tbl>
      <w:tblPr>
        <w:tblW w:w="10262" w:type="dxa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/>
      </w:tblPr>
      <w:tblGrid>
        <w:gridCol w:w="2031"/>
        <w:gridCol w:w="829"/>
        <w:gridCol w:w="1779"/>
        <w:gridCol w:w="1780"/>
        <w:gridCol w:w="3843"/>
      </w:tblGrid>
      <w:tr w:rsidR="001A7EAE" w:rsidRPr="001A7EAE" w:rsidTr="001A7EA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Pohľadávky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Riadok súvahy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Hodnota pohľadávok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 EUR 2021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Hodnota pohľadávok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 EUR 2022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Opis</w:t>
            </w:r>
          </w:p>
        </w:tc>
      </w:tr>
      <w:tr w:rsidR="001A7EAE" w:rsidRPr="001A7EAE" w:rsidTr="001A7EA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 z </w:t>
            </w: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nedaň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>.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71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5 812,48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6256,95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nájomné,TKO-materská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1A7EAE" w:rsidRPr="001A7EAE" w:rsidTr="001A7EA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 z daňových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90,26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247,44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DzN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 xml:space="preserve">, daň za </w:t>
            </w: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psa-materská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1A7EAE" w:rsidRPr="001A7EAE" w:rsidTr="001A7EA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lastRenderedPageBreak/>
              <w:t>- odberatelia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64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343,29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pohľadávky za </w:t>
            </w: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služby-materská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1A7EAE" w:rsidRPr="001A7EAE" w:rsidTr="001A7EA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-zamestnanci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10,08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Stravné lístky</w:t>
            </w:r>
          </w:p>
        </w:tc>
      </w:tr>
      <w:tr w:rsidR="001A7EAE" w:rsidRPr="001A7EAE" w:rsidTr="001A7EAE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xxx</w:t>
            </w:r>
            <w:proofErr w:type="spellEnd"/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5 902,74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6857,76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</w:rPr>
            </w:pPr>
          </w:p>
        </w:tc>
      </w:tr>
    </w:tbl>
    <w:p w:rsidR="001A7EAE" w:rsidRPr="001A7EAE" w:rsidRDefault="001A7EAE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  <w:r w:rsidRPr="001A7EAE">
        <w:rPr>
          <w:rFonts w:ascii="Times New Roman" w:hAnsi="Times New Roman"/>
          <w:b/>
          <w:bCs/>
          <w:sz w:val="22"/>
          <w:szCs w:val="22"/>
        </w:rPr>
        <w:t>Záväzky po konsolidácií</w:t>
      </w:r>
    </w:p>
    <w:p w:rsidR="001A7EAE" w:rsidRPr="001A7EAE" w:rsidRDefault="001A7EAE" w:rsidP="001A7EAE">
      <w:pPr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1A7EAE" w:rsidRPr="001A7EAE" w:rsidRDefault="001A7EAE" w:rsidP="001A7EAE">
      <w:pPr>
        <w:widowControl/>
        <w:numPr>
          <w:ilvl w:val="0"/>
          <w:numId w:val="12"/>
        </w:numPr>
        <w:tabs>
          <w:tab w:val="left" w:pos="360"/>
        </w:tabs>
        <w:suppressAutoHyphens w:val="0"/>
        <w:ind w:left="360"/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Významné záväzky podľa jednotlivých položiek súvahy /v EUR/</w:t>
      </w:r>
    </w:p>
    <w:p w:rsidR="001A7EAE" w:rsidRPr="001A7EAE" w:rsidRDefault="001A7EAE" w:rsidP="001A7EAE">
      <w:pPr>
        <w:ind w:left="360"/>
        <w:jc w:val="both"/>
        <w:rPr>
          <w:rFonts w:ascii="Times New Roman" w:hAnsi="Times New Roman"/>
          <w:sz w:val="22"/>
          <w:szCs w:val="22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1A7EAE" w:rsidRPr="001A7EAE" w:rsidTr="001A7EA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Záväzky-dlhodobé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Hodnota záväzkov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 EUR 2021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Hodnota záväzkov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 EUR 2022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Opis</w:t>
            </w:r>
          </w:p>
        </w:tc>
      </w:tr>
      <w:tr w:rsidR="001A7EAE" w:rsidRPr="001A7EAE" w:rsidTr="001A7EA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-dlhodobé záväzky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145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385 049,57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359 486,86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úver </w:t>
            </w: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ŠFRB-materská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1A7EAE" w:rsidRPr="001A7EAE" w:rsidTr="001A7EA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-prijaté preddavky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146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kaucie-materská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1A7EAE" w:rsidRPr="001A7EAE" w:rsidTr="001A7EA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-sociálny fond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148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1 745,13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2 307,00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sociálny </w:t>
            </w: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fond-materská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 xml:space="preserve"> ÚJ</w:t>
            </w:r>
          </w:p>
        </w:tc>
      </w:tr>
      <w:tr w:rsidR="001A7EAE" w:rsidRPr="001A7EAE" w:rsidTr="001A7EA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xxx</w:t>
            </w:r>
            <w:proofErr w:type="spellEnd"/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386 794,70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361 793,86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</w:rPr>
            </w:pPr>
          </w:p>
        </w:tc>
      </w:tr>
    </w:tbl>
    <w:p w:rsidR="001A7EAE" w:rsidRPr="001A7EAE" w:rsidRDefault="001A7EAE" w:rsidP="001A7EAE">
      <w:pPr>
        <w:ind w:left="360"/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pStyle w:val="Pismenka"/>
        <w:ind w:left="0" w:firstLine="0"/>
        <w:rPr>
          <w:b w:val="0"/>
          <w:bCs w:val="0"/>
          <w:sz w:val="22"/>
          <w:szCs w:val="22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1A7EAE" w:rsidRPr="001A7EAE" w:rsidTr="001A7EA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Záväzky-krátkodobé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Hodnota záväzkov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 EUR 2021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Hodnota záväzkov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 EUR 2022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Opis</w:t>
            </w:r>
          </w:p>
        </w:tc>
      </w:tr>
      <w:tr w:rsidR="001A7EAE" w:rsidRPr="001A7EAE" w:rsidTr="001A7EA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-dodávatelia</w:t>
            </w:r>
          </w:p>
          <w:p w:rsidR="001A7EAE" w:rsidRPr="001A7EAE" w:rsidRDefault="001A7EAE" w:rsidP="001A7EAE">
            <w:pPr>
              <w:pStyle w:val="Odsekzoznamu"/>
              <w:numPr>
                <w:ilvl w:val="0"/>
                <w:numId w:val="14"/>
              </w:numPr>
              <w:jc w:val="both"/>
              <w:rPr>
                <w:sz w:val="22"/>
                <w:szCs w:val="22"/>
              </w:rPr>
            </w:pPr>
            <w:r w:rsidRPr="001A7EAE">
              <w:rPr>
                <w:i/>
                <w:sz w:val="22"/>
                <w:szCs w:val="22"/>
              </w:rPr>
              <w:t>Obec</w:t>
            </w:r>
          </w:p>
          <w:p w:rsidR="001A7EAE" w:rsidRPr="001A7EAE" w:rsidRDefault="001A7EAE" w:rsidP="001A7EAE">
            <w:pPr>
              <w:pStyle w:val="Odsekzoznamu"/>
              <w:numPr>
                <w:ilvl w:val="0"/>
                <w:numId w:val="14"/>
              </w:numPr>
              <w:jc w:val="both"/>
              <w:rPr>
                <w:i/>
                <w:sz w:val="22"/>
                <w:szCs w:val="22"/>
              </w:rPr>
            </w:pPr>
            <w:r w:rsidRPr="001A7EAE">
              <w:rPr>
                <w:i/>
                <w:sz w:val="22"/>
                <w:szCs w:val="22"/>
              </w:rPr>
              <w:t>OHO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157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3 200,24</w:t>
            </w:r>
          </w:p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3 200,24</w:t>
            </w:r>
          </w:p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8 255,61</w:t>
            </w:r>
          </w:p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8 255,61</w:t>
            </w:r>
          </w:p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 splatnosti</w:t>
            </w:r>
          </w:p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-materská ÚJ</w:t>
            </w:r>
          </w:p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-dcérska  ÚJ</w:t>
            </w:r>
          </w:p>
        </w:tc>
      </w:tr>
      <w:tr w:rsidR="001A7EAE" w:rsidRPr="001A7EAE" w:rsidTr="001A7EA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-ostatné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160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34,72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záväzky dcérskej ÚJ</w:t>
            </w:r>
          </w:p>
        </w:tc>
      </w:tr>
      <w:tr w:rsidR="001A7EAE" w:rsidRPr="001A7EAE" w:rsidTr="001A7EA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</w:t>
            </w: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DzPPO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645,47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727,42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záväzky dcérskej ÚJ</w:t>
            </w:r>
          </w:p>
        </w:tc>
      </w:tr>
      <w:tr w:rsidR="001A7EAE" w:rsidRPr="001A7EAE" w:rsidTr="001A7EAE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xxx</w:t>
            </w:r>
            <w:proofErr w:type="spellEnd"/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3 845,71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9 017,75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</w:rPr>
            </w:pPr>
          </w:p>
        </w:tc>
      </w:tr>
    </w:tbl>
    <w:p w:rsidR="001A7EAE" w:rsidRPr="001A7EAE" w:rsidRDefault="001A7EAE" w:rsidP="001A7EAE">
      <w:pPr>
        <w:ind w:left="360"/>
        <w:jc w:val="both"/>
        <w:rPr>
          <w:rFonts w:ascii="Times New Roman" w:hAnsi="Times New Roman"/>
          <w:b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b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b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Rezervy v konsolidovanom celku sa v rámci hlavnej aj podnikateľskej činnosti netvorili</w:t>
      </w: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ab/>
      </w:r>
    </w:p>
    <w:p w:rsidR="001A7EAE" w:rsidRDefault="001A7EAE" w:rsidP="001A7EAE">
      <w:pPr>
        <w:jc w:val="both"/>
        <w:rPr>
          <w:rFonts w:ascii="Times New Roman" w:hAnsi="Times New Roman"/>
          <w:b/>
          <w:sz w:val="22"/>
          <w:szCs w:val="22"/>
        </w:rPr>
      </w:pPr>
      <w:r w:rsidRPr="001A7EAE">
        <w:rPr>
          <w:rFonts w:ascii="Times New Roman" w:hAnsi="Times New Roman"/>
          <w:b/>
          <w:sz w:val="22"/>
          <w:szCs w:val="22"/>
        </w:rPr>
        <w:t>Konsolidované náklady a výnosy k 31.12.2022 :</w:t>
      </w:r>
    </w:p>
    <w:p w:rsidR="005F3730" w:rsidRPr="001A7EAE" w:rsidRDefault="005F3730" w:rsidP="001A7EAE">
      <w:pPr>
        <w:jc w:val="both"/>
        <w:rPr>
          <w:rFonts w:ascii="Times New Roman" w:hAnsi="Times New Roman"/>
          <w:b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V rámci konsolidovaného celku boli konsolidované :</w:t>
      </w: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341"/>
        <w:gridCol w:w="1080"/>
        <w:gridCol w:w="2160"/>
        <w:gridCol w:w="4679"/>
      </w:tblGrid>
      <w:tr w:rsidR="001A7EAE" w:rsidRPr="001A7EAE" w:rsidTr="001A7EA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Hodnota pohľadávok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Opis</w:t>
            </w:r>
          </w:p>
        </w:tc>
      </w:tr>
      <w:tr w:rsidR="001A7EAE" w:rsidRPr="001A7EAE" w:rsidTr="001A7EA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-ostatné 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090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color w:val="000000"/>
                <w:sz w:val="22"/>
                <w:szCs w:val="22"/>
              </w:rPr>
              <w:t>12 050,00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výnosy z nájmu</w:t>
            </w:r>
          </w:p>
        </w:tc>
      </w:tr>
      <w:tr w:rsidR="001A7EAE" w:rsidRPr="001A7EAE" w:rsidTr="001A7EA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xxx</w:t>
            </w:r>
            <w:proofErr w:type="spellEnd"/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12 050,00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</w:rPr>
            </w:pPr>
          </w:p>
        </w:tc>
      </w:tr>
    </w:tbl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341"/>
        <w:gridCol w:w="1080"/>
        <w:gridCol w:w="2160"/>
        <w:gridCol w:w="4679"/>
      </w:tblGrid>
      <w:tr w:rsidR="001A7EAE" w:rsidRPr="001A7EAE" w:rsidTr="001A7EA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Náklady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color w:val="000000"/>
                <w:sz w:val="22"/>
                <w:szCs w:val="22"/>
              </w:rPr>
              <w:t>Hodnota pohľadávok</w:t>
            </w:r>
          </w:p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Opis</w:t>
            </w:r>
          </w:p>
        </w:tc>
      </w:tr>
      <w:tr w:rsidR="001A7EAE" w:rsidRPr="001A7EAE" w:rsidTr="001A7EA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-nájom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010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12 050,00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platený nájom</w:t>
            </w:r>
          </w:p>
        </w:tc>
      </w:tr>
      <w:tr w:rsidR="001A7EAE" w:rsidRPr="001A7EAE" w:rsidTr="001A7EAE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  <w:b/>
              </w:rPr>
            </w:pPr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1A7EAE">
              <w:rPr>
                <w:rFonts w:ascii="Times New Roman" w:hAnsi="Times New Roman"/>
                <w:b/>
                <w:sz w:val="22"/>
                <w:szCs w:val="22"/>
              </w:rPr>
              <w:t>xxx</w:t>
            </w:r>
            <w:proofErr w:type="spellEnd"/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color w:val="000000"/>
              </w:rPr>
            </w:pPr>
            <w:r w:rsidRPr="001A7EAE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12 050,00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</w:rPr>
            </w:pPr>
          </w:p>
        </w:tc>
      </w:tr>
    </w:tbl>
    <w:p w:rsidR="001A7EAE" w:rsidRPr="001A7EAE" w:rsidRDefault="001A7EAE" w:rsidP="001A7EAE">
      <w:pPr>
        <w:jc w:val="both"/>
        <w:rPr>
          <w:rFonts w:ascii="Times New Roman" w:hAnsi="Times New Roman"/>
          <w:b/>
          <w:sz w:val="22"/>
          <w:szCs w:val="22"/>
        </w:rPr>
      </w:pPr>
    </w:p>
    <w:tbl>
      <w:tblPr>
        <w:tblW w:w="1019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764"/>
        <w:gridCol w:w="444"/>
        <w:gridCol w:w="3905"/>
        <w:gridCol w:w="422"/>
        <w:gridCol w:w="539"/>
        <w:gridCol w:w="448"/>
        <w:gridCol w:w="1304"/>
        <w:gridCol w:w="577"/>
        <w:gridCol w:w="965"/>
        <w:gridCol w:w="822"/>
      </w:tblGrid>
      <w:tr w:rsidR="001A7EAE" w:rsidRPr="001A7EAE" w:rsidTr="001A7EAE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Vlastné imanie konsolidovaného celku </w:t>
            </w: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shd w:val="clear" w:color="auto" w:fill="auto"/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905" w:type="dxa"/>
            <w:shd w:val="clear" w:color="auto" w:fill="auto"/>
            <w:vAlign w:val="bottom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  <w:tc>
          <w:tcPr>
            <w:tcW w:w="961" w:type="dxa"/>
            <w:gridSpan w:val="2"/>
            <w:shd w:val="clear" w:color="auto" w:fill="auto"/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52" w:type="dxa"/>
            <w:gridSpan w:val="2"/>
            <w:shd w:val="clear" w:color="auto" w:fill="auto"/>
            <w:vAlign w:val="bottom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shd w:val="clear" w:color="auto" w:fill="auto"/>
            <w:vAlign w:val="bottom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753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Označenie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Tržby a výrobné náklady  príspevkových organizácií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Číslo riadku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b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c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Vlastné imanie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119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561 430,17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464 020,22</w:t>
            </w: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A.I.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Oceňovacie rozdiely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120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A.I.1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 xml:space="preserve">Oceňovacie rozdiely z precenenia majetku 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121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Oceňovacie rozdiely z kapitálových účastín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122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A.II.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123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A.II.1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Zákonný rezervný fond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124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Ostatné 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125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Výsledok hospodárenia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126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561 430,17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464 020,22</w:t>
            </w: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lastRenderedPageBreak/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1A7EAE">
              <w:rPr>
                <w:rFonts w:ascii="Times New Roman" w:hAnsi="Times New Roman"/>
                <w:sz w:val="22"/>
                <w:szCs w:val="22"/>
              </w:rPr>
              <w:t>Nevysporiadaný</w:t>
            </w:r>
            <w:proofErr w:type="spellEnd"/>
            <w:r w:rsidRPr="001A7EAE">
              <w:rPr>
                <w:rFonts w:ascii="Times New Roman" w:hAnsi="Times New Roman"/>
                <w:sz w:val="22"/>
                <w:szCs w:val="22"/>
              </w:rPr>
              <w:t xml:space="preserve"> HV  minulých rokov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127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HV za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128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-4 380,03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-88 990,20</w:t>
            </w: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  <w:i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i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-8 037,72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-93 112,23</w:t>
            </w: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  <w:i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-dcérska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  <w:i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+3 657,69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  <w:i/>
              </w:rPr>
            </w:pPr>
            <w:bookmarkStart w:id="0" w:name="__DdeLink__1874_314374139"/>
            <w:bookmarkEnd w:id="0"/>
            <w:r w:rsidRPr="001A7EAE">
              <w:rPr>
                <w:rFonts w:ascii="Times New Roman" w:hAnsi="Times New Roman"/>
                <w:i/>
                <w:sz w:val="22"/>
                <w:szCs w:val="22"/>
              </w:rPr>
              <w:t>4 122,03</w:t>
            </w: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A.IV.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Podiely iných účtovných jednotiek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  <w:r w:rsidRPr="001A7EAE">
              <w:rPr>
                <w:rFonts w:ascii="Times New Roman" w:hAnsi="Times New Roman"/>
                <w:sz w:val="22"/>
                <w:szCs w:val="22"/>
              </w:rPr>
              <w:t>129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1A7EAE" w:rsidRPr="001A7EAE" w:rsidRDefault="001A7EAE" w:rsidP="001A7EAE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822" w:type="dxa"/>
            <w:shd w:val="clear" w:color="auto" w:fill="auto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  <w:tr w:rsidR="001A7EAE" w:rsidRPr="001A7EAE" w:rsidTr="001A7EAE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1A7EAE" w:rsidRPr="001A7EAE" w:rsidRDefault="001A7EAE" w:rsidP="001A7EAE">
            <w:pPr>
              <w:rPr>
                <w:rFonts w:ascii="Times New Roman" w:hAnsi="Times New Roman"/>
                <w:b/>
                <w:bCs/>
              </w:rPr>
            </w:pPr>
          </w:p>
        </w:tc>
      </w:tr>
      <w:tr w:rsidR="001A7EAE" w:rsidRPr="001A7EAE" w:rsidTr="001A7EAE">
        <w:trPr>
          <w:trHeight w:val="301"/>
        </w:trPr>
        <w:tc>
          <w:tcPr>
            <w:tcW w:w="764" w:type="dxa"/>
            <w:shd w:val="clear" w:color="auto" w:fill="auto"/>
            <w:vAlign w:val="center"/>
          </w:tcPr>
          <w:p w:rsidR="001A7EAE" w:rsidRPr="001A7EAE" w:rsidRDefault="001A7EAE" w:rsidP="001A7EAE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4771" w:type="dxa"/>
            <w:gridSpan w:val="3"/>
            <w:shd w:val="clear" w:color="auto" w:fill="auto"/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  <w:tc>
          <w:tcPr>
            <w:tcW w:w="987" w:type="dxa"/>
            <w:gridSpan w:val="2"/>
            <w:shd w:val="clear" w:color="auto" w:fill="auto"/>
            <w:vAlign w:val="center"/>
          </w:tcPr>
          <w:p w:rsidR="001A7EAE" w:rsidRPr="001A7EAE" w:rsidRDefault="001A7EAE" w:rsidP="001A7EAE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81" w:type="dxa"/>
            <w:gridSpan w:val="2"/>
            <w:shd w:val="clear" w:color="auto" w:fill="auto"/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  <w:tc>
          <w:tcPr>
            <w:tcW w:w="1787" w:type="dxa"/>
            <w:gridSpan w:val="2"/>
            <w:shd w:val="clear" w:color="auto" w:fill="auto"/>
            <w:vAlign w:val="center"/>
          </w:tcPr>
          <w:p w:rsidR="001A7EAE" w:rsidRPr="001A7EAE" w:rsidRDefault="001A7EAE" w:rsidP="001A7EAE">
            <w:pPr>
              <w:rPr>
                <w:rFonts w:ascii="Times New Roman" w:hAnsi="Times New Roman"/>
              </w:rPr>
            </w:pPr>
          </w:p>
        </w:tc>
      </w:tr>
    </w:tbl>
    <w:p w:rsidR="001A7EAE" w:rsidRPr="005F3730" w:rsidRDefault="001A7EAE" w:rsidP="001A7EAE">
      <w:pPr>
        <w:ind w:right="-7923"/>
        <w:jc w:val="both"/>
        <w:rPr>
          <w:rFonts w:ascii="Times New Roman" w:hAnsi="Times New Roman"/>
          <w:sz w:val="22"/>
          <w:szCs w:val="22"/>
        </w:rPr>
      </w:pPr>
      <w:r w:rsidRPr="005F3730">
        <w:rPr>
          <w:rFonts w:ascii="Times New Roman" w:hAnsi="Times New Roman"/>
          <w:sz w:val="22"/>
          <w:szCs w:val="22"/>
        </w:rPr>
        <w:t>SKUTOČNOSTI, KTORÉ NASTALI PO DNI, KU KTORÉMU SA ZOSTAVUJE</w:t>
      </w:r>
    </w:p>
    <w:p w:rsidR="001A7EAE" w:rsidRPr="005F3730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5F3730">
        <w:rPr>
          <w:rFonts w:ascii="Times New Roman" w:hAnsi="Times New Roman"/>
          <w:sz w:val="22"/>
          <w:szCs w:val="22"/>
        </w:rPr>
        <w:t>KONSOLIDOVANA ÚČTOVNÁ ZÁVIERKA, DO DŇA JEJ ZOSTAVENIA</w:t>
      </w: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Po 31. decembri 2022 nenastali také udalosti, ktoré by si vyžadovali zverejnenie alebo vykázanie v konsolidovanej účtovnej závierke za rok 2022.</w:t>
      </w:r>
    </w:p>
    <w:p w:rsidR="005F3730" w:rsidRDefault="005F3730" w:rsidP="001A7EAE">
      <w:pPr>
        <w:jc w:val="both"/>
        <w:rPr>
          <w:rFonts w:ascii="Times New Roman" w:hAnsi="Times New Roman"/>
          <w:sz w:val="22"/>
          <w:szCs w:val="22"/>
        </w:rPr>
      </w:pPr>
    </w:p>
    <w:p w:rsidR="005F3730" w:rsidRDefault="005F3730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>Danišovce 06.07.2023</w:t>
      </w:r>
    </w:p>
    <w:p w:rsidR="005F3730" w:rsidRDefault="005F3730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Vypracovala: Ing. Lea </w:t>
      </w:r>
      <w:proofErr w:type="spellStart"/>
      <w:r w:rsidRPr="001A7EAE">
        <w:rPr>
          <w:rFonts w:ascii="Times New Roman" w:hAnsi="Times New Roman"/>
          <w:sz w:val="22"/>
          <w:szCs w:val="22"/>
        </w:rPr>
        <w:t>Furmanová</w:t>
      </w:r>
      <w:proofErr w:type="spellEnd"/>
      <w:r w:rsidRPr="001A7EAE">
        <w:rPr>
          <w:rFonts w:ascii="Times New Roman" w:hAnsi="Times New Roman"/>
          <w:sz w:val="22"/>
          <w:szCs w:val="22"/>
        </w:rPr>
        <w:t>, externý účtovník</w:t>
      </w: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</w:p>
    <w:p w:rsidR="001A7EAE" w:rsidRPr="001A7EAE" w:rsidRDefault="001A7EAE" w:rsidP="001A7EAE">
      <w:pPr>
        <w:jc w:val="both"/>
        <w:rPr>
          <w:rFonts w:ascii="Times New Roman" w:hAnsi="Times New Roman"/>
          <w:sz w:val="22"/>
          <w:szCs w:val="22"/>
        </w:rPr>
      </w:pPr>
      <w:r w:rsidRPr="001A7EAE">
        <w:rPr>
          <w:rFonts w:ascii="Times New Roman" w:hAnsi="Times New Roman"/>
          <w:sz w:val="22"/>
          <w:szCs w:val="22"/>
        </w:rPr>
        <w:t xml:space="preserve">Schválil: Mgr. Ján </w:t>
      </w:r>
      <w:proofErr w:type="spellStart"/>
      <w:r w:rsidRPr="001A7EAE">
        <w:rPr>
          <w:rFonts w:ascii="Times New Roman" w:hAnsi="Times New Roman"/>
          <w:sz w:val="22"/>
          <w:szCs w:val="22"/>
        </w:rPr>
        <w:t>Olekšák</w:t>
      </w:r>
      <w:bookmarkStart w:id="1" w:name="_GoBack"/>
      <w:bookmarkEnd w:id="1"/>
      <w:proofErr w:type="spellEnd"/>
      <w:r w:rsidRPr="001A7EAE">
        <w:rPr>
          <w:rFonts w:ascii="Times New Roman" w:hAnsi="Times New Roman"/>
          <w:sz w:val="22"/>
          <w:szCs w:val="22"/>
        </w:rPr>
        <w:t>, starosta obce</w:t>
      </w:r>
    </w:p>
    <w:p w:rsidR="006A73FE" w:rsidRPr="001A7EAE" w:rsidRDefault="006A73FE" w:rsidP="001A7EAE">
      <w:pPr>
        <w:rPr>
          <w:rFonts w:ascii="Times New Roman" w:hAnsi="Times New Roman"/>
          <w:sz w:val="22"/>
          <w:szCs w:val="22"/>
        </w:rPr>
      </w:pPr>
    </w:p>
    <w:p w:rsidR="0021175C" w:rsidRPr="001A7EAE" w:rsidRDefault="0021175C" w:rsidP="001A7EAE">
      <w:pPr>
        <w:pStyle w:val="Zkladntext"/>
        <w:rPr>
          <w:rFonts w:ascii="Times New Roman" w:eastAsia="Wingdings" w:hAnsi="Times New Roman"/>
          <w:sz w:val="22"/>
          <w:szCs w:val="22"/>
        </w:rPr>
      </w:pPr>
    </w:p>
    <w:p w:rsidR="00C21B0E" w:rsidRPr="001A7EAE" w:rsidRDefault="00C21B0E" w:rsidP="001A7EAE">
      <w:pPr>
        <w:jc w:val="both"/>
        <w:rPr>
          <w:rFonts w:ascii="Times New Roman" w:hAnsi="Times New Roman"/>
          <w:sz w:val="22"/>
          <w:szCs w:val="22"/>
        </w:rPr>
      </w:pPr>
    </w:p>
    <w:p w:rsidR="00C21B0E" w:rsidRPr="001A7EAE" w:rsidRDefault="00C21B0E" w:rsidP="001A7EAE">
      <w:pPr>
        <w:jc w:val="both"/>
        <w:rPr>
          <w:rFonts w:ascii="Times New Roman" w:hAnsi="Times New Roman"/>
          <w:sz w:val="22"/>
          <w:szCs w:val="22"/>
        </w:rPr>
      </w:pPr>
    </w:p>
    <w:p w:rsidR="00C21B0E" w:rsidRPr="001A7EAE" w:rsidRDefault="00C21B0E" w:rsidP="001A7EAE">
      <w:pPr>
        <w:pStyle w:val="Zkladntext"/>
        <w:jc w:val="center"/>
        <w:rPr>
          <w:rFonts w:ascii="Times New Roman" w:hAnsi="Times New Roman"/>
          <w:sz w:val="22"/>
          <w:szCs w:val="22"/>
        </w:rPr>
      </w:pPr>
    </w:p>
    <w:p w:rsidR="00685612" w:rsidRPr="001A7EAE" w:rsidRDefault="00685612" w:rsidP="001A7EAE">
      <w:pPr>
        <w:rPr>
          <w:rFonts w:ascii="Times New Roman" w:hAnsi="Times New Roman"/>
          <w:sz w:val="22"/>
          <w:szCs w:val="22"/>
        </w:rPr>
      </w:pPr>
    </w:p>
    <w:sectPr w:rsidR="00685612" w:rsidRPr="001A7EAE" w:rsidSect="007C42D1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;Arial">
    <w:altName w:val="Arial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M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BoldM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uturaTEE-Book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suff w:val="nothing"/>
      <w:lvlText w:val="%1."/>
      <w:lvlJc w:val="left"/>
      <w:pPr>
        <w:tabs>
          <w:tab w:val="num" w:pos="360"/>
        </w:tabs>
        <w:ind w:left="36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360"/>
        </w:tabs>
        <w:ind w:left="36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360"/>
        </w:tabs>
        <w:ind w:left="36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360"/>
        </w:tabs>
        <w:ind w:left="36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360"/>
        </w:tabs>
        <w:ind w:left="36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360"/>
        </w:tabs>
        <w:ind w:left="36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360"/>
        </w:tabs>
        <w:ind w:left="36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360"/>
        </w:tabs>
        <w:ind w:left="36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360"/>
        </w:tabs>
        <w:ind w:left="36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suff w:val="nothing"/>
      <w:lvlText w:val="%1)"/>
      <w:lvlJc w:val="left"/>
      <w:pPr>
        <w:tabs>
          <w:tab w:val="num" w:pos="720"/>
        </w:tabs>
        <w:ind w:left="720" w:firstLine="0"/>
      </w:pPr>
    </w:lvl>
    <w:lvl w:ilvl="1">
      <w:start w:val="1"/>
      <w:numFmt w:val="lowerLetter"/>
      <w:suff w:val="nothing"/>
      <w:lvlText w:val="%2)"/>
      <w:lvlJc w:val="left"/>
      <w:pPr>
        <w:tabs>
          <w:tab w:val="num" w:pos="720"/>
        </w:tabs>
        <w:ind w:left="72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720"/>
        </w:tabs>
        <w:ind w:left="720" w:firstLine="0"/>
      </w:pPr>
    </w:lvl>
    <w:lvl w:ilvl="3">
      <w:start w:val="1"/>
      <w:numFmt w:val="lowerLetter"/>
      <w:suff w:val="nothing"/>
      <w:lvlText w:val="%4)"/>
      <w:lvlJc w:val="left"/>
      <w:pPr>
        <w:tabs>
          <w:tab w:val="num" w:pos="720"/>
        </w:tabs>
        <w:ind w:left="720" w:firstLine="0"/>
      </w:pPr>
    </w:lvl>
    <w:lvl w:ilvl="4">
      <w:start w:val="1"/>
      <w:numFmt w:val="lowerLetter"/>
      <w:suff w:val="nothing"/>
      <w:lvlText w:val="%5)"/>
      <w:lvlJc w:val="left"/>
      <w:pPr>
        <w:tabs>
          <w:tab w:val="num" w:pos="720"/>
        </w:tabs>
        <w:ind w:left="720" w:firstLine="0"/>
      </w:pPr>
    </w:lvl>
    <w:lvl w:ilvl="5">
      <w:start w:val="1"/>
      <w:numFmt w:val="lowerLetter"/>
      <w:suff w:val="nothing"/>
      <w:lvlText w:val="%6)"/>
      <w:lvlJc w:val="left"/>
      <w:pPr>
        <w:tabs>
          <w:tab w:val="num" w:pos="720"/>
        </w:tabs>
        <w:ind w:left="720" w:firstLine="0"/>
      </w:pPr>
    </w:lvl>
    <w:lvl w:ilvl="6">
      <w:start w:val="1"/>
      <w:numFmt w:val="lowerLetter"/>
      <w:suff w:val="nothing"/>
      <w:lvlText w:val="%7)"/>
      <w:lvlJc w:val="left"/>
      <w:pPr>
        <w:tabs>
          <w:tab w:val="num" w:pos="720"/>
        </w:tabs>
        <w:ind w:left="720" w:firstLine="0"/>
      </w:pPr>
    </w:lvl>
    <w:lvl w:ilvl="7">
      <w:start w:val="1"/>
      <w:numFmt w:val="lowerLetter"/>
      <w:suff w:val="nothing"/>
      <w:lvlText w:val="%8)"/>
      <w:lvlJc w:val="left"/>
      <w:pPr>
        <w:tabs>
          <w:tab w:val="num" w:pos="720"/>
        </w:tabs>
        <w:ind w:left="720" w:firstLine="0"/>
      </w:pPr>
    </w:lvl>
    <w:lvl w:ilvl="8">
      <w:start w:val="1"/>
      <w:numFmt w:val="lowerLetter"/>
      <w:suff w:val="nothing"/>
      <w:lvlText w:val="%9)"/>
      <w:lvlJc w:val="left"/>
      <w:pPr>
        <w:tabs>
          <w:tab w:val="num" w:pos="720"/>
        </w:tabs>
        <w:ind w:left="720" w:firstLine="0"/>
      </w:pPr>
    </w:lvl>
  </w:abstractNum>
  <w:abstractNum w:abstractNumId="2">
    <w:nsid w:val="05DF6E6C"/>
    <w:multiLevelType w:val="multilevel"/>
    <w:tmpl w:val="C31EC882"/>
    <w:lvl w:ilvl="0">
      <w:start w:val="5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>
    <w:nsid w:val="0B8B179E"/>
    <w:multiLevelType w:val="multilevel"/>
    <w:tmpl w:val="56E02CE2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>
    <w:nsid w:val="0D674F40"/>
    <w:multiLevelType w:val="multilevel"/>
    <w:tmpl w:val="FD58B820"/>
    <w:lvl w:ilvl="0">
      <w:start w:val="4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">
    <w:nsid w:val="12435058"/>
    <w:multiLevelType w:val="multilevel"/>
    <w:tmpl w:val="EBBAD724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6">
    <w:nsid w:val="14900B11"/>
    <w:multiLevelType w:val="multilevel"/>
    <w:tmpl w:val="99A00B36"/>
    <w:lvl w:ilvl="0">
      <w:start w:val="5"/>
      <w:numFmt w:val="decimal"/>
      <w:suff w:val="nothing"/>
      <w:lvlText w:val="%1."/>
      <w:lvlJc w:val="left"/>
      <w:pPr>
        <w:tabs>
          <w:tab w:val="num" w:pos="142"/>
        </w:tabs>
        <w:ind w:left="142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142"/>
        </w:tabs>
        <w:ind w:left="142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142"/>
        </w:tabs>
        <w:ind w:left="142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142"/>
        </w:tabs>
        <w:ind w:left="142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142"/>
        </w:tabs>
        <w:ind w:left="142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142"/>
        </w:tabs>
        <w:ind w:left="142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142"/>
        </w:tabs>
        <w:ind w:left="142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142"/>
        </w:tabs>
        <w:ind w:left="142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142"/>
        </w:tabs>
        <w:ind w:left="142" w:firstLine="0"/>
      </w:pPr>
    </w:lvl>
  </w:abstractNum>
  <w:abstractNum w:abstractNumId="7">
    <w:nsid w:val="18163CED"/>
    <w:multiLevelType w:val="multilevel"/>
    <w:tmpl w:val="0ED6A8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b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18193D15"/>
    <w:multiLevelType w:val="multilevel"/>
    <w:tmpl w:val="0AC0E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4C53DF"/>
    <w:multiLevelType w:val="multilevel"/>
    <w:tmpl w:val="A8BCE4AA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  <w:sz w:val="24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0">
    <w:nsid w:val="1DCF4980"/>
    <w:multiLevelType w:val="multilevel"/>
    <w:tmpl w:val="EE18D2A0"/>
    <w:lvl w:ilvl="0">
      <w:start w:val="2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1">
    <w:nsid w:val="25BF4D86"/>
    <w:multiLevelType w:val="multilevel"/>
    <w:tmpl w:val="92AC3570"/>
    <w:lvl w:ilvl="0">
      <w:start w:val="2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2">
    <w:nsid w:val="2882481E"/>
    <w:multiLevelType w:val="multilevel"/>
    <w:tmpl w:val="EB8E5AE6"/>
    <w:lvl w:ilvl="0">
      <w:start w:val="1"/>
      <w:numFmt w:val="decimal"/>
      <w:suff w:val="nothing"/>
      <w:lvlText w:val="%1."/>
      <w:lvlJc w:val="left"/>
      <w:pPr>
        <w:tabs>
          <w:tab w:val="num" w:pos="360"/>
        </w:tabs>
        <w:ind w:left="36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360"/>
        </w:tabs>
        <w:ind w:left="36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360"/>
        </w:tabs>
        <w:ind w:left="36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360"/>
        </w:tabs>
        <w:ind w:left="36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360"/>
        </w:tabs>
        <w:ind w:left="36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360"/>
        </w:tabs>
        <w:ind w:left="36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360"/>
        </w:tabs>
        <w:ind w:left="36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360"/>
        </w:tabs>
        <w:ind w:left="36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360"/>
        </w:tabs>
        <w:ind w:left="360" w:firstLine="0"/>
      </w:pPr>
    </w:lvl>
  </w:abstractNum>
  <w:abstractNum w:abstractNumId="13">
    <w:nsid w:val="29FE3BD6"/>
    <w:multiLevelType w:val="multilevel"/>
    <w:tmpl w:val="7BE0E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5F79F7"/>
    <w:multiLevelType w:val="multilevel"/>
    <w:tmpl w:val="B3D0BAF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15">
    <w:nsid w:val="2D3740CE"/>
    <w:multiLevelType w:val="multilevel"/>
    <w:tmpl w:val="D1462A40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F342155"/>
    <w:multiLevelType w:val="multilevel"/>
    <w:tmpl w:val="C8980F2C"/>
    <w:lvl w:ilvl="0">
      <w:start w:val="1"/>
      <w:numFmt w:val="decimal"/>
      <w:suff w:val="nothing"/>
      <w:lvlText w:val="%1."/>
      <w:lvlJc w:val="left"/>
      <w:pPr>
        <w:tabs>
          <w:tab w:val="num" w:pos="360"/>
        </w:tabs>
        <w:ind w:left="36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360"/>
        </w:tabs>
        <w:ind w:left="36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360"/>
        </w:tabs>
        <w:ind w:left="36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360"/>
        </w:tabs>
        <w:ind w:left="36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360"/>
        </w:tabs>
        <w:ind w:left="36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360"/>
        </w:tabs>
        <w:ind w:left="36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360"/>
        </w:tabs>
        <w:ind w:left="36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360"/>
        </w:tabs>
        <w:ind w:left="36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360"/>
        </w:tabs>
        <w:ind w:left="360" w:firstLine="0"/>
      </w:pPr>
    </w:lvl>
  </w:abstractNum>
  <w:abstractNum w:abstractNumId="17">
    <w:nsid w:val="2FC439FE"/>
    <w:multiLevelType w:val="multilevel"/>
    <w:tmpl w:val="E66EAE6A"/>
    <w:lvl w:ilvl="0">
      <w:start w:val="1"/>
      <w:numFmt w:val="lowerLetter"/>
      <w:suff w:val="nothing"/>
      <w:lvlText w:val="%1)"/>
      <w:lvlJc w:val="left"/>
      <w:pPr>
        <w:tabs>
          <w:tab w:val="num" w:pos="720"/>
        </w:tabs>
        <w:ind w:left="720" w:firstLine="0"/>
      </w:pPr>
    </w:lvl>
    <w:lvl w:ilvl="1">
      <w:start w:val="1"/>
      <w:numFmt w:val="lowerLetter"/>
      <w:suff w:val="nothing"/>
      <w:lvlText w:val="%2)"/>
      <w:lvlJc w:val="left"/>
      <w:pPr>
        <w:tabs>
          <w:tab w:val="num" w:pos="720"/>
        </w:tabs>
        <w:ind w:left="72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720"/>
        </w:tabs>
        <w:ind w:left="720" w:firstLine="0"/>
      </w:pPr>
    </w:lvl>
    <w:lvl w:ilvl="3">
      <w:start w:val="1"/>
      <w:numFmt w:val="lowerLetter"/>
      <w:suff w:val="nothing"/>
      <w:lvlText w:val="%4)"/>
      <w:lvlJc w:val="left"/>
      <w:pPr>
        <w:tabs>
          <w:tab w:val="num" w:pos="720"/>
        </w:tabs>
        <w:ind w:left="720" w:firstLine="0"/>
      </w:pPr>
    </w:lvl>
    <w:lvl w:ilvl="4">
      <w:start w:val="1"/>
      <w:numFmt w:val="lowerLetter"/>
      <w:suff w:val="nothing"/>
      <w:lvlText w:val="%5)"/>
      <w:lvlJc w:val="left"/>
      <w:pPr>
        <w:tabs>
          <w:tab w:val="num" w:pos="720"/>
        </w:tabs>
        <w:ind w:left="720" w:firstLine="0"/>
      </w:pPr>
    </w:lvl>
    <w:lvl w:ilvl="5">
      <w:start w:val="1"/>
      <w:numFmt w:val="lowerLetter"/>
      <w:suff w:val="nothing"/>
      <w:lvlText w:val="%6)"/>
      <w:lvlJc w:val="left"/>
      <w:pPr>
        <w:tabs>
          <w:tab w:val="num" w:pos="720"/>
        </w:tabs>
        <w:ind w:left="720" w:firstLine="0"/>
      </w:pPr>
    </w:lvl>
    <w:lvl w:ilvl="6">
      <w:start w:val="1"/>
      <w:numFmt w:val="lowerLetter"/>
      <w:suff w:val="nothing"/>
      <w:lvlText w:val="%7)"/>
      <w:lvlJc w:val="left"/>
      <w:pPr>
        <w:tabs>
          <w:tab w:val="num" w:pos="720"/>
        </w:tabs>
        <w:ind w:left="720" w:firstLine="0"/>
      </w:pPr>
    </w:lvl>
    <w:lvl w:ilvl="7">
      <w:start w:val="1"/>
      <w:numFmt w:val="lowerLetter"/>
      <w:suff w:val="nothing"/>
      <w:lvlText w:val="%8)"/>
      <w:lvlJc w:val="left"/>
      <w:pPr>
        <w:tabs>
          <w:tab w:val="num" w:pos="720"/>
        </w:tabs>
        <w:ind w:left="720" w:firstLine="0"/>
      </w:pPr>
    </w:lvl>
    <w:lvl w:ilvl="8">
      <w:start w:val="1"/>
      <w:numFmt w:val="lowerLetter"/>
      <w:suff w:val="nothing"/>
      <w:lvlText w:val="%9)"/>
      <w:lvlJc w:val="left"/>
      <w:pPr>
        <w:tabs>
          <w:tab w:val="num" w:pos="720"/>
        </w:tabs>
        <w:ind w:left="720" w:firstLine="0"/>
      </w:pPr>
    </w:lvl>
  </w:abstractNum>
  <w:abstractNum w:abstractNumId="18">
    <w:nsid w:val="38FC56AA"/>
    <w:multiLevelType w:val="multilevel"/>
    <w:tmpl w:val="19182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9E68C9"/>
    <w:multiLevelType w:val="multilevel"/>
    <w:tmpl w:val="6BB0A4D6"/>
    <w:lvl w:ilvl="0">
      <w:start w:val="3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0">
    <w:nsid w:val="453B22EB"/>
    <w:multiLevelType w:val="multilevel"/>
    <w:tmpl w:val="B54826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>
    <w:nsid w:val="541F6971"/>
    <w:multiLevelType w:val="multilevel"/>
    <w:tmpl w:val="BB10DC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22">
    <w:nsid w:val="57C02981"/>
    <w:multiLevelType w:val="multilevel"/>
    <w:tmpl w:val="FB5A3C34"/>
    <w:lvl w:ilvl="0">
      <w:start w:val="4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3">
    <w:nsid w:val="5ACF1116"/>
    <w:multiLevelType w:val="hybridMultilevel"/>
    <w:tmpl w:val="6B9EE956"/>
    <w:lvl w:ilvl="0" w:tplc="9DD44040">
      <w:start w:val="1"/>
      <w:numFmt w:val="bullet"/>
      <w:lvlText w:val="-"/>
      <w:lvlJc w:val="left"/>
      <w:pPr>
        <w:ind w:left="1230" w:hanging="360"/>
      </w:pPr>
      <w:rPr>
        <w:rFonts w:ascii="Calibri" w:eastAsia="StarSymbol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24">
    <w:nsid w:val="60F15711"/>
    <w:multiLevelType w:val="multilevel"/>
    <w:tmpl w:val="B25E5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4997FF5"/>
    <w:multiLevelType w:val="multilevel"/>
    <w:tmpl w:val="4352017E"/>
    <w:lvl w:ilvl="0">
      <w:start w:val="3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6">
    <w:nsid w:val="65327005"/>
    <w:multiLevelType w:val="multilevel"/>
    <w:tmpl w:val="96D27B1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</w:abstractNum>
  <w:abstractNum w:abstractNumId="27">
    <w:nsid w:val="6AB60824"/>
    <w:multiLevelType w:val="multilevel"/>
    <w:tmpl w:val="1BC849F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  <w:sz w:val="18"/>
        <w:szCs w:val="18"/>
      </w:rPr>
    </w:lvl>
  </w:abstractNum>
  <w:abstractNum w:abstractNumId="28">
    <w:nsid w:val="737C1F3D"/>
    <w:multiLevelType w:val="multilevel"/>
    <w:tmpl w:val="5C6AB8D0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>
    <w:nsid w:val="78CD3477"/>
    <w:multiLevelType w:val="multilevel"/>
    <w:tmpl w:val="F8AA3540"/>
    <w:lvl w:ilvl="0">
      <w:start w:val="1"/>
      <w:numFmt w:val="lowerLetter"/>
      <w:suff w:val="nothing"/>
      <w:lvlText w:val="%1)"/>
      <w:lvlJc w:val="left"/>
      <w:pPr>
        <w:tabs>
          <w:tab w:val="num" w:pos="720"/>
        </w:tabs>
        <w:ind w:left="720" w:firstLine="0"/>
      </w:pPr>
    </w:lvl>
    <w:lvl w:ilvl="1">
      <w:start w:val="1"/>
      <w:numFmt w:val="lowerLetter"/>
      <w:suff w:val="nothing"/>
      <w:lvlText w:val="%2)"/>
      <w:lvlJc w:val="left"/>
      <w:pPr>
        <w:tabs>
          <w:tab w:val="num" w:pos="720"/>
        </w:tabs>
        <w:ind w:left="72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720"/>
        </w:tabs>
        <w:ind w:left="720" w:firstLine="0"/>
      </w:pPr>
    </w:lvl>
    <w:lvl w:ilvl="3">
      <w:start w:val="1"/>
      <w:numFmt w:val="lowerLetter"/>
      <w:suff w:val="nothing"/>
      <w:lvlText w:val="%4)"/>
      <w:lvlJc w:val="left"/>
      <w:pPr>
        <w:tabs>
          <w:tab w:val="num" w:pos="720"/>
        </w:tabs>
        <w:ind w:left="720" w:firstLine="0"/>
      </w:pPr>
    </w:lvl>
    <w:lvl w:ilvl="4">
      <w:start w:val="1"/>
      <w:numFmt w:val="lowerLetter"/>
      <w:suff w:val="nothing"/>
      <w:lvlText w:val="%5)"/>
      <w:lvlJc w:val="left"/>
      <w:pPr>
        <w:tabs>
          <w:tab w:val="num" w:pos="720"/>
        </w:tabs>
        <w:ind w:left="720" w:firstLine="0"/>
      </w:pPr>
    </w:lvl>
    <w:lvl w:ilvl="5">
      <w:start w:val="1"/>
      <w:numFmt w:val="lowerLetter"/>
      <w:suff w:val="nothing"/>
      <w:lvlText w:val="%6)"/>
      <w:lvlJc w:val="left"/>
      <w:pPr>
        <w:tabs>
          <w:tab w:val="num" w:pos="720"/>
        </w:tabs>
        <w:ind w:left="720" w:firstLine="0"/>
      </w:pPr>
    </w:lvl>
    <w:lvl w:ilvl="6">
      <w:start w:val="1"/>
      <w:numFmt w:val="lowerLetter"/>
      <w:suff w:val="nothing"/>
      <w:lvlText w:val="%7)"/>
      <w:lvlJc w:val="left"/>
      <w:pPr>
        <w:tabs>
          <w:tab w:val="num" w:pos="720"/>
        </w:tabs>
        <w:ind w:left="720" w:firstLine="0"/>
      </w:pPr>
    </w:lvl>
    <w:lvl w:ilvl="7">
      <w:start w:val="1"/>
      <w:numFmt w:val="lowerLetter"/>
      <w:suff w:val="nothing"/>
      <w:lvlText w:val="%8)"/>
      <w:lvlJc w:val="left"/>
      <w:pPr>
        <w:tabs>
          <w:tab w:val="num" w:pos="720"/>
        </w:tabs>
        <w:ind w:left="720" w:firstLine="0"/>
      </w:pPr>
    </w:lvl>
    <w:lvl w:ilvl="8">
      <w:start w:val="1"/>
      <w:numFmt w:val="lowerLetter"/>
      <w:suff w:val="nothing"/>
      <w:lvlText w:val="%9)"/>
      <w:lvlJc w:val="left"/>
      <w:pPr>
        <w:tabs>
          <w:tab w:val="num" w:pos="720"/>
        </w:tabs>
        <w:ind w:left="720" w:firstLine="0"/>
      </w:pPr>
    </w:lvl>
  </w:abstractNum>
  <w:abstractNum w:abstractNumId="30">
    <w:nsid w:val="7AE330A3"/>
    <w:multiLevelType w:val="multilevel"/>
    <w:tmpl w:val="40823A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>
    <w:nsid w:val="7C53606C"/>
    <w:multiLevelType w:val="multilevel"/>
    <w:tmpl w:val="9126CA28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3"/>
  </w:num>
  <w:num w:numId="4">
    <w:abstractNumId w:val="3"/>
  </w:num>
  <w:num w:numId="5">
    <w:abstractNumId w:val="10"/>
  </w:num>
  <w:num w:numId="6">
    <w:abstractNumId w:val="25"/>
  </w:num>
  <w:num w:numId="7">
    <w:abstractNumId w:val="22"/>
  </w:num>
  <w:num w:numId="8">
    <w:abstractNumId w:val="2"/>
  </w:num>
  <w:num w:numId="9">
    <w:abstractNumId w:val="26"/>
  </w:num>
  <w:num w:numId="10">
    <w:abstractNumId w:val="24"/>
  </w:num>
  <w:num w:numId="11">
    <w:abstractNumId w:val="13"/>
  </w:num>
  <w:num w:numId="12">
    <w:abstractNumId w:val="18"/>
  </w:num>
  <w:num w:numId="13">
    <w:abstractNumId w:val="15"/>
  </w:num>
  <w:num w:numId="14">
    <w:abstractNumId w:val="20"/>
  </w:num>
  <w:num w:numId="15">
    <w:abstractNumId w:val="11"/>
  </w:num>
  <w:num w:numId="16">
    <w:abstractNumId w:val="19"/>
  </w:num>
  <w:num w:numId="17">
    <w:abstractNumId w:val="4"/>
  </w:num>
  <w:num w:numId="18">
    <w:abstractNumId w:val="6"/>
  </w:num>
  <w:num w:numId="19">
    <w:abstractNumId w:val="14"/>
  </w:num>
  <w:num w:numId="20">
    <w:abstractNumId w:val="30"/>
  </w:num>
  <w:num w:numId="21">
    <w:abstractNumId w:val="5"/>
  </w:num>
  <w:num w:numId="22">
    <w:abstractNumId w:val="16"/>
  </w:num>
  <w:num w:numId="23">
    <w:abstractNumId w:val="17"/>
  </w:num>
  <w:num w:numId="24">
    <w:abstractNumId w:val="27"/>
  </w:num>
  <w:num w:numId="25">
    <w:abstractNumId w:val="12"/>
  </w:num>
  <w:num w:numId="26">
    <w:abstractNumId w:val="29"/>
  </w:num>
  <w:num w:numId="27">
    <w:abstractNumId w:val="21"/>
  </w:num>
  <w:num w:numId="28">
    <w:abstractNumId w:val="8"/>
  </w:num>
  <w:num w:numId="29">
    <w:abstractNumId w:val="7"/>
  </w:num>
  <w:num w:numId="30">
    <w:abstractNumId w:val="9"/>
  </w:num>
  <w:num w:numId="31">
    <w:abstractNumId w:val="31"/>
  </w:num>
  <w:num w:numId="32">
    <w:abstractNumId w:val="28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894434"/>
    <w:rsid w:val="000022C4"/>
    <w:rsid w:val="000A1F2B"/>
    <w:rsid w:val="000E6700"/>
    <w:rsid w:val="001A75C5"/>
    <w:rsid w:val="001A7EAE"/>
    <w:rsid w:val="001F29FA"/>
    <w:rsid w:val="0021175C"/>
    <w:rsid w:val="002816BC"/>
    <w:rsid w:val="00293AE1"/>
    <w:rsid w:val="002A11F6"/>
    <w:rsid w:val="002D0237"/>
    <w:rsid w:val="002F3008"/>
    <w:rsid w:val="00323AB1"/>
    <w:rsid w:val="003330C6"/>
    <w:rsid w:val="003B7E88"/>
    <w:rsid w:val="003C02C2"/>
    <w:rsid w:val="00446959"/>
    <w:rsid w:val="00456776"/>
    <w:rsid w:val="00571BB1"/>
    <w:rsid w:val="005A4F9C"/>
    <w:rsid w:val="005F3730"/>
    <w:rsid w:val="006057DB"/>
    <w:rsid w:val="006305D0"/>
    <w:rsid w:val="00642848"/>
    <w:rsid w:val="0064361B"/>
    <w:rsid w:val="00676E3F"/>
    <w:rsid w:val="00685612"/>
    <w:rsid w:val="006A73FE"/>
    <w:rsid w:val="006E4AF4"/>
    <w:rsid w:val="00732A67"/>
    <w:rsid w:val="0073580C"/>
    <w:rsid w:val="00736630"/>
    <w:rsid w:val="007C42D1"/>
    <w:rsid w:val="008238F6"/>
    <w:rsid w:val="00825608"/>
    <w:rsid w:val="00864FCF"/>
    <w:rsid w:val="00880597"/>
    <w:rsid w:val="0088464C"/>
    <w:rsid w:val="00894434"/>
    <w:rsid w:val="008C6DB7"/>
    <w:rsid w:val="0094517D"/>
    <w:rsid w:val="00A13E26"/>
    <w:rsid w:val="00AA4DAF"/>
    <w:rsid w:val="00B7293B"/>
    <w:rsid w:val="00BA2DAF"/>
    <w:rsid w:val="00BB1065"/>
    <w:rsid w:val="00C07B83"/>
    <w:rsid w:val="00C21B0E"/>
    <w:rsid w:val="00C31990"/>
    <w:rsid w:val="00C6102C"/>
    <w:rsid w:val="00C80B1A"/>
    <w:rsid w:val="00D147F5"/>
    <w:rsid w:val="00DA0427"/>
    <w:rsid w:val="00DB639C"/>
    <w:rsid w:val="00DE4EBA"/>
    <w:rsid w:val="00E61E20"/>
    <w:rsid w:val="00FA2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4434"/>
    <w:pPr>
      <w:widowControl w:val="0"/>
      <w:suppressAutoHyphens/>
      <w:spacing w:after="0" w:line="240" w:lineRule="auto"/>
    </w:pPr>
    <w:rPr>
      <w:rFonts w:ascii="Verdana" w:eastAsia="Times New Roman" w:hAnsi="Verdana" w:cs="Times New Roman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2A11F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autoRedefine/>
    <w:qFormat/>
    <w:rsid w:val="00C21B0E"/>
    <w:pPr>
      <w:keepNext/>
      <w:widowControl/>
      <w:suppressAutoHyphens w:val="0"/>
      <w:spacing w:before="60" w:after="240"/>
      <w:jc w:val="center"/>
      <w:outlineLvl w:val="1"/>
    </w:pPr>
    <w:rPr>
      <w:rFonts w:ascii="Times New Roman" w:hAnsi="Times New Roman"/>
      <w:b/>
      <w:bCs/>
      <w:iCs/>
      <w:kern w:val="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944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94434"/>
    <w:rPr>
      <w:rFonts w:ascii="Verdana" w:eastAsia="Times New Roman" w:hAnsi="Verdana" w:cs="Times New Roman"/>
      <w:kern w:val="1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894434"/>
    <w:pPr>
      <w:widowControl/>
      <w:suppressAutoHyphens w:val="0"/>
      <w:spacing w:before="100" w:beforeAutospacing="1" w:after="100" w:afterAutospacing="1"/>
    </w:pPr>
    <w:rPr>
      <w:rFonts w:ascii="Times New Roman" w:hAnsi="Times New Roman"/>
      <w:kern w:val="0"/>
      <w:lang w:eastAsia="sk-SK"/>
    </w:rPr>
  </w:style>
  <w:style w:type="character" w:styleId="Siln">
    <w:name w:val="Strong"/>
    <w:uiPriority w:val="22"/>
    <w:qFormat/>
    <w:rsid w:val="00894434"/>
    <w:rPr>
      <w:b/>
      <w:bCs/>
    </w:rPr>
  </w:style>
  <w:style w:type="paragraph" w:customStyle="1" w:styleId="text">
    <w:name w:val="text"/>
    <w:basedOn w:val="Normlny"/>
    <w:rsid w:val="00894434"/>
    <w:pPr>
      <w:widowControl/>
      <w:suppressAutoHyphens w:val="0"/>
      <w:spacing w:before="100" w:beforeAutospacing="1" w:after="100" w:afterAutospacing="1"/>
    </w:pPr>
    <w:rPr>
      <w:rFonts w:ascii="Times New Roman" w:hAnsi="Times New Roman"/>
      <w:kern w:val="0"/>
      <w:lang w:eastAsia="sk-SK"/>
    </w:rPr>
  </w:style>
  <w:style w:type="paragraph" w:styleId="Bezriadkovania">
    <w:name w:val="No Spacing"/>
    <w:uiPriority w:val="1"/>
    <w:qFormat/>
    <w:rsid w:val="00894434"/>
    <w:pPr>
      <w:widowControl w:val="0"/>
      <w:suppressAutoHyphens/>
      <w:spacing w:after="0" w:line="240" w:lineRule="auto"/>
    </w:pPr>
    <w:rPr>
      <w:rFonts w:ascii="Verdana" w:eastAsia="Times New Roman" w:hAnsi="Verdana" w:cs="Times New Roman"/>
      <w:kern w:val="1"/>
      <w:sz w:val="24"/>
      <w:szCs w:val="24"/>
    </w:rPr>
  </w:style>
  <w:style w:type="character" w:customStyle="1" w:styleId="nadpis">
    <w:name w:val="nadpis"/>
    <w:basedOn w:val="Predvolenpsmoodseku"/>
    <w:rsid w:val="00894434"/>
  </w:style>
  <w:style w:type="paragraph" w:customStyle="1" w:styleId="nadpis10">
    <w:name w:val="nadpis1"/>
    <w:basedOn w:val="Normlny"/>
    <w:rsid w:val="00894434"/>
    <w:pPr>
      <w:widowControl/>
      <w:suppressAutoHyphens w:val="0"/>
      <w:spacing w:before="100" w:beforeAutospacing="1" w:after="100" w:afterAutospacing="1"/>
    </w:pPr>
    <w:rPr>
      <w:rFonts w:ascii="Times New Roman" w:hAnsi="Times New Roman"/>
      <w:kern w:val="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44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4434"/>
    <w:rPr>
      <w:rFonts w:ascii="Tahoma" w:eastAsia="Times New Roman" w:hAnsi="Tahoma" w:cs="Tahoma"/>
      <w:kern w:val="1"/>
      <w:sz w:val="16"/>
      <w:szCs w:val="16"/>
    </w:rPr>
  </w:style>
  <w:style w:type="character" w:customStyle="1" w:styleId="Nadpis2Char">
    <w:name w:val="Nadpis 2 Char"/>
    <w:basedOn w:val="Predvolenpsmoodseku"/>
    <w:link w:val="Nadpis2"/>
    <w:qFormat/>
    <w:rsid w:val="00C21B0E"/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C21B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qFormat/>
    <w:rsid w:val="00C21B0E"/>
    <w:pPr>
      <w:widowControl/>
      <w:tabs>
        <w:tab w:val="num" w:pos="426"/>
      </w:tabs>
      <w:suppressAutoHyphens w:val="0"/>
      <w:spacing w:after="0"/>
      <w:ind w:left="426" w:hanging="426"/>
      <w:jc w:val="both"/>
    </w:pPr>
    <w:rPr>
      <w:rFonts w:ascii="Times New Roman" w:hAnsi="Times New Roman"/>
      <w:b/>
      <w:bCs/>
      <w:kern w:val="0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C21B0E"/>
    <w:pPr>
      <w:widowControl/>
      <w:suppressAutoHyphens w:val="0"/>
      <w:ind w:left="720"/>
      <w:contextualSpacing/>
    </w:pPr>
    <w:rPr>
      <w:rFonts w:ascii="Times New Roman" w:hAnsi="Times New Roman"/>
      <w:kern w:val="0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qFormat/>
    <w:rsid w:val="00C21B0E"/>
    <w:pPr>
      <w:widowControl/>
      <w:suppressAutoHyphens w:val="0"/>
      <w:ind w:right="-79"/>
      <w:jc w:val="both"/>
    </w:pPr>
    <w:rPr>
      <w:rFonts w:ascii="Times New Roman" w:hAnsi="Times New Roman"/>
      <w:kern w:val="0"/>
      <w:lang w:eastAsia="sk-SK"/>
    </w:rPr>
  </w:style>
  <w:style w:type="paragraph" w:customStyle="1" w:styleId="Default">
    <w:name w:val="Default"/>
    <w:basedOn w:val="Normlny"/>
    <w:qFormat/>
    <w:rsid w:val="003330C6"/>
    <w:pPr>
      <w:autoSpaceDE w:val="0"/>
    </w:pPr>
    <w:rPr>
      <w:rFonts w:ascii="Arial;Arial" w:eastAsia="Arial;Arial" w:hAnsi="Arial;Arial" w:cs="Arial;Arial"/>
      <w:color w:val="000000"/>
      <w:kern w:val="2"/>
      <w:lang w:eastAsia="zh-CN" w:bidi="hi-IN"/>
    </w:rPr>
  </w:style>
  <w:style w:type="paragraph" w:customStyle="1" w:styleId="Heading2">
    <w:name w:val="Heading 2"/>
    <w:basedOn w:val="Normlny"/>
    <w:autoRedefine/>
    <w:qFormat/>
    <w:rsid w:val="00C80B1A"/>
    <w:pPr>
      <w:keepNext/>
      <w:widowControl/>
      <w:suppressAutoHyphens w:val="0"/>
      <w:spacing w:before="60" w:after="240"/>
      <w:jc w:val="center"/>
      <w:outlineLvl w:val="1"/>
    </w:pPr>
    <w:rPr>
      <w:rFonts w:ascii="Times New Roman" w:hAnsi="Times New Roman"/>
      <w:b/>
      <w:bCs/>
      <w:iCs/>
      <w:color w:val="00000A"/>
      <w:kern w:val="0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2A11F6"/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</w:rPr>
  </w:style>
  <w:style w:type="paragraph" w:customStyle="1" w:styleId="Nadpis21">
    <w:name w:val="Nadpis 21"/>
    <w:basedOn w:val="Normlny"/>
    <w:autoRedefine/>
    <w:qFormat/>
    <w:rsid w:val="001A7EAE"/>
    <w:pPr>
      <w:keepNext/>
      <w:widowControl/>
      <w:suppressAutoHyphens w:val="0"/>
      <w:spacing w:before="60" w:after="240"/>
      <w:jc w:val="center"/>
      <w:outlineLvl w:val="1"/>
    </w:pPr>
    <w:rPr>
      <w:rFonts w:ascii="Times New Roman" w:hAnsi="Times New Roman"/>
      <w:b/>
      <w:bCs/>
      <w:iCs/>
      <w:color w:val="00000A"/>
      <w:kern w:val="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emf"/><Relationship Id="rId18" Type="http://schemas.openxmlformats.org/officeDocument/2006/relationships/image" Target="media/image13.emf"/><Relationship Id="rId3" Type="http://schemas.openxmlformats.org/officeDocument/2006/relationships/styles" Target="styles.xml"/><Relationship Id="rId21" Type="http://schemas.openxmlformats.org/officeDocument/2006/relationships/image" Target="media/image16.emf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emf"/><Relationship Id="rId2" Type="http://schemas.openxmlformats.org/officeDocument/2006/relationships/numbering" Target="numbering.xml"/><Relationship Id="rId16" Type="http://schemas.openxmlformats.org/officeDocument/2006/relationships/image" Target="media/image11.emf"/><Relationship Id="rId20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10.emf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4.emf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emf"/><Relationship Id="rId22" Type="http://schemas.openxmlformats.org/officeDocument/2006/relationships/image" Target="media/image17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2897B-3746-4B92-9ACB-3EDEB3730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4773</Words>
  <Characters>27210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urad</cp:lastModifiedBy>
  <cp:revision>2</cp:revision>
  <dcterms:created xsi:type="dcterms:W3CDTF">2023-07-11T09:33:00Z</dcterms:created>
  <dcterms:modified xsi:type="dcterms:W3CDTF">2023-07-11T09:33:00Z</dcterms:modified>
</cp:coreProperties>
</file>