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  <w:r>
        <w:rPr>
          <w:rFonts w:ascii="Verdana" w:hAnsi="Verdana"/>
          <w:b/>
          <w:color w:val="C00000"/>
          <w:sz w:val="48"/>
          <w:szCs w:val="48"/>
        </w:rPr>
        <w:t>KONSOLIDOVANÉ POZNÁMKY OBCE MORAVANY NAD VÁHOM ZA ROK 202</w:t>
      </w:r>
      <w:r>
        <w:rPr>
          <w:rFonts w:ascii="Verdana" w:hAnsi="Verdana"/>
          <w:b/>
          <w:color w:val="C00000"/>
          <w:sz w:val="48"/>
          <w:szCs w:val="48"/>
        </w:rPr>
        <w:t>2</w:t>
      </w: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rPr>
          <w:rFonts w:ascii="Verdana" w:hAnsi="Verdana"/>
          <w:b/>
          <w:color w:val="C00000"/>
          <w:sz w:val="48"/>
          <w:szCs w:val="48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:rsidR="00722BF9" w:rsidRDefault="00722BF9" w:rsidP="00722BF9">
      <w:pPr>
        <w:rPr>
          <w:rFonts w:ascii="Verdana" w:hAnsi="Verdana"/>
          <w:b/>
          <w:color w:val="C00000"/>
          <w:sz w:val="40"/>
          <w:szCs w:val="40"/>
        </w:rPr>
      </w:pPr>
    </w:p>
    <w:p w:rsidR="00722BF9" w:rsidRDefault="00722BF9" w:rsidP="00722BF9">
      <w:pPr>
        <w:rPr>
          <w:rFonts w:ascii="Verdana" w:hAnsi="Verdana"/>
          <w:b/>
          <w:color w:val="C00000"/>
          <w:sz w:val="40"/>
          <w:szCs w:val="40"/>
        </w:rPr>
      </w:pPr>
      <w:r>
        <w:rPr>
          <w:rFonts w:ascii="Verdana" w:hAnsi="Verdana"/>
          <w:b/>
          <w:color w:val="C00000"/>
          <w:sz w:val="40"/>
          <w:szCs w:val="40"/>
        </w:rPr>
        <w:lastRenderedPageBreak/>
        <w:t>OBSAH: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Úvod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Vymedzenie konsolidovaného celku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Použité metódy konsolidácie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Postup pri prvej konsolidácii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Výsledky konsolidovanej účtovnej závierky účtovnej jednotky verejnej správy</w:t>
      </w:r>
    </w:p>
    <w:p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Konsolidované aktíva</w:t>
      </w:r>
    </w:p>
    <w:p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Konsolidované pasíva</w:t>
      </w:r>
    </w:p>
    <w:p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Konsolidovaný výkaz ziskov a strát</w:t>
      </w:r>
    </w:p>
    <w:p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Zistené nezrovnalosti</w:t>
      </w: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:rsidR="00722BF9" w:rsidRPr="005753A7" w:rsidRDefault="00722BF9" w:rsidP="005753A7">
      <w:pPr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lastRenderedPageBreak/>
        <w:t>Ú V O D</w:t>
      </w:r>
    </w:p>
    <w:p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Obec Moravany nad Váhom, ako súčasť verejnej správy zostavuje KÚZ v I. stupni. V II. stupni zostavuje konsolidáciu ústrednej správy Ministerstvo financií SR. Obec zostavuje KÚZ do 6 mesiacov od skočenia účtovného obdobia ako materská účtovná jednotka (konsolidujúca jednotka) a je zodpovedná za pripravenosť , koordináciu a súčinnosť svojich dcérskych účtovných jednotiek. V súlade s postupmi konsolidácie preto obec ako koordinátor začala voči dcérskym účtovným jednotkám úkony spojené s prípravou na odsúhlasenie počiatočných stavov konsolidovaných údajov a na prípravu individuálnych účtovných závierok dcérskych účtovných jednotiek už začiatkom roku 2020, s cieľom dosiahnuť správnosť KÚZ. Písomne bolo zaslané oznámenie dcérskym účtovným jednotkám (DÚJ) o tom, že sú súčasťou konsolidovaného celku s povinnosťou poskytnúť materskej ÚJ zákonom stanovenú súčinnosť (§ 22 ods. 13 Zákona o účtovníctve). Výsledky konsolidácie sú spracované formou predpísaných výkazov, tabuliek a komentárov.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Konsolidovanú účtovnú závierku overuje audítor v termíne do 31.12. nasledujúceho roka.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KÚZ obce Moravany nad Váhom overil audítor dňa   </w:t>
      </w:r>
      <w:r w:rsidRPr="00382ABA">
        <w:rPr>
          <w:rFonts w:ascii="Verdana" w:hAnsi="Verdana"/>
          <w:color w:val="000066"/>
          <w:sz w:val="20"/>
          <w:szCs w:val="20"/>
        </w:rPr>
        <w:t>......    2022</w:t>
      </w:r>
      <w:r>
        <w:rPr>
          <w:rFonts w:ascii="Verdana" w:hAnsi="Verdana"/>
          <w:color w:val="000066"/>
          <w:sz w:val="20"/>
          <w:szCs w:val="20"/>
        </w:rPr>
        <w:t xml:space="preserve"> v súlade s § 21 ods., o čom podal písomné stanovisko.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O konsolidovanej účtovnej závierke sa zostavujú Konsolidované poznámky, ktoré podrobnejším spôsobom vysvetľujú údaje o konsolidovanej účtovnej  závierke.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Vymedzenie konsolidovaného celku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Do konsolidovaného celku patria predovšetkým rozpočtové a príspevkové organizácie  - právnické osoby založené mestom, ktoré môžu mať charakter dcérskych, spoločných, resp. pridružených ÚJ. Nadácie a neziskové organizácie do konsolidovaného celku nepatria, nakoľko u nich neexistuje vzťah „kontroly“, resp. „ovládania“. Obec Moravany nad Váhom eviduje dcérske účtovné jednotky- rozpočtové organizácie nasledovne: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817"/>
        <w:gridCol w:w="1441"/>
        <w:gridCol w:w="1383"/>
        <w:gridCol w:w="1754"/>
      </w:tblGrid>
      <w:tr w:rsidR="00722BF9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Organizácia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Patrí do konsolidovaného</w:t>
            </w:r>
          </w:p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celku obce (áno/nie)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 xml:space="preserve">Metóda </w:t>
            </w:r>
          </w:p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konsolidácie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Podiel na ZI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Podiel na hlasovacích právach</w:t>
            </w:r>
          </w:p>
        </w:tc>
      </w:tr>
      <w:tr w:rsidR="00722BF9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Základná škola s MŠ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F9" w:rsidRDefault="00722BF9" w:rsidP="00667305">
            <w:pPr>
              <w:rPr>
                <w:rFonts w:ascii="Verdana" w:hAnsi="Verdana"/>
                <w:color w:val="000066"/>
                <w:sz w:val="36"/>
                <w:szCs w:val="36"/>
              </w:rPr>
            </w:pPr>
          </w:p>
        </w:tc>
      </w:tr>
      <w:tr w:rsidR="00722BF9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Zariadenie pre seniorov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BF9" w:rsidRDefault="00722BF9" w:rsidP="00667305">
            <w:pPr>
              <w:rPr>
                <w:rFonts w:ascii="Verdana" w:hAnsi="Verdana"/>
                <w:color w:val="000066"/>
                <w:sz w:val="36"/>
                <w:szCs w:val="36"/>
              </w:rPr>
            </w:pPr>
          </w:p>
        </w:tc>
      </w:tr>
    </w:tbl>
    <w:p w:rsidR="00722BF9" w:rsidRDefault="00722BF9" w:rsidP="00722BF9">
      <w:pPr>
        <w:rPr>
          <w:rFonts w:ascii="Verdana" w:hAnsi="Verdana"/>
          <w:sz w:val="20"/>
          <w:szCs w:val="20"/>
        </w:rPr>
      </w:pPr>
    </w:p>
    <w:p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Cieľom KÚZ je poskytnúť informácie o konsolidovanom celku ako jednej ekonomickej  jednotke, teda uplatniť princíp „fiktívnej ekonomickej jednotky“ prostredníctvom zistenia a následného vynechania vzájomných vzťahov medzi organizáciami konsolidovaného celku.</w:t>
      </w:r>
    </w:p>
    <w:p w:rsidR="00722BF9" w:rsidRDefault="00722BF9" w:rsidP="00722BF9"/>
    <w:p w:rsidR="00722BF9" w:rsidRDefault="00722BF9" w:rsidP="00722BF9">
      <w:pPr>
        <w:numPr>
          <w:ilvl w:val="0"/>
          <w:numId w:val="2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Použité metódy konsolidácie</w:t>
      </w:r>
    </w:p>
    <w:p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Obec Moravany nad Váhom má vo svojich konsolidovaných účtovných jednotkách rozhodujúci vplyv. Základná škola s MŠ a Zariadenie pre seniorov sú rozpočtovými organizáciami obce a v rámci konsolidácie sú považované za dcérske ÚJ, neurčuje sa u nich podiel na hlasovacích právach, ani podiel na základnom imaní a vlastnom imaní. </w:t>
      </w:r>
    </w:p>
    <w:p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rámci úplnej konsolidácie vykonala obec Moravany nad Váhom nasledujúce kroky:</w:t>
      </w:r>
    </w:p>
    <w:p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Vytvorenie súčtovej súvahy a súčtového výkazu ziskov a strát – agregácia údajov</w:t>
      </w:r>
    </w:p>
    <w:p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Eliminácia vzájomných transakcií (pohľadávok, záväzkov, nákladov, výnosov, kapitálu, medzivýsledku) – po identifikovaní vzájomných transakcií medzi ÚJ konsolidovaného celku sa tieto transakcie eliminujú, teda vylúčia z agregovaných údajov.</w:t>
      </w:r>
    </w:p>
    <w:p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Postup pri konsolidácii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</w:rPr>
      </w:pPr>
    </w:p>
    <w:p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Podkladom  k spracovaniu konsolidovaných údajov bol vyplnený konsolidačný balík (KB) konsolidovaných jednotiek obce za rok 202</w:t>
      </w:r>
      <w:r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(povinnosť vyplňovania konsolidačného balíka vyplýva z legislatívy  od roku 2011, na základe ktorého bude Ministerstvo financií (MF) zostavovať ÚZ za štát, údaje sa vyplňujú s presnosťou na 2 desatinné miesta, obsah KB stanovilo MF). Od roku 2010 je obec súčasťou vyššieho konsolidovaného celku – štátu a pre MF zostavuje konsolidačný balík za obec, v ktorom budú sledované všetky vzťahy za oblasť verejnej správy - t. j. aj medzi obcami, mestami a ich rozpočtovými a príspevkovými organizáciami.</w:t>
      </w:r>
    </w:p>
    <w:p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Prvá konsolidácia sa uskutočňuje s údajmi v momente obstarania dlhodobého finančného majetku v dcérskej účtovnej  jednotke, v prípade kúpy podielov sa hodnota majetku a záväzkov dcérskej účtovnej jednotky oceňuje reálnou hodnotou. Konsolidácia účtovnej závierky sa skladala zo 4 krokov:</w:t>
      </w:r>
    </w:p>
    <w:p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kapitálu (nevzťahuje sa na RO, PO). Obec Moravany nad Váhom nevykonávala konsolidáciou medzivýsledku.</w:t>
      </w:r>
    </w:p>
    <w:p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pohľadávok a záväzkov</w:t>
      </w:r>
    </w:p>
    <w:p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tomto kroku sa vylučovali záväzky, pohľadávky a transfery materskej účtovnej jednotky  voči DÚJ, ktoré sú vo vzťahu k pohľadávkam, záväzkom a transferom ÚJ voči materskej ÚJ – podľa konečných stavov v súvahe. Tieto údaje sú eliminované v plnej výške, pričom vznikajú rozdiely:</w:t>
      </w:r>
    </w:p>
    <w:p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Pravé (vytvorené napr. rezervami, opravnými položkami vo vzájomných vzťahoch).  </w:t>
      </w:r>
    </w:p>
    <w:p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Pravé rozdiely môžu ovplyvniť  výsledok  hospodárenia bežného účtovného obdobia (nižšie pohľadávky ako  záväzky ovplyvnia zvýšenie výsledku hospodárenia, vyššie pohľadávky ako záväzky ovplyvnia zníženie výsledku hospodárenia).</w:t>
      </w:r>
    </w:p>
    <w:p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Nepravé (vytvorené napr. chybným zaúčtovaním, časovým posunom v zaúčtovaní a pod.).</w:t>
      </w:r>
    </w:p>
    <w:p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Nepravé rozdiely boli  vysporiadané v procese odsúhlasovania zostatkov záväzkov a pohľadávok, resp. v rámci konsolidačných operácií obce a konsolidovaných ÚJ.</w:t>
      </w:r>
    </w:p>
    <w:p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</w:t>
      </w:r>
    </w:p>
    <w:p w:rsidR="00722BF9" w:rsidRDefault="00722BF9" w:rsidP="00722BF9">
      <w:pPr>
        <w:ind w:left="69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 vzniká medzi 2 účtovnými jednotkami pri predaji majetku medzi     nimi dvomi, pričom ocenenie majetku kupujúceho je vyššie, než bolo ocenenie majetku, ak by k tejto transakcii nedošlo. Obec Moravany nad Váhom nemala žiaden prípad pre konsolidáciou medzivýsledku.</w:t>
      </w:r>
    </w:p>
    <w:p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 výnosov</w:t>
      </w:r>
    </w:p>
    <w:p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 výnosov eliminuje z agregovaných údajov vo výkaze ziskov a strát vzájomné transakcie v konsolidačnom celku identifikované účtovnou jednotkou (identifikátorom je IČO organizácie).</w:t>
      </w:r>
    </w:p>
    <w:p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Výsledky konsolidovanej účtovnej závierky účtovnej jednotky verejnej správy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Konsolidované aktíva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Po konsolidácii aktív boli za rok 202</w:t>
      </w:r>
      <w:r w:rsidR="00307594">
        <w:rPr>
          <w:rFonts w:ascii="Verdana" w:hAnsi="Verdana"/>
          <w:color w:val="000066"/>
          <w:sz w:val="20"/>
          <w:szCs w:val="20"/>
        </w:rPr>
        <w:t>2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dosiahnuté nasledovné výsledky:</w:t>
      </w:r>
    </w:p>
    <w:p w:rsidR="00722BF9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Pri zúčtovaní odvodov príjmov RO do rozpočtu zriaďovateľa vykazovala obec pohľadávku vo výške  </w:t>
      </w:r>
      <w:r w:rsidR="00AC6831">
        <w:rPr>
          <w:rFonts w:ascii="Verdana" w:hAnsi="Verdana"/>
          <w:color w:val="000066"/>
          <w:sz w:val="20"/>
          <w:szCs w:val="20"/>
        </w:rPr>
        <w:t xml:space="preserve">1605,68 </w:t>
      </w:r>
      <w:r>
        <w:rPr>
          <w:rFonts w:ascii="Verdana" w:hAnsi="Verdana"/>
          <w:color w:val="000066"/>
          <w:sz w:val="20"/>
          <w:szCs w:val="20"/>
        </w:rPr>
        <w:t>€.</w:t>
      </w:r>
    </w:p>
    <w:p w:rsidR="00722BF9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Zúčtovanie kapitálových  transferov z rozpočtu obce/VUC obec vykazuje aktíva v hodnote </w:t>
      </w:r>
      <w:r w:rsidR="00AC6831">
        <w:rPr>
          <w:rFonts w:ascii="Verdana" w:hAnsi="Verdana"/>
          <w:color w:val="000066"/>
          <w:sz w:val="20"/>
          <w:szCs w:val="20"/>
        </w:rPr>
        <w:t xml:space="preserve">61 011,06 </w:t>
      </w:r>
      <w:r>
        <w:rPr>
          <w:rFonts w:ascii="Verdana" w:hAnsi="Verdana"/>
          <w:color w:val="000066"/>
          <w:sz w:val="20"/>
          <w:szCs w:val="20"/>
        </w:rPr>
        <w:t>€.</w:t>
      </w: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Konsolidované pasíva</w:t>
      </w:r>
    </w:p>
    <w:p w:rsidR="00DA023D" w:rsidRDefault="00DA023D" w:rsidP="00722BF9">
      <w:pPr>
        <w:pStyle w:val="Odsekzoznamu"/>
        <w:ind w:left="141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1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Na strane pasív boli za rok 202</w:t>
      </w:r>
      <w:r w:rsidR="00307594">
        <w:rPr>
          <w:rFonts w:ascii="Verdana" w:hAnsi="Verdana"/>
          <w:color w:val="000066"/>
          <w:sz w:val="20"/>
          <w:szCs w:val="20"/>
        </w:rPr>
        <w:t>2</w:t>
      </w:r>
      <w:r>
        <w:rPr>
          <w:rFonts w:ascii="Verdana" w:hAnsi="Verdana"/>
          <w:color w:val="000066"/>
          <w:sz w:val="20"/>
          <w:szCs w:val="20"/>
        </w:rPr>
        <w:t xml:space="preserve"> konsolidované údaje za bežné účtovné obdobie.</w:t>
      </w:r>
    </w:p>
    <w:p w:rsidR="00722BF9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Pri zúčtovaní odvodov príjmov RO do rozpočtu zriaďovateľa vykazovali</w:t>
      </w:r>
    </w:p>
    <w:p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                    RO – Zariadenie pre seniorov záväzok vo výške  </w:t>
      </w:r>
      <w:r w:rsidR="00AC6831">
        <w:rPr>
          <w:rFonts w:ascii="Verdana" w:hAnsi="Verdana"/>
          <w:color w:val="000066"/>
          <w:sz w:val="20"/>
          <w:szCs w:val="20"/>
        </w:rPr>
        <w:t xml:space="preserve">1605,68 </w:t>
      </w:r>
      <w:r>
        <w:rPr>
          <w:rFonts w:ascii="Verdana" w:hAnsi="Verdana"/>
          <w:color w:val="000066"/>
          <w:sz w:val="20"/>
          <w:szCs w:val="20"/>
        </w:rPr>
        <w:t xml:space="preserve">€.          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Zúčtovanie kapitálových transferov z rozpočtu obce/VUC RO Zariadenie pre seniorov vykazuje pasíva </w:t>
      </w:r>
      <w:r w:rsidR="00AC6831">
        <w:rPr>
          <w:rFonts w:ascii="Verdana" w:hAnsi="Verdana"/>
          <w:color w:val="000066"/>
          <w:sz w:val="20"/>
          <w:szCs w:val="20"/>
        </w:rPr>
        <w:t xml:space="preserve">40744,16 </w:t>
      </w:r>
      <w:r>
        <w:rPr>
          <w:rFonts w:ascii="Verdana" w:hAnsi="Verdana"/>
          <w:color w:val="000066"/>
          <w:sz w:val="20"/>
          <w:szCs w:val="20"/>
        </w:rPr>
        <w:t xml:space="preserve">€ a Základná škola s MŠ pasíva vo výške </w:t>
      </w:r>
      <w:r w:rsidR="00AC6831">
        <w:rPr>
          <w:rFonts w:ascii="Verdana" w:hAnsi="Verdana"/>
          <w:color w:val="000066"/>
          <w:sz w:val="20"/>
          <w:szCs w:val="20"/>
        </w:rPr>
        <w:t xml:space="preserve">20 266,90 </w:t>
      </w:r>
      <w:r>
        <w:rPr>
          <w:rFonts w:ascii="Verdana" w:hAnsi="Verdana"/>
          <w:color w:val="000066"/>
          <w:sz w:val="20"/>
          <w:szCs w:val="20"/>
        </w:rPr>
        <w:t>€.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lastRenderedPageBreak/>
        <w:t>Konsolidovaný výkaz ziskov a strát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RO – Zariadenie pre seniorov</w:t>
      </w:r>
    </w:p>
    <w:p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Výkazu ziskov a strát  vykazovala obec na účte výnosov (633 a 699) sumu </w:t>
      </w:r>
      <w:r w:rsidR="008D430B">
        <w:rPr>
          <w:rFonts w:ascii="Verdana" w:hAnsi="Verdana"/>
          <w:color w:val="000066"/>
          <w:sz w:val="20"/>
          <w:szCs w:val="20"/>
        </w:rPr>
        <w:t>273 559,10</w:t>
      </w:r>
      <w:r>
        <w:rPr>
          <w:rFonts w:ascii="Verdana" w:hAnsi="Verdana"/>
          <w:color w:val="000066"/>
          <w:sz w:val="20"/>
          <w:szCs w:val="20"/>
        </w:rPr>
        <w:t xml:space="preserve"> € a RO na účtoch nákladov </w:t>
      </w:r>
    </w:p>
    <w:p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(538, 588 a 58</w:t>
      </w:r>
      <w:r w:rsidR="00336E3B">
        <w:rPr>
          <w:rFonts w:ascii="Verdana" w:hAnsi="Verdana"/>
          <w:color w:val="000066"/>
          <w:sz w:val="20"/>
          <w:szCs w:val="20"/>
        </w:rPr>
        <w:t>4</w:t>
      </w:r>
      <w:r>
        <w:rPr>
          <w:rFonts w:ascii="Verdana" w:hAnsi="Verdana"/>
          <w:color w:val="000066"/>
          <w:sz w:val="20"/>
          <w:szCs w:val="20"/>
        </w:rPr>
        <w:t xml:space="preserve">) sumu </w:t>
      </w:r>
      <w:r w:rsidR="008D430B">
        <w:rPr>
          <w:rFonts w:ascii="Verdana" w:hAnsi="Verdana"/>
          <w:color w:val="000066"/>
          <w:sz w:val="20"/>
          <w:szCs w:val="20"/>
        </w:rPr>
        <w:t>273 559,10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</w:p>
    <w:p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Na účte nákladov (584) obec vykazovala sumu </w:t>
      </w:r>
      <w:r w:rsidR="00E86732">
        <w:rPr>
          <w:rFonts w:ascii="Verdana" w:hAnsi="Verdana"/>
          <w:color w:val="000066"/>
          <w:sz w:val="20"/>
          <w:szCs w:val="20"/>
        </w:rPr>
        <w:t xml:space="preserve"> </w:t>
      </w:r>
      <w:r w:rsidR="008D430B">
        <w:rPr>
          <w:rFonts w:ascii="Verdana" w:hAnsi="Verdana"/>
          <w:color w:val="000066"/>
          <w:sz w:val="20"/>
          <w:szCs w:val="20"/>
        </w:rPr>
        <w:t>250 198,81</w:t>
      </w:r>
      <w:r w:rsidR="00336E3B">
        <w:rPr>
          <w:rFonts w:ascii="Verdana" w:hAnsi="Verdana"/>
          <w:color w:val="000066"/>
          <w:sz w:val="20"/>
          <w:szCs w:val="20"/>
        </w:rPr>
        <w:t>€</w:t>
      </w:r>
    </w:p>
    <w:p w:rsidR="00722BF9" w:rsidRDefault="00722BF9" w:rsidP="00722BF9">
      <w:pPr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</w:t>
      </w:r>
      <w:r w:rsidRPr="004B40B7">
        <w:rPr>
          <w:rFonts w:ascii="Verdana" w:hAnsi="Verdana"/>
          <w:color w:val="000066"/>
          <w:sz w:val="20"/>
          <w:szCs w:val="20"/>
        </w:rPr>
        <w:t>a na účtoch výnosov (648, 691 a 692) RO vykazovala sumu</w:t>
      </w:r>
      <w:r>
        <w:rPr>
          <w:rFonts w:ascii="Verdana" w:hAnsi="Verdana"/>
          <w:color w:val="000066"/>
          <w:sz w:val="20"/>
          <w:szCs w:val="20"/>
        </w:rPr>
        <w:t xml:space="preserve"> 250 198,81 €.</w:t>
      </w:r>
      <w:r w:rsidR="00E86732">
        <w:rPr>
          <w:rFonts w:ascii="Verdana" w:hAnsi="Verdana"/>
          <w:color w:val="000066"/>
          <w:sz w:val="20"/>
          <w:szCs w:val="20"/>
        </w:rPr>
        <w:t xml:space="preserve"> </w:t>
      </w:r>
    </w:p>
    <w:p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Agregovaný Výkaz ziskov a strát predstavoval na strane nákladov sumu </w:t>
      </w:r>
      <w:r w:rsidRPr="006F259D">
        <w:rPr>
          <w:rFonts w:ascii="Verdana" w:hAnsi="Verdana"/>
          <w:color w:val="000066"/>
          <w:sz w:val="20"/>
          <w:szCs w:val="20"/>
        </w:rPr>
        <w:t>523 757,91 €</w:t>
      </w:r>
      <w:r>
        <w:rPr>
          <w:rFonts w:ascii="Verdana" w:hAnsi="Verdana"/>
          <w:color w:val="000066"/>
          <w:sz w:val="20"/>
          <w:szCs w:val="20"/>
        </w:rPr>
        <w:t xml:space="preserve"> a na strane výnosov sumu 523 757,91 €.</w:t>
      </w:r>
      <w:r w:rsidR="0094132F">
        <w:rPr>
          <w:rFonts w:ascii="Verdana" w:hAnsi="Verdana"/>
          <w:color w:val="000066"/>
          <w:sz w:val="20"/>
          <w:szCs w:val="20"/>
        </w:rPr>
        <w:t xml:space="preserve"> </w:t>
      </w: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RO – Základná škola s MŠ</w:t>
      </w:r>
    </w:p>
    <w:p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Výkazu ziskov a strát vykazovala obec na účte výnosov (633 a 699) sumu </w:t>
      </w:r>
      <w:r w:rsidR="00E86732">
        <w:rPr>
          <w:rFonts w:ascii="Verdana" w:hAnsi="Verdana"/>
          <w:color w:val="000066"/>
          <w:sz w:val="20"/>
          <w:szCs w:val="20"/>
        </w:rPr>
        <w:t>34 552,55</w:t>
      </w:r>
      <w:r>
        <w:rPr>
          <w:rFonts w:ascii="Verdana" w:hAnsi="Verdana"/>
          <w:color w:val="000066"/>
          <w:sz w:val="20"/>
          <w:szCs w:val="20"/>
        </w:rPr>
        <w:t xml:space="preserve"> € a RO na účtoch nákladov (538 a 588) sumu </w:t>
      </w:r>
      <w:r w:rsidR="008D430B">
        <w:rPr>
          <w:rFonts w:ascii="Verdana" w:hAnsi="Verdana"/>
          <w:color w:val="000066"/>
          <w:sz w:val="20"/>
          <w:szCs w:val="20"/>
        </w:rPr>
        <w:t>34 552,55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  <w:r w:rsidR="00DA023D">
        <w:rPr>
          <w:rFonts w:ascii="Verdana" w:hAnsi="Verdana"/>
          <w:color w:val="000066"/>
          <w:sz w:val="20"/>
          <w:szCs w:val="20"/>
        </w:rPr>
        <w:t xml:space="preserve"> </w:t>
      </w:r>
    </w:p>
    <w:p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Na účte nákladov (584) obec vykazovala sumu 380 945,54 € a na účtoch výnosov (691 a 692) sumu </w:t>
      </w:r>
      <w:r w:rsidR="00C4389B">
        <w:rPr>
          <w:rFonts w:ascii="Verdana" w:hAnsi="Verdana"/>
          <w:color w:val="000066"/>
          <w:sz w:val="20"/>
          <w:szCs w:val="20"/>
        </w:rPr>
        <w:t>380</w:t>
      </w:r>
      <w:r w:rsidR="008D430B">
        <w:rPr>
          <w:rFonts w:ascii="Verdana" w:hAnsi="Verdana"/>
          <w:color w:val="000066"/>
          <w:sz w:val="20"/>
          <w:szCs w:val="20"/>
        </w:rPr>
        <w:t> 945,54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 w:rsidRPr="008D430B">
        <w:rPr>
          <w:rFonts w:ascii="Verdana" w:hAnsi="Verdana"/>
          <w:color w:val="000066"/>
          <w:sz w:val="20"/>
          <w:szCs w:val="20"/>
        </w:rPr>
        <w:t>Agregovaný Výkaz ziskov a strát predstavoval na strane nákladov sumu 4</w:t>
      </w:r>
      <w:r w:rsidR="008D430B">
        <w:rPr>
          <w:rFonts w:ascii="Verdana" w:hAnsi="Verdana"/>
          <w:color w:val="000066"/>
          <w:sz w:val="20"/>
          <w:szCs w:val="20"/>
        </w:rPr>
        <w:t>15 498,08</w:t>
      </w:r>
      <w:r w:rsidRPr="008D430B">
        <w:rPr>
          <w:rFonts w:ascii="Verdana" w:hAnsi="Verdana"/>
          <w:color w:val="000066"/>
          <w:sz w:val="20"/>
          <w:szCs w:val="20"/>
        </w:rPr>
        <w:t xml:space="preserve"> € a na strane výnosov sumu 4</w:t>
      </w:r>
      <w:r w:rsidR="00172764">
        <w:rPr>
          <w:rFonts w:ascii="Verdana" w:hAnsi="Verdana"/>
          <w:color w:val="000066"/>
          <w:sz w:val="20"/>
          <w:szCs w:val="20"/>
        </w:rPr>
        <w:t>15 498,08</w:t>
      </w:r>
      <w:r w:rsidRPr="008D430B">
        <w:rPr>
          <w:rFonts w:ascii="Verdana" w:hAnsi="Verdana"/>
          <w:color w:val="000066"/>
          <w:sz w:val="20"/>
          <w:szCs w:val="20"/>
        </w:rPr>
        <w:t xml:space="preserve"> €.</w:t>
      </w: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Zistené nezrovnalosti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V rámci konsolidácie celku boli zistené tieto nezrovnalosti:</w:t>
      </w:r>
    </w:p>
    <w:p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Medzi obcou a RO Zariadenie pre seniorov neboli zistené žiadne nezrovnalosti.</w:t>
      </w:r>
    </w:p>
    <w:p w:rsidR="00722BF9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Medzi obcou a RO Základná škola s materskou školou neboli zistené žiadne nezrovnalosti:</w:t>
      </w:r>
    </w:p>
    <w:p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spacing w:after="0" w:line="240" w:lineRule="auto"/>
        <w:ind w:left="1080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</w:t>
      </w:r>
      <w:r>
        <w:rPr>
          <w:rFonts w:ascii="Verdana" w:hAnsi="Verdana"/>
          <w:b/>
          <w:color w:val="000066"/>
          <w:sz w:val="20"/>
          <w:szCs w:val="20"/>
        </w:rPr>
        <w:t>Súvaha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konsolidácie pohľadávok a záväzkov sme nezistili žiadne nezrovnalosti. 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Výkaz ziskov a strát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konsolidácie nákladov a výnosov sme nezistili žiadne nezrovnalosti. </w:t>
      </w:r>
    </w:p>
    <w:p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  <w:sz w:val="20"/>
          <w:szCs w:val="20"/>
        </w:rPr>
      </w:pP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 w:rsidRPr="00172764">
        <w:rPr>
          <w:rFonts w:ascii="Verdana" w:hAnsi="Verdana"/>
          <w:color w:val="000066"/>
          <w:sz w:val="20"/>
          <w:szCs w:val="20"/>
        </w:rPr>
        <w:t>Vo výkaze boli za rok 202</w:t>
      </w:r>
      <w:r w:rsidR="00307594" w:rsidRPr="00172764">
        <w:rPr>
          <w:rFonts w:ascii="Verdana" w:hAnsi="Verdana"/>
          <w:color w:val="000066"/>
          <w:sz w:val="20"/>
          <w:szCs w:val="20"/>
        </w:rPr>
        <w:t>2</w:t>
      </w:r>
      <w:r w:rsidRPr="00172764">
        <w:rPr>
          <w:rFonts w:ascii="Verdana" w:hAnsi="Verdana"/>
          <w:color w:val="000066"/>
          <w:sz w:val="20"/>
          <w:szCs w:val="20"/>
        </w:rPr>
        <w:t xml:space="preserve"> skonsolidované údaje za hlavnú činnosť za bežné účtovné obdobie. Výsledkom hospodárenia obce za rok 202</w:t>
      </w:r>
      <w:r w:rsidR="00307594" w:rsidRPr="00172764">
        <w:rPr>
          <w:rFonts w:ascii="Verdana" w:hAnsi="Verdana"/>
          <w:color w:val="000066"/>
          <w:sz w:val="20"/>
          <w:szCs w:val="20"/>
        </w:rPr>
        <w:t>2</w:t>
      </w:r>
      <w:r w:rsidRPr="00172764">
        <w:rPr>
          <w:rFonts w:ascii="Verdana" w:hAnsi="Verdana"/>
          <w:color w:val="000066"/>
          <w:sz w:val="20"/>
          <w:szCs w:val="20"/>
        </w:rPr>
        <w:t xml:space="preserve"> bol zisk 28 322,16 €,  konsolidovaný celok po všetkých úpravách a vylúčeniach dosiahol zisk 47 604,57 €.</w:t>
      </w:r>
    </w:p>
    <w:p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:rsidR="00722BF9" w:rsidRDefault="00722BF9" w:rsidP="00722BF9">
      <w:pPr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sz w:val="20"/>
          <w:szCs w:val="20"/>
        </w:rPr>
        <w:t>V Moravanoch nad Váhom, dňa 1</w:t>
      </w:r>
      <w:r w:rsidR="005753A7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5753A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202</w:t>
      </w:r>
      <w:r w:rsidR="005753A7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b/>
          <w:color w:val="000066"/>
          <w:sz w:val="20"/>
          <w:szCs w:val="20"/>
        </w:rPr>
        <w:t xml:space="preserve">    </w:t>
      </w:r>
    </w:p>
    <w:p w:rsidR="00722BF9" w:rsidRDefault="00722BF9" w:rsidP="00722BF9">
      <w:pPr>
        <w:spacing w:after="0" w:line="240" w:lineRule="auto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Jana </w:t>
      </w:r>
      <w:r>
        <w:rPr>
          <w:rFonts w:ascii="Verdana" w:hAnsi="Verdana"/>
          <w:color w:val="000066"/>
          <w:sz w:val="20"/>
          <w:szCs w:val="20"/>
        </w:rPr>
        <w:t>MYJAVCOVÁ</w:t>
      </w:r>
      <w:r>
        <w:rPr>
          <w:rFonts w:ascii="Verdana" w:hAnsi="Verdana"/>
          <w:color w:val="000066"/>
          <w:sz w:val="20"/>
          <w:szCs w:val="20"/>
        </w:rPr>
        <w:tab/>
        <w:t xml:space="preserve">      </w:t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 xml:space="preserve">Ing. Peter HULMAN   </w:t>
      </w:r>
    </w:p>
    <w:p w:rsidR="00722BF9" w:rsidRDefault="00722BF9" w:rsidP="00722BF9">
      <w:pPr>
        <w:spacing w:after="0" w:line="240" w:lineRule="auto"/>
        <w:ind w:left="4248" w:hanging="4248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Zodpovedná osoba za vypracovanie</w:t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  <w:t xml:space="preserve">Starosta obce </w:t>
      </w:r>
    </w:p>
    <w:p w:rsidR="00722BF9" w:rsidRDefault="00722BF9" w:rsidP="00722BF9">
      <w:pPr>
        <w:spacing w:after="0" w:line="240" w:lineRule="auto"/>
        <w:ind w:left="4956" w:firstLine="708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Moravany nad Váhom                                                                                                                      </w:t>
      </w:r>
    </w:p>
    <w:p w:rsidR="00D966B6" w:rsidRDefault="00D966B6"/>
    <w:sectPr w:rsidR="00D9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6A1"/>
    <w:multiLevelType w:val="hybridMultilevel"/>
    <w:tmpl w:val="AD6C9FD2"/>
    <w:lvl w:ilvl="0" w:tplc="DEFC1A1A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41952"/>
    <w:multiLevelType w:val="hybridMultilevel"/>
    <w:tmpl w:val="6C5A2E5E"/>
    <w:lvl w:ilvl="0" w:tplc="CE2A97D0">
      <w:start w:val="1"/>
      <w:numFmt w:val="decimal"/>
      <w:lvlText w:val="%1.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901"/>
    <w:multiLevelType w:val="hybridMultilevel"/>
    <w:tmpl w:val="05B8D19E"/>
    <w:lvl w:ilvl="0" w:tplc="0CA219B2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B78D6"/>
    <w:multiLevelType w:val="multilevel"/>
    <w:tmpl w:val="6F267B4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isLgl/>
      <w:lvlText w:val="%1.%2."/>
      <w:lvlJc w:val="left"/>
      <w:pPr>
        <w:ind w:left="2160" w:hanging="1080"/>
      </w:pPr>
    </w:lvl>
    <w:lvl w:ilvl="2">
      <w:start w:val="1"/>
      <w:numFmt w:val="decimal"/>
      <w:isLgl/>
      <w:lvlText w:val="%1.%2.%3."/>
      <w:lvlJc w:val="left"/>
      <w:pPr>
        <w:ind w:left="3240" w:hanging="1440"/>
      </w:pPr>
    </w:lvl>
    <w:lvl w:ilvl="3">
      <w:start w:val="1"/>
      <w:numFmt w:val="decimal"/>
      <w:isLgl/>
      <w:lvlText w:val="%1.%2.%3.%4."/>
      <w:lvlJc w:val="left"/>
      <w:pPr>
        <w:ind w:left="4320" w:hanging="1800"/>
      </w:pPr>
    </w:lvl>
    <w:lvl w:ilvl="4">
      <w:start w:val="1"/>
      <w:numFmt w:val="decimal"/>
      <w:isLgl/>
      <w:lvlText w:val="%1.%2.%3.%4.%5."/>
      <w:lvlJc w:val="left"/>
      <w:pPr>
        <w:ind w:left="5400" w:hanging="2160"/>
      </w:pPr>
    </w:lvl>
    <w:lvl w:ilvl="5">
      <w:start w:val="1"/>
      <w:numFmt w:val="decimal"/>
      <w:isLgl/>
      <w:lvlText w:val="%1.%2.%3.%4.%5.%6."/>
      <w:lvlJc w:val="left"/>
      <w:pPr>
        <w:ind w:left="6840" w:hanging="2880"/>
      </w:pPr>
    </w:lvl>
    <w:lvl w:ilvl="6">
      <w:start w:val="1"/>
      <w:numFmt w:val="decimal"/>
      <w:isLgl/>
      <w:lvlText w:val="%1.%2.%3.%4.%5.%6.%7."/>
      <w:lvlJc w:val="left"/>
      <w:pPr>
        <w:ind w:left="7920" w:hanging="3240"/>
      </w:pPr>
    </w:lvl>
    <w:lvl w:ilvl="7">
      <w:start w:val="1"/>
      <w:numFmt w:val="decimal"/>
      <w:isLgl/>
      <w:lvlText w:val="%1.%2.%3.%4.%5.%6.%7.%8."/>
      <w:lvlJc w:val="left"/>
      <w:pPr>
        <w:ind w:left="9000" w:hanging="3600"/>
      </w:pPr>
    </w:lvl>
    <w:lvl w:ilvl="8">
      <w:start w:val="1"/>
      <w:numFmt w:val="decimal"/>
      <w:isLgl/>
      <w:lvlText w:val="%1.%2.%3.%4.%5.%6.%7.%8.%9."/>
      <w:lvlJc w:val="left"/>
      <w:pPr>
        <w:ind w:left="10080" w:hanging="3960"/>
      </w:pPr>
    </w:lvl>
  </w:abstractNum>
  <w:abstractNum w:abstractNumId="4" w15:restartNumberingAfterBreak="0">
    <w:nsid w:val="3B706B4A"/>
    <w:multiLevelType w:val="hybridMultilevel"/>
    <w:tmpl w:val="E102A7E2"/>
    <w:lvl w:ilvl="0" w:tplc="D128742A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E6DAB"/>
    <w:multiLevelType w:val="hybridMultilevel"/>
    <w:tmpl w:val="9BFCA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07C01"/>
    <w:multiLevelType w:val="hybridMultilevel"/>
    <w:tmpl w:val="94227E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D4DD2"/>
    <w:multiLevelType w:val="hybridMultilevel"/>
    <w:tmpl w:val="589268B8"/>
    <w:lvl w:ilvl="0" w:tplc="18EEB856">
      <w:start w:val="1"/>
      <w:numFmt w:val="lowerLetter"/>
      <w:lvlText w:val="%1)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44F0D"/>
    <w:multiLevelType w:val="hybridMultilevel"/>
    <w:tmpl w:val="1C5E8F3A"/>
    <w:lvl w:ilvl="0" w:tplc="11A2DDBC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6053B"/>
    <w:multiLevelType w:val="multilevel"/>
    <w:tmpl w:val="A0B6CF9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num w:numId="1" w16cid:durableId="1835220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966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32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5688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775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59572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29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5760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6757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797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F9"/>
    <w:rsid w:val="00030A2A"/>
    <w:rsid w:val="000344DE"/>
    <w:rsid w:val="00172764"/>
    <w:rsid w:val="00307594"/>
    <w:rsid w:val="00336E3B"/>
    <w:rsid w:val="00382ABA"/>
    <w:rsid w:val="005753A7"/>
    <w:rsid w:val="006F259D"/>
    <w:rsid w:val="00722BF9"/>
    <w:rsid w:val="008D430B"/>
    <w:rsid w:val="0094132F"/>
    <w:rsid w:val="00AC6831"/>
    <w:rsid w:val="00C4389B"/>
    <w:rsid w:val="00D966B6"/>
    <w:rsid w:val="00DA023D"/>
    <w:rsid w:val="00E86732"/>
    <w:rsid w:val="00F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ECA3"/>
  <w15:chartTrackingRefBased/>
  <w15:docId w15:val="{A60BE8AF-1734-4D29-8245-17403CE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B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2B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Moravany nad Vahom</dc:creator>
  <cp:keywords/>
  <dc:description/>
  <cp:lastModifiedBy>Obecny Urad Moravany nad Vahom</cp:lastModifiedBy>
  <cp:revision>2</cp:revision>
  <dcterms:created xsi:type="dcterms:W3CDTF">2023-06-16T13:11:00Z</dcterms:created>
  <dcterms:modified xsi:type="dcterms:W3CDTF">2023-06-16T13:11:00Z</dcterms:modified>
</cp:coreProperties>
</file>