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6"/>
        <w:jc w:val="both"/>
      </w:pPr>
    </w:p>
    <w:p>
      <w:pPr>
        <w:pStyle w:val="6"/>
        <w:jc w:val="center"/>
        <w:rPr>
          <w:b/>
          <w:bCs/>
        </w:rPr>
      </w:pPr>
      <w:r>
        <w:rPr>
          <w:b/>
          <w:bCs/>
        </w:rPr>
        <w:t>Obec Hendrichovce</w:t>
      </w:r>
    </w:p>
    <w:p>
      <w:pPr>
        <w:pStyle w:val="6"/>
        <w:jc w:val="center"/>
        <w:rPr>
          <w:b/>
          <w:bCs/>
        </w:rPr>
      </w:pPr>
      <w:r>
        <w:rPr>
          <w:b/>
          <w:bCs/>
        </w:rPr>
        <w:t xml:space="preserve"> </w:t>
      </w:r>
    </w:p>
    <w:p>
      <w:pPr>
        <w:pStyle w:val="6"/>
        <w:jc w:val="center"/>
        <w:rPr>
          <w:b/>
          <w:bCs/>
        </w:rPr>
      </w:pPr>
      <w:r>
        <w:rPr>
          <w:b/>
          <w:bCs/>
        </w:rPr>
        <w:t xml:space="preserve"> </w:t>
      </w:r>
    </w:p>
    <w:p>
      <w:pPr>
        <w:pStyle w:val="6"/>
        <w:jc w:val="center"/>
        <w:rPr>
          <w:b/>
          <w:bCs/>
        </w:rPr>
      </w:pPr>
      <w:r>
        <w:rPr>
          <w:b/>
          <w:bCs/>
        </w:rPr>
        <w:t xml:space="preserve"> </w:t>
      </w:r>
    </w:p>
    <w:p>
      <w:pPr>
        <w:pStyle w:val="6"/>
        <w:jc w:val="center"/>
        <w:rPr>
          <w:b/>
          <w:bCs/>
        </w:rPr>
      </w:pPr>
      <w:r>
        <w:rPr>
          <w:b/>
          <w:bCs/>
        </w:rPr>
        <w:t xml:space="preserve"> </w:t>
      </w:r>
    </w:p>
    <w:p>
      <w:pPr>
        <w:pStyle w:val="6"/>
        <w:jc w:val="center"/>
        <w:rPr>
          <w:b/>
          <w:bCs/>
        </w:rPr>
      </w:pPr>
      <w:r>
        <w:rPr>
          <w:b/>
          <w:bCs/>
        </w:rPr>
        <w:t xml:space="preserve"> </w:t>
      </w:r>
    </w:p>
    <w:p>
      <w:pPr>
        <w:pStyle w:val="6"/>
        <w:jc w:val="center"/>
      </w:pPr>
      <w:r>
        <w:t xml:space="preserve"> </w:t>
      </w:r>
      <w:r>
        <w:drawing>
          <wp:inline distT="0" distB="0" distL="0" distR="0">
            <wp:extent cx="2069465" cy="2631440"/>
            <wp:effectExtent l="0" t="0" r="6985" b="0"/>
            <wp:docPr id="1" name="Obrázok 1" descr="Obrázok, na ktorom je kreslený obrázok, cicavec, animák, ilustrácia&#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ázok 1" descr="Obrázok, na ktorom je kreslený obrázok, cicavec, animák, ilustrácia&#10;&#10;Automaticky generovaný popis"/>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2070000" cy="2631600"/>
                    </a:xfrm>
                    <a:prstGeom prst="rect">
                      <a:avLst/>
                    </a:prstGeom>
                    <a:noFill/>
                    <a:ln>
                      <a:noFill/>
                    </a:ln>
                  </pic:spPr>
                </pic:pic>
              </a:graphicData>
            </a:graphic>
          </wp:inline>
        </w:drawing>
      </w:r>
    </w:p>
    <w:p>
      <w:pPr>
        <w:pStyle w:val="6"/>
        <w:jc w:val="center"/>
        <w:rPr>
          <w:rFonts w:ascii="Times New Roman" w:hAnsi="Times New Roman" w:cs="Times New Roman"/>
          <w:b/>
          <w:bCs/>
        </w:rPr>
      </w:pPr>
      <w:r>
        <w:rPr>
          <w:rFonts w:ascii="Times New Roman" w:hAnsi="Times New Roman" w:cs="Times New Roman"/>
          <w:b/>
          <w:bCs/>
        </w:rPr>
        <w:t>Výročná správa</w:t>
      </w:r>
    </w:p>
    <w:p>
      <w:pPr>
        <w:pStyle w:val="6"/>
        <w:jc w:val="center"/>
        <w:rPr>
          <w:rFonts w:ascii="Times New Roman" w:hAnsi="Times New Roman" w:cs="Times New Roman"/>
          <w:b/>
          <w:bCs/>
        </w:rPr>
      </w:pPr>
      <w:r>
        <w:rPr>
          <w:rFonts w:ascii="Times New Roman" w:hAnsi="Times New Roman" w:cs="Times New Roman"/>
          <w:b/>
          <w:bCs/>
        </w:rPr>
        <w:t>Obce HENDRICHOVCE</w:t>
      </w:r>
    </w:p>
    <w:p>
      <w:pPr>
        <w:pStyle w:val="6"/>
        <w:jc w:val="center"/>
        <w:rPr>
          <w:rFonts w:ascii="Times New Roman" w:hAnsi="Times New Roman" w:cs="Times New Roman"/>
          <w:b/>
          <w:bCs/>
        </w:rPr>
      </w:pPr>
      <w:r>
        <w:rPr>
          <w:rFonts w:ascii="Times New Roman" w:hAnsi="Times New Roman" w:cs="Times New Roman"/>
          <w:b/>
          <w:bCs/>
        </w:rPr>
        <w:t>Za rok 2022</w:t>
      </w:r>
    </w:p>
    <w:p>
      <w:pPr>
        <w:pStyle w:val="6"/>
        <w:jc w:val="both"/>
        <w:rPr>
          <w:b/>
          <w:bCs/>
        </w:rPr>
      </w:pPr>
      <w:r>
        <w:rPr>
          <w:b/>
          <w:bCs/>
        </w:rPr>
        <w:t xml:space="preserve"> </w:t>
      </w:r>
    </w:p>
    <w:p>
      <w:pPr>
        <w:pStyle w:val="6"/>
        <w:jc w:val="both"/>
        <w:rPr>
          <w:b/>
          <w:bCs/>
        </w:rPr>
      </w:pPr>
    </w:p>
    <w:p>
      <w:pPr>
        <w:pStyle w:val="6"/>
        <w:jc w:val="right"/>
        <w:rPr>
          <w:b/>
          <w:bCs/>
        </w:rPr>
      </w:pPr>
      <w:r>
        <w:rPr>
          <w:b/>
          <w:bCs/>
        </w:rPr>
        <w:t xml:space="preserve">   </w:t>
      </w:r>
    </w:p>
    <w:p>
      <w:pPr>
        <w:pStyle w:val="6"/>
        <w:jc w:val="right"/>
        <w:rPr>
          <w:rFonts w:ascii="Times New Roman" w:hAnsi="Times New Roman" w:cs="Times New Roman"/>
          <w:b/>
          <w:bCs/>
        </w:rPr>
      </w:pPr>
      <w:r>
        <w:rPr>
          <w:rFonts w:ascii="Times New Roman" w:hAnsi="Times New Roman" w:cs="Times New Roman"/>
          <w:b/>
          <w:bCs/>
        </w:rPr>
        <w:t>Martin Martaus</w:t>
      </w:r>
    </w:p>
    <w:p>
      <w:pPr>
        <w:pStyle w:val="6"/>
        <w:jc w:val="right"/>
        <w:rPr>
          <w:rFonts w:ascii="Times New Roman" w:hAnsi="Times New Roman" w:cs="Times New Roman"/>
          <w:b/>
          <w:bCs/>
        </w:rPr>
      </w:pPr>
      <w:r>
        <w:rPr>
          <w:rFonts w:ascii="Times New Roman" w:hAnsi="Times New Roman" w:cs="Times New Roman"/>
          <w:b/>
          <w:bCs/>
        </w:rPr>
        <w:t xml:space="preserve">                                                                                                 starosta obce </w:t>
      </w:r>
    </w:p>
    <w:p>
      <w:pPr>
        <w:pStyle w:val="6"/>
        <w:jc w:val="both"/>
        <w:rPr>
          <w:b/>
          <w:bCs/>
        </w:rPr>
      </w:pPr>
      <w:r>
        <w:rPr>
          <w:b/>
          <w:bCs/>
        </w:rPr>
        <w:t xml:space="preserve">                                                                                                </w:t>
      </w:r>
    </w:p>
    <w:p>
      <w:pPr>
        <w:pStyle w:val="6"/>
        <w:jc w:val="center"/>
        <w:rPr>
          <w:b/>
          <w:bCs/>
        </w:rPr>
      </w:pPr>
      <w:r>
        <w:rPr>
          <w:rFonts w:ascii="Times New Roman" w:hAnsi="Times New Roman" w:eastAsia="Calibri" w:cs="Times New Roman"/>
          <w:b/>
          <w:bCs/>
        </w:rPr>
        <w:t>OBSAH</w:t>
      </w:r>
    </w:p>
    <w:p>
      <w:pPr>
        <w:pStyle w:val="6"/>
        <w:jc w:val="both"/>
        <w:rPr>
          <w:rFonts w:ascii="Times New Roman" w:hAnsi="Times New Roman" w:eastAsia="Calibri" w:cs="Times New Roman"/>
        </w:rPr>
      </w:pPr>
      <w:r>
        <w:rPr>
          <w:rFonts w:ascii="Times New Roman" w:hAnsi="Times New Roman" w:eastAsia="Calibri" w:cs="Times New Roman"/>
        </w:rPr>
        <w:t xml:space="preserve"> </w:t>
      </w:r>
    </w:p>
    <w:p>
      <w:pPr>
        <w:pStyle w:val="8"/>
        <w:numPr>
          <w:ilvl w:val="0"/>
          <w:numId w:val="1"/>
        </w:numPr>
        <w:spacing w:line="360" w:lineRule="auto"/>
        <w:jc w:val="both"/>
        <w:rPr>
          <w:rFonts w:ascii="Times New Roman" w:hAnsi="Times New Roman" w:eastAsia="Calibri" w:cs="Times New Roman"/>
        </w:rPr>
      </w:pPr>
      <w:r>
        <w:rPr>
          <w:rFonts w:ascii="Times New Roman" w:hAnsi="Times New Roman" w:eastAsia="Calibri" w:cs="Times New Roman"/>
        </w:rPr>
        <w:t>Úvodné slovo starostu obce</w:t>
      </w:r>
    </w:p>
    <w:p>
      <w:pPr>
        <w:pStyle w:val="8"/>
        <w:numPr>
          <w:ilvl w:val="0"/>
          <w:numId w:val="1"/>
        </w:numPr>
        <w:spacing w:line="360" w:lineRule="auto"/>
        <w:jc w:val="both"/>
        <w:rPr>
          <w:rFonts w:ascii="Times New Roman" w:hAnsi="Times New Roman" w:eastAsia="Calibri" w:cs="Times New Roman"/>
        </w:rPr>
      </w:pPr>
      <w:r>
        <w:rPr>
          <w:rFonts w:ascii="Times New Roman" w:hAnsi="Times New Roman" w:eastAsia="Calibri" w:cs="Times New Roman"/>
        </w:rPr>
        <w:t>Identifikačné údaje obce</w:t>
      </w:r>
    </w:p>
    <w:p>
      <w:pPr>
        <w:pStyle w:val="8"/>
        <w:numPr>
          <w:ilvl w:val="0"/>
          <w:numId w:val="1"/>
        </w:numPr>
        <w:spacing w:line="360" w:lineRule="auto"/>
        <w:jc w:val="both"/>
        <w:rPr>
          <w:rFonts w:ascii="Times New Roman" w:hAnsi="Times New Roman" w:eastAsia="Calibri" w:cs="Times New Roman"/>
        </w:rPr>
      </w:pPr>
      <w:r>
        <w:rPr>
          <w:rFonts w:ascii="Times New Roman" w:hAnsi="Times New Roman" w:eastAsia="Calibri" w:cs="Times New Roman"/>
        </w:rPr>
        <w:t>Organizačné štruktúra obce a identifikácia vedúcich pracovníkov</w:t>
      </w:r>
    </w:p>
    <w:p>
      <w:pPr>
        <w:pStyle w:val="8"/>
        <w:numPr>
          <w:ilvl w:val="0"/>
          <w:numId w:val="1"/>
        </w:numPr>
        <w:spacing w:line="360" w:lineRule="auto"/>
        <w:jc w:val="both"/>
        <w:rPr>
          <w:rFonts w:ascii="Times New Roman" w:hAnsi="Times New Roman" w:eastAsia="Calibri" w:cs="Times New Roman"/>
        </w:rPr>
      </w:pPr>
      <w:r>
        <w:rPr>
          <w:rFonts w:ascii="Times New Roman" w:hAnsi="Times New Roman" w:eastAsia="Calibri" w:cs="Times New Roman"/>
        </w:rPr>
        <w:t>Základná Charakteristika obce</w:t>
      </w:r>
    </w:p>
    <w:p>
      <w:pPr>
        <w:pStyle w:val="8"/>
        <w:numPr>
          <w:ilvl w:val="1"/>
          <w:numId w:val="1"/>
        </w:numPr>
        <w:spacing w:line="360" w:lineRule="auto"/>
        <w:jc w:val="both"/>
        <w:rPr>
          <w:rFonts w:ascii="Times New Roman" w:hAnsi="Times New Roman" w:eastAsia="Calibri" w:cs="Times New Roman"/>
        </w:rPr>
      </w:pPr>
      <w:r>
        <w:rPr>
          <w:rFonts w:ascii="Times New Roman" w:hAnsi="Times New Roman" w:eastAsia="Calibri" w:cs="Times New Roman"/>
        </w:rPr>
        <w:t>Geografické údaje</w:t>
      </w:r>
    </w:p>
    <w:p>
      <w:pPr>
        <w:pStyle w:val="8"/>
        <w:numPr>
          <w:ilvl w:val="1"/>
          <w:numId w:val="1"/>
        </w:numPr>
        <w:spacing w:line="360" w:lineRule="auto"/>
        <w:jc w:val="both"/>
        <w:rPr>
          <w:rFonts w:ascii="Times New Roman" w:hAnsi="Times New Roman" w:eastAsia="Calibri" w:cs="Times New Roman"/>
        </w:rPr>
      </w:pPr>
      <w:r>
        <w:rPr>
          <w:rFonts w:ascii="Times New Roman" w:hAnsi="Times New Roman" w:eastAsia="Calibri" w:cs="Times New Roman"/>
        </w:rPr>
        <w:t>Demografické údaje</w:t>
      </w:r>
    </w:p>
    <w:p>
      <w:pPr>
        <w:pStyle w:val="8"/>
        <w:numPr>
          <w:ilvl w:val="1"/>
          <w:numId w:val="1"/>
        </w:numPr>
        <w:spacing w:line="360" w:lineRule="auto"/>
        <w:jc w:val="both"/>
        <w:rPr>
          <w:rFonts w:ascii="Times New Roman" w:hAnsi="Times New Roman" w:eastAsia="Calibri" w:cs="Times New Roman"/>
        </w:rPr>
      </w:pPr>
      <w:r>
        <w:rPr>
          <w:rFonts w:ascii="Times New Roman" w:hAnsi="Times New Roman" w:eastAsia="Calibri" w:cs="Times New Roman"/>
        </w:rPr>
        <w:t>Ekonomické údaje</w:t>
      </w:r>
    </w:p>
    <w:p>
      <w:pPr>
        <w:pStyle w:val="8"/>
        <w:numPr>
          <w:ilvl w:val="1"/>
          <w:numId w:val="1"/>
        </w:numPr>
        <w:spacing w:line="360" w:lineRule="auto"/>
        <w:jc w:val="both"/>
        <w:rPr>
          <w:rFonts w:ascii="Times New Roman" w:hAnsi="Times New Roman" w:eastAsia="Calibri" w:cs="Times New Roman"/>
        </w:rPr>
      </w:pPr>
      <w:r>
        <w:rPr>
          <w:rFonts w:ascii="Times New Roman" w:hAnsi="Times New Roman" w:eastAsia="Calibri" w:cs="Times New Roman"/>
        </w:rPr>
        <w:t>Symboly obce</w:t>
      </w:r>
    </w:p>
    <w:p>
      <w:pPr>
        <w:pStyle w:val="8"/>
        <w:numPr>
          <w:ilvl w:val="0"/>
          <w:numId w:val="1"/>
        </w:numPr>
        <w:spacing w:line="360" w:lineRule="auto"/>
        <w:jc w:val="both"/>
        <w:rPr>
          <w:rFonts w:ascii="Times New Roman" w:hAnsi="Times New Roman" w:eastAsia="Calibri" w:cs="Times New Roman"/>
        </w:rPr>
      </w:pPr>
      <w:r>
        <w:rPr>
          <w:rFonts w:ascii="Times New Roman" w:hAnsi="Times New Roman" w:eastAsia="Calibri" w:cs="Times New Roman"/>
        </w:rPr>
        <w:t>Plnenie úloh obce</w:t>
      </w:r>
    </w:p>
    <w:p>
      <w:pPr>
        <w:pStyle w:val="8"/>
        <w:numPr>
          <w:ilvl w:val="0"/>
          <w:numId w:val="1"/>
        </w:numPr>
        <w:spacing w:line="360" w:lineRule="auto"/>
        <w:jc w:val="both"/>
        <w:rPr>
          <w:rFonts w:ascii="Times New Roman" w:hAnsi="Times New Roman" w:eastAsia="Calibri" w:cs="Times New Roman"/>
        </w:rPr>
      </w:pPr>
      <w:r>
        <w:rPr>
          <w:rFonts w:ascii="Times New Roman" w:hAnsi="Times New Roman" w:eastAsia="Calibri" w:cs="Times New Roman"/>
        </w:rPr>
        <w:t>Informácie o vývoji obce z pohľadu rozpočtovníctva</w:t>
      </w:r>
    </w:p>
    <w:p>
      <w:pPr>
        <w:pStyle w:val="8"/>
        <w:numPr>
          <w:ilvl w:val="1"/>
          <w:numId w:val="1"/>
        </w:numPr>
        <w:spacing w:line="360" w:lineRule="auto"/>
        <w:jc w:val="both"/>
        <w:rPr>
          <w:rFonts w:ascii="Times New Roman" w:hAnsi="Times New Roman" w:eastAsia="Calibri" w:cs="Times New Roman"/>
        </w:rPr>
      </w:pPr>
      <w:r>
        <w:rPr>
          <w:rFonts w:ascii="Times New Roman" w:hAnsi="Times New Roman" w:eastAsia="Calibri" w:cs="Times New Roman"/>
        </w:rPr>
        <w:t>Plnenie príjmov za rok 2022</w:t>
      </w:r>
    </w:p>
    <w:p>
      <w:pPr>
        <w:pStyle w:val="8"/>
        <w:numPr>
          <w:ilvl w:val="1"/>
          <w:numId w:val="1"/>
        </w:numPr>
        <w:spacing w:line="360" w:lineRule="auto"/>
        <w:jc w:val="both"/>
        <w:rPr>
          <w:rFonts w:ascii="Times New Roman" w:hAnsi="Times New Roman" w:eastAsia="Calibri" w:cs="Times New Roman"/>
        </w:rPr>
      </w:pPr>
      <w:r>
        <w:rPr>
          <w:rFonts w:ascii="Times New Roman" w:hAnsi="Times New Roman" w:eastAsia="Calibri" w:cs="Times New Roman"/>
        </w:rPr>
        <w:t>Plnenie výdavkov za rok 2022</w:t>
      </w:r>
    </w:p>
    <w:p>
      <w:pPr>
        <w:pStyle w:val="6"/>
        <w:jc w:val="both"/>
        <w:rPr>
          <w:rFonts w:ascii="Times New Roman" w:hAnsi="Times New Roman" w:eastAsia="Calibri" w:cs="Times New Roman"/>
        </w:rPr>
      </w:pPr>
      <w:r>
        <w:rPr>
          <w:rFonts w:ascii="Times New Roman" w:hAnsi="Times New Roman" w:eastAsia="Calibri" w:cs="Times New Roman"/>
        </w:rPr>
        <w:t>6.3. Prebytok/schodok rozpočtového hospodárenia za rok 2022</w:t>
      </w:r>
    </w:p>
    <w:p>
      <w:pPr>
        <w:pStyle w:val="6"/>
        <w:jc w:val="both"/>
        <w:rPr>
          <w:rFonts w:ascii="Times New Roman" w:hAnsi="Times New Roman" w:eastAsia="Calibri" w:cs="Times New Roman"/>
        </w:rPr>
      </w:pPr>
      <w:r>
        <w:rPr>
          <w:rFonts w:ascii="Times New Roman" w:hAnsi="Times New Roman" w:eastAsia="Calibri" w:cs="Times New Roman"/>
        </w:rPr>
        <w:t>7.   Informácie o vývoji obce z pohľadu účtovníctva</w:t>
      </w:r>
    </w:p>
    <w:p>
      <w:pPr>
        <w:pStyle w:val="6"/>
        <w:jc w:val="both"/>
        <w:rPr>
          <w:rFonts w:ascii="Times New Roman" w:hAnsi="Times New Roman" w:eastAsia="Calibri" w:cs="Times New Roman"/>
        </w:rPr>
      </w:pPr>
      <w:r>
        <w:rPr>
          <w:rFonts w:ascii="Times New Roman" w:hAnsi="Times New Roman" w:eastAsia="Calibri" w:cs="Times New Roman"/>
        </w:rPr>
        <w:t xml:space="preserve">       7.1. Majetok</w:t>
      </w:r>
    </w:p>
    <w:p>
      <w:pPr>
        <w:pStyle w:val="6"/>
        <w:jc w:val="both"/>
        <w:rPr>
          <w:rFonts w:ascii="Times New Roman" w:hAnsi="Times New Roman" w:eastAsia="Calibri" w:cs="Times New Roman"/>
        </w:rPr>
      </w:pPr>
      <w:r>
        <w:rPr>
          <w:rFonts w:ascii="Times New Roman" w:hAnsi="Times New Roman" w:eastAsia="Calibri" w:cs="Times New Roman"/>
        </w:rPr>
        <w:t xml:space="preserve">       7.2. Zdroje krytia </w:t>
      </w:r>
    </w:p>
    <w:p>
      <w:pPr>
        <w:pStyle w:val="6"/>
        <w:jc w:val="both"/>
        <w:rPr>
          <w:rFonts w:ascii="Times New Roman" w:hAnsi="Times New Roman" w:eastAsia="Calibri" w:cs="Times New Roman"/>
        </w:rPr>
      </w:pPr>
      <w:r>
        <w:rPr>
          <w:rFonts w:ascii="Times New Roman" w:hAnsi="Times New Roman" w:eastAsia="Calibri" w:cs="Times New Roman"/>
        </w:rPr>
        <w:t xml:space="preserve">       7.3. Pohľadávky</w:t>
      </w:r>
    </w:p>
    <w:p>
      <w:pPr>
        <w:pStyle w:val="6"/>
        <w:jc w:val="both"/>
        <w:rPr>
          <w:rFonts w:ascii="Times New Roman" w:hAnsi="Times New Roman" w:eastAsia="Calibri" w:cs="Times New Roman"/>
        </w:rPr>
      </w:pPr>
      <w:r>
        <w:rPr>
          <w:rFonts w:ascii="Times New Roman" w:hAnsi="Times New Roman" w:eastAsia="Calibri" w:cs="Times New Roman"/>
        </w:rPr>
        <w:t xml:space="preserve">       7.4. Záväzky</w:t>
      </w:r>
    </w:p>
    <w:p>
      <w:pPr>
        <w:pStyle w:val="6"/>
        <w:jc w:val="both"/>
        <w:rPr>
          <w:rFonts w:ascii="Times New Roman" w:hAnsi="Times New Roman" w:eastAsia="Calibri" w:cs="Times New Roman"/>
        </w:rPr>
      </w:pPr>
      <w:r>
        <w:rPr>
          <w:rFonts w:ascii="Times New Roman" w:hAnsi="Times New Roman" w:eastAsia="Calibri" w:cs="Times New Roman"/>
        </w:rPr>
        <w:t>8.   Tvorba a použitie peňažných fondov a iných fondov</w:t>
      </w:r>
    </w:p>
    <w:p>
      <w:pPr>
        <w:pStyle w:val="6"/>
        <w:jc w:val="both"/>
        <w:rPr>
          <w:rFonts w:ascii="Times New Roman" w:hAnsi="Times New Roman" w:eastAsia="Calibri" w:cs="Times New Roman"/>
        </w:rPr>
      </w:pPr>
      <w:r>
        <w:rPr>
          <w:rFonts w:ascii="Times New Roman" w:hAnsi="Times New Roman" w:eastAsia="Calibri" w:cs="Times New Roman"/>
        </w:rPr>
        <w:t>9.    Hospodársky výsledok za rok 2022 – vývoj nákladov  a výnosov</w:t>
      </w:r>
    </w:p>
    <w:p>
      <w:pPr>
        <w:pStyle w:val="6"/>
        <w:jc w:val="both"/>
        <w:rPr>
          <w:rFonts w:ascii="Times New Roman" w:hAnsi="Times New Roman" w:eastAsia="Calibri" w:cs="Times New Roman"/>
        </w:rPr>
      </w:pPr>
      <w:r>
        <w:rPr>
          <w:rFonts w:ascii="Times New Roman" w:hAnsi="Times New Roman" w:eastAsia="Calibri" w:cs="Times New Roman"/>
        </w:rPr>
        <w:t>10.  Ostatné dôležité informácie</w:t>
      </w:r>
    </w:p>
    <w:p>
      <w:pPr>
        <w:pStyle w:val="6"/>
        <w:jc w:val="both"/>
        <w:rPr>
          <w:rFonts w:ascii="Times New Roman" w:hAnsi="Times New Roman" w:eastAsia="Calibri" w:cs="Times New Roman"/>
        </w:rPr>
      </w:pPr>
      <w:r>
        <w:rPr>
          <w:rFonts w:ascii="Times New Roman" w:hAnsi="Times New Roman" w:eastAsia="Calibri" w:cs="Times New Roman"/>
        </w:rPr>
        <w:t xml:space="preserve">       10.1. Prijaté granty a transfery</w:t>
      </w:r>
    </w:p>
    <w:p>
      <w:pPr>
        <w:pStyle w:val="6"/>
        <w:jc w:val="both"/>
        <w:rPr>
          <w:rFonts w:ascii="Times New Roman" w:hAnsi="Times New Roman" w:eastAsia="Calibri" w:cs="Times New Roman"/>
        </w:rPr>
      </w:pPr>
      <w:r>
        <w:rPr>
          <w:rFonts w:ascii="Times New Roman" w:hAnsi="Times New Roman" w:eastAsia="Calibri" w:cs="Times New Roman"/>
        </w:rPr>
        <w:t xml:space="preserve">       10.2. Poskytnuté dotácie</w:t>
      </w:r>
    </w:p>
    <w:p>
      <w:pPr>
        <w:pStyle w:val="6"/>
        <w:jc w:val="both"/>
        <w:rPr>
          <w:rFonts w:ascii="Times New Roman" w:hAnsi="Times New Roman" w:eastAsia="Calibri" w:cs="Times New Roman"/>
        </w:rPr>
      </w:pPr>
      <w:r>
        <w:rPr>
          <w:rFonts w:ascii="Times New Roman" w:hAnsi="Times New Roman" w:eastAsia="Calibri" w:cs="Times New Roman"/>
        </w:rPr>
        <w:t xml:space="preserve">       10.3. Významné investičné akcie v roku 2022</w:t>
      </w:r>
    </w:p>
    <w:p>
      <w:pPr>
        <w:pStyle w:val="6"/>
        <w:jc w:val="both"/>
        <w:rPr>
          <w:rFonts w:ascii="Times New Roman" w:hAnsi="Times New Roman" w:eastAsia="Calibri" w:cs="Times New Roman"/>
        </w:rPr>
      </w:pPr>
      <w:r>
        <w:rPr>
          <w:rFonts w:ascii="Times New Roman" w:hAnsi="Times New Roman" w:eastAsia="Calibri" w:cs="Times New Roman"/>
        </w:rPr>
        <w:t xml:space="preserve">       10.4.  Predpokladaný budúci vývoj činností</w:t>
      </w:r>
    </w:p>
    <w:p>
      <w:pPr>
        <w:pStyle w:val="6"/>
        <w:jc w:val="both"/>
        <w:rPr>
          <w:rFonts w:ascii="Times New Roman" w:hAnsi="Times New Roman" w:eastAsia="Calibri" w:cs="Times New Roman"/>
        </w:rPr>
      </w:pPr>
      <w:r>
        <w:rPr>
          <w:rFonts w:ascii="Times New Roman" w:hAnsi="Times New Roman" w:eastAsia="Calibri" w:cs="Times New Roman"/>
        </w:rPr>
        <w:t xml:space="preserve">       10.5.  Udalosti osobitného významu po ukončení účtovného obdobia</w:t>
      </w:r>
    </w:p>
    <w:p>
      <w:pPr>
        <w:pStyle w:val="6"/>
        <w:jc w:val="both"/>
        <w:rPr>
          <w:rFonts w:ascii="Times New Roman" w:hAnsi="Times New Roman" w:eastAsia="Calibri" w:cs="Times New Roman"/>
        </w:rPr>
      </w:pPr>
      <w:r>
        <w:rPr>
          <w:rFonts w:ascii="Times New Roman" w:hAnsi="Times New Roman" w:eastAsia="Calibri" w:cs="Times New Roman"/>
        </w:rPr>
        <w:t xml:space="preserve">       10.6.  Významné riziká a neistoty , ktorým je účtovná jednotka vystavená       </w:t>
      </w:r>
    </w:p>
    <w:p>
      <w:pPr>
        <w:pStyle w:val="6"/>
        <w:jc w:val="both"/>
        <w:rPr>
          <w:rFonts w:ascii="Times New Roman" w:hAnsi="Times New Roman" w:eastAsia="Calibri" w:cs="Times New Roman"/>
          <w:b/>
          <w:bCs/>
        </w:rPr>
      </w:pPr>
      <w:r>
        <w:rPr>
          <w:rFonts w:ascii="Times New Roman" w:hAnsi="Times New Roman" w:eastAsia="Calibri" w:cs="Times New Roman"/>
          <w:b/>
          <w:bCs/>
        </w:rPr>
        <w:t xml:space="preserve"> </w:t>
      </w:r>
    </w:p>
    <w:p>
      <w:pPr>
        <w:pStyle w:val="6"/>
        <w:jc w:val="both"/>
        <w:rPr>
          <w:b/>
          <w:bCs/>
        </w:rPr>
      </w:pPr>
      <w:r>
        <w:rPr>
          <w:b/>
          <w:bCs/>
        </w:rPr>
        <w:t xml:space="preserve"> </w:t>
      </w:r>
    </w:p>
    <w:p>
      <w:pPr>
        <w:pStyle w:val="6"/>
        <w:jc w:val="both"/>
        <w:rPr>
          <w:b/>
          <w:bCs/>
        </w:rPr>
      </w:pPr>
      <w:r>
        <w:rPr>
          <w:b/>
          <w:bCs/>
        </w:rPr>
        <w:t xml:space="preserve"> </w:t>
      </w:r>
    </w:p>
    <w:p>
      <w:pPr>
        <w:pStyle w:val="6"/>
        <w:jc w:val="both"/>
        <w:rPr>
          <w:b/>
          <w:bCs/>
        </w:rPr>
      </w:pPr>
      <w:r>
        <w:rPr>
          <w:b/>
          <w:bCs/>
        </w:rPr>
        <w:t xml:space="preserve"> </w:t>
      </w:r>
    </w:p>
    <w:p>
      <w:pPr>
        <w:pStyle w:val="6"/>
        <w:jc w:val="both"/>
        <w:rPr>
          <w:b/>
          <w:bCs/>
        </w:rPr>
      </w:pPr>
      <w:r>
        <w:rPr>
          <w:b/>
          <w:bCs/>
        </w:rPr>
        <w:t xml:space="preserve"> </w:t>
      </w:r>
    </w:p>
    <w:p>
      <w:pPr>
        <w:pStyle w:val="6"/>
        <w:jc w:val="both"/>
        <w:rPr>
          <w:b/>
          <w:bCs/>
        </w:rPr>
      </w:pPr>
      <w:r>
        <w:rPr>
          <w:b/>
          <w:bCs/>
        </w:rPr>
        <w:t xml:space="preserve"> </w:t>
      </w:r>
    </w:p>
    <w:p>
      <w:pPr>
        <w:pStyle w:val="6"/>
        <w:jc w:val="both"/>
        <w:rPr>
          <w:b/>
          <w:bCs/>
        </w:rPr>
      </w:pPr>
      <w:r>
        <w:rPr>
          <w:b/>
          <w:bCs/>
        </w:rPr>
        <w:t xml:space="preserve"> </w:t>
      </w:r>
    </w:p>
    <w:p>
      <w:pPr>
        <w:pStyle w:val="6"/>
        <w:jc w:val="both"/>
        <w:rPr>
          <w:b/>
          <w:bCs/>
        </w:rPr>
      </w:pPr>
      <w:r>
        <w:rPr>
          <w:b/>
          <w:bCs/>
        </w:rPr>
        <w:t xml:space="preserve"> </w:t>
      </w:r>
    </w:p>
    <w:p>
      <w:pPr>
        <w:pStyle w:val="6"/>
        <w:jc w:val="both"/>
        <w:rPr>
          <w:b/>
          <w:bCs/>
        </w:rPr>
      </w:pPr>
      <w:r>
        <w:rPr>
          <w:b/>
          <w:bCs/>
        </w:rPr>
        <w:t xml:space="preserve"> </w:t>
      </w:r>
    </w:p>
    <w:p>
      <w:pPr>
        <w:pStyle w:val="6"/>
        <w:jc w:val="both"/>
        <w:rPr>
          <w:b/>
          <w:bCs/>
        </w:rPr>
      </w:pPr>
      <w:r>
        <w:rPr>
          <w:b/>
          <w:bCs/>
        </w:rPr>
        <w:t xml:space="preserve"> </w:t>
      </w:r>
    </w:p>
    <w:p>
      <w:pPr>
        <w:pStyle w:val="6"/>
        <w:jc w:val="both"/>
        <w:rPr>
          <w:b/>
          <w:bCs/>
        </w:rPr>
      </w:pPr>
      <w:r>
        <w:rPr>
          <w:b/>
          <w:bCs/>
        </w:rPr>
        <w:t xml:space="preserve"> </w:t>
      </w:r>
    </w:p>
    <w:p>
      <w:pPr>
        <w:pStyle w:val="6"/>
        <w:jc w:val="both"/>
        <w:rPr>
          <w:b/>
          <w:bCs/>
        </w:rPr>
      </w:pPr>
      <w:r>
        <w:rPr>
          <w:b/>
          <w:bCs/>
        </w:rPr>
        <w:t xml:space="preserve"> </w:t>
      </w:r>
    </w:p>
    <w:p>
      <w:pPr>
        <w:pStyle w:val="6"/>
        <w:jc w:val="both"/>
        <w:rPr>
          <w:b/>
          <w:bCs/>
        </w:rPr>
      </w:pPr>
    </w:p>
    <w:p>
      <w:pPr>
        <w:pStyle w:val="6"/>
        <w:jc w:val="both"/>
        <w:rPr>
          <w:b/>
          <w:bCs/>
        </w:rPr>
      </w:pPr>
    </w:p>
    <w:p>
      <w:pPr>
        <w:pStyle w:val="6"/>
        <w:jc w:val="both"/>
        <w:rPr>
          <w:b/>
          <w:bCs/>
        </w:rPr>
      </w:pPr>
    </w:p>
    <w:p>
      <w:pPr>
        <w:pStyle w:val="6"/>
        <w:jc w:val="both"/>
        <w:rPr>
          <w:b/>
          <w:bCs/>
        </w:rPr>
      </w:pPr>
    </w:p>
    <w:p>
      <w:pPr>
        <w:pStyle w:val="6"/>
        <w:jc w:val="both"/>
        <w:rPr>
          <w:b/>
          <w:bCs/>
        </w:rPr>
      </w:pPr>
    </w:p>
    <w:p>
      <w:pPr>
        <w:pStyle w:val="6"/>
        <w:jc w:val="both"/>
        <w:rPr>
          <w:b/>
          <w:bCs/>
        </w:rPr>
      </w:pPr>
    </w:p>
    <w:p>
      <w:pPr>
        <w:pStyle w:val="6"/>
        <w:jc w:val="both"/>
        <w:rPr>
          <w:b/>
          <w:bCs/>
        </w:rPr>
      </w:pPr>
    </w:p>
    <w:p>
      <w:pPr>
        <w:pStyle w:val="6"/>
        <w:jc w:val="both"/>
        <w:rPr>
          <w:b/>
          <w:bCs/>
        </w:rPr>
      </w:pPr>
    </w:p>
    <w:p>
      <w:pPr>
        <w:pStyle w:val="6"/>
        <w:jc w:val="both"/>
        <w:rPr>
          <w:b/>
          <w:bCs/>
        </w:rPr>
      </w:pPr>
    </w:p>
    <w:p>
      <w:pPr>
        <w:pStyle w:val="6"/>
        <w:jc w:val="both"/>
        <w:rPr>
          <w:b/>
          <w:bCs/>
        </w:rPr>
      </w:pPr>
      <w:r>
        <w:rPr>
          <w:b/>
          <w:bCs/>
        </w:rPr>
        <w:t xml:space="preserve"> </w:t>
      </w:r>
    </w:p>
    <w:p>
      <w:pPr>
        <w:pStyle w:val="8"/>
        <w:numPr>
          <w:ilvl w:val="0"/>
          <w:numId w:val="2"/>
        </w:numPr>
        <w:jc w:val="both"/>
        <w:rPr>
          <w:rFonts w:ascii="Times New Roman" w:hAnsi="Times New Roman" w:eastAsia="Calibri" w:cs="Times New Roman"/>
          <w:b/>
          <w:bCs/>
        </w:rPr>
      </w:pPr>
      <w:r>
        <w:rPr>
          <w:rFonts w:ascii="Times New Roman" w:hAnsi="Times New Roman" w:eastAsia="Calibri" w:cs="Times New Roman"/>
          <w:b/>
          <w:bCs/>
        </w:rPr>
        <w:t xml:space="preserve">Úvodné slovo starostu obce </w:t>
      </w:r>
    </w:p>
    <w:p>
      <w:pPr>
        <w:pStyle w:val="6"/>
        <w:spacing w:line="360" w:lineRule="auto"/>
        <w:jc w:val="both"/>
        <w:rPr>
          <w:rFonts w:ascii="Times New Roman" w:hAnsi="Times New Roman" w:eastAsia="Calibri" w:cs="Times New Roman"/>
        </w:rPr>
      </w:pPr>
      <w:r>
        <w:rPr>
          <w:rFonts w:ascii="Times New Roman" w:hAnsi="Times New Roman" w:eastAsia="Calibri" w:cs="Times New Roman"/>
        </w:rPr>
        <w:t xml:space="preserve">Vážení spoluobčania,  </w:t>
      </w:r>
    </w:p>
    <w:p>
      <w:pPr>
        <w:pStyle w:val="6"/>
        <w:spacing w:line="360" w:lineRule="auto"/>
        <w:jc w:val="both"/>
        <w:rPr>
          <w:rFonts w:ascii="Times New Roman" w:hAnsi="Times New Roman" w:eastAsia="Calibri" w:cs="Times New Roman"/>
        </w:rPr>
      </w:pPr>
      <w:r>
        <w:rPr>
          <w:rFonts w:ascii="Times New Roman" w:hAnsi="Times New Roman" w:eastAsia="Calibri" w:cs="Times New Roman"/>
        </w:rPr>
        <w:t xml:space="preserve">dostáva sa Vám do rúk výročná správa so štandardnou štruktúrou o stave a hospodárení obce Hendrichovce, vypracovaná v zmysle zákona č. 431/2002 Z. z. o účtovníctve a v znení neskorších predpisov. </w:t>
      </w:r>
    </w:p>
    <w:p>
      <w:pPr>
        <w:pStyle w:val="6"/>
        <w:spacing w:line="360" w:lineRule="auto"/>
        <w:jc w:val="both"/>
        <w:rPr>
          <w:rFonts w:ascii="Times New Roman" w:hAnsi="Times New Roman" w:eastAsia="Calibri" w:cs="Times New Roman"/>
          <w:color w:val="000000"/>
        </w:rPr>
      </w:pPr>
      <w:r>
        <w:rPr>
          <w:rFonts w:ascii="Times New Roman" w:hAnsi="Times New Roman" w:eastAsia="Calibri" w:cs="Times New Roman"/>
        </w:rPr>
        <w:t>Obec Hendrichovce plnila v sledovanom roku úlohy, ktoré jej vyplývajú z ustanovení zákona č. 369/1990 Zb. o obecnom zriadení v znení neskorších predpisov a doplnkov, Ústavy Slovenskej republiky a ďalších zákonov a ustanovení, ktorými sa obec riadi pri zabezpečovaní plnenia základných funkcií samosprávy, ako i plnení kompetencií vyplývajúcich z preneseného výkonu štátnej správy. Výročná správa podrobne opisuje stav a činnosti vykonávané obcou a verne zachytáva stav hospodárenia obce pri zabezpečovaní základných činností a uspokojovania potrieb občanov. Tak ako po uplynulé roky, tak aj v roku 2020 sme zodpovedne riešili potreby každého občana, hospodárne a efektívne vynakladali finančné prostriedky na rozvoj a zveľaďovanie našej obce. Vďaka patrí všetkým občanom, poslancom obecného zastupiteľstva, podnikateľom a iným subjektom, ktorí sa akýmkoľvek spôsobom pričinili k napredovaniu a zveľaďovaniu našej obce.</w:t>
      </w:r>
    </w:p>
    <w:p>
      <w:pPr>
        <w:pStyle w:val="6"/>
        <w:spacing w:line="360" w:lineRule="auto"/>
        <w:jc w:val="both"/>
        <w:rPr>
          <w:rFonts w:ascii="Times New Roman" w:hAnsi="Times New Roman" w:eastAsia="Calibri" w:cs="Times New Roman"/>
          <w:color w:val="000000"/>
        </w:rPr>
      </w:pPr>
      <w:r>
        <w:rPr>
          <w:rFonts w:ascii="Times New Roman" w:hAnsi="Times New Roman" w:eastAsia="Calibri" w:cs="Times New Roman"/>
          <w:color w:val="000000"/>
        </w:rPr>
        <w:t xml:space="preserve">Vážení občania, platí staré a veľmi potvrdené pravidlo, peňazí nie je a nebude dosť na všetko, čo treba v reálnom čase zabezpečiť, zmeniť, opraviť, vybudovať, skvalitniť. Tak, ako každý starosta, aj ja sa snažím svojou prácou budovať pozitívny imidž zdravej a perspektívnej obce so zvyšujúcou sa kvalitou života obyvateľov. Posúdiť kvalitu odvedenej práce však samozrejme môžu najlepšie iba občania. V posledných rokoch spoločenská, ekonomická a sociálna situácia prináša každodenne veľa problémov. Zmierniť túto situáciu môžeme, ak si budeme navzájom pomáhať, vychádzať si v ústrety, samozrejme v rámci svojich možností a schopností, aby sme vytvorili pekné, pokojné a šťastné podmienky pre život v našej obci. Verím, že pred sebou máme ešte mnoho výziev, ktoré nás čakajú. S každou situáciou sa musíme vedieť popasovať a určite to zvládneme spoločnými silami. Obec je vizitka nás všetkých . Buďme jeden voči druhému milí, láskaví, starostliví. </w:t>
      </w:r>
      <w:r>
        <w:t xml:space="preserve"> </w:t>
      </w:r>
    </w:p>
    <w:p>
      <w:pPr>
        <w:pStyle w:val="6"/>
        <w:jc w:val="both"/>
        <w:rPr>
          <w:rFonts w:ascii="Times New Roman" w:hAnsi="Times New Roman" w:eastAsia="Calibri" w:cs="Times New Roman"/>
        </w:rPr>
      </w:pPr>
      <w:r>
        <w:rPr>
          <w:rFonts w:ascii="Times New Roman" w:hAnsi="Times New Roman" w:eastAsia="Calibri" w:cs="Times New Roman"/>
          <w:b/>
          <w:bCs/>
        </w:rPr>
        <w:t xml:space="preserve">2.Identifikačné údaje obce    </w:t>
      </w:r>
      <w:r>
        <w:rPr>
          <w:rFonts w:ascii="Times New Roman" w:hAnsi="Times New Roman" w:eastAsia="Calibri" w:cs="Times New Roman"/>
        </w:rPr>
        <w:t xml:space="preserve"> </w:t>
      </w:r>
    </w:p>
    <w:p>
      <w:pPr>
        <w:pStyle w:val="6"/>
        <w:jc w:val="both"/>
        <w:rPr>
          <w:rFonts w:ascii="Times New Roman" w:hAnsi="Times New Roman" w:eastAsia="Calibri" w:cs="Times New Roman"/>
        </w:rPr>
      </w:pPr>
      <w:r>
        <w:rPr>
          <w:rFonts w:ascii="Times New Roman" w:hAnsi="Times New Roman" w:eastAsia="Calibri" w:cs="Times New Roman"/>
        </w:rPr>
        <w:t xml:space="preserve">Názov: Obec Hendrichovce </w:t>
      </w:r>
    </w:p>
    <w:p>
      <w:pPr>
        <w:pStyle w:val="6"/>
        <w:jc w:val="both"/>
        <w:rPr>
          <w:rFonts w:ascii="Times New Roman" w:hAnsi="Times New Roman" w:eastAsia="Calibri" w:cs="Times New Roman"/>
        </w:rPr>
      </w:pPr>
      <w:r>
        <w:rPr>
          <w:rFonts w:ascii="Times New Roman" w:hAnsi="Times New Roman" w:eastAsia="Calibri" w:cs="Times New Roman"/>
        </w:rPr>
        <w:t xml:space="preserve">adresa pre poštový styk: Hendrichovce 19, 082 35 Hendrichovce </w:t>
      </w:r>
    </w:p>
    <w:p>
      <w:pPr>
        <w:pStyle w:val="6"/>
        <w:jc w:val="both"/>
        <w:rPr>
          <w:rFonts w:ascii="Times New Roman" w:hAnsi="Times New Roman" w:eastAsia="Calibri" w:cs="Times New Roman"/>
        </w:rPr>
      </w:pPr>
      <w:r>
        <w:rPr>
          <w:rFonts w:ascii="Times New Roman" w:hAnsi="Times New Roman" w:eastAsia="Calibri" w:cs="Times New Roman"/>
        </w:rPr>
        <w:t xml:space="preserve">Okres: Prešov </w:t>
      </w:r>
    </w:p>
    <w:p>
      <w:pPr>
        <w:pStyle w:val="6"/>
        <w:jc w:val="both"/>
        <w:rPr>
          <w:rFonts w:ascii="Times New Roman" w:hAnsi="Times New Roman" w:eastAsia="Calibri" w:cs="Times New Roman"/>
        </w:rPr>
      </w:pPr>
      <w:r>
        <w:rPr>
          <w:rFonts w:ascii="Times New Roman" w:hAnsi="Times New Roman" w:eastAsia="Calibri" w:cs="Times New Roman"/>
        </w:rPr>
        <w:t xml:space="preserve">Tel. a fax: 051/779 51 07 </w:t>
      </w:r>
    </w:p>
    <w:p>
      <w:pPr>
        <w:pStyle w:val="6"/>
        <w:jc w:val="both"/>
        <w:rPr>
          <w:rFonts w:ascii="Times New Roman" w:hAnsi="Times New Roman" w:eastAsia="Calibri" w:cs="Times New Roman"/>
        </w:rPr>
      </w:pPr>
      <w:r>
        <w:rPr>
          <w:rFonts w:ascii="Times New Roman" w:hAnsi="Times New Roman" w:eastAsia="Calibri" w:cs="Times New Roman"/>
        </w:rPr>
        <w:t xml:space="preserve">e-mail: </w:t>
      </w:r>
      <w:r>
        <w:fldChar w:fldCharType="begin"/>
      </w:r>
      <w:r>
        <w:instrText xml:space="preserve"> HYPERLINK "mailto:obec@hendrichovce.sk" </w:instrText>
      </w:r>
      <w:r>
        <w:fldChar w:fldCharType="separate"/>
      </w:r>
      <w:r>
        <w:rPr>
          <w:rStyle w:val="13"/>
          <w:rFonts w:ascii="Times New Roman" w:hAnsi="Times New Roman" w:eastAsia="Calibri" w:cs="Times New Roman"/>
        </w:rPr>
        <w:t>obec@hendrichovce.sk</w:t>
      </w:r>
      <w:r>
        <w:rPr>
          <w:rStyle w:val="13"/>
          <w:rFonts w:ascii="Times New Roman" w:hAnsi="Times New Roman" w:eastAsia="Calibri" w:cs="Times New Roman"/>
        </w:rPr>
        <w:fldChar w:fldCharType="end"/>
      </w:r>
      <w:r>
        <w:rPr>
          <w:rFonts w:ascii="Times New Roman" w:hAnsi="Times New Roman" w:eastAsia="Calibri" w:cs="Times New Roman"/>
        </w:rPr>
        <w:t xml:space="preserve"> </w:t>
      </w:r>
    </w:p>
    <w:p>
      <w:pPr>
        <w:pStyle w:val="6"/>
        <w:jc w:val="both"/>
        <w:rPr>
          <w:rFonts w:ascii="Times New Roman" w:hAnsi="Times New Roman" w:eastAsia="Calibri" w:cs="Times New Roman"/>
        </w:rPr>
      </w:pPr>
      <w:r>
        <w:rPr>
          <w:rFonts w:ascii="Times New Roman" w:hAnsi="Times New Roman" w:eastAsia="Calibri" w:cs="Times New Roman"/>
        </w:rPr>
        <w:t xml:space="preserve">web: </w:t>
      </w:r>
      <w:r>
        <w:fldChar w:fldCharType="begin"/>
      </w:r>
      <w:r>
        <w:instrText xml:space="preserve"> HYPERLINK "http://www.hendrichovce.sk/" </w:instrText>
      </w:r>
      <w:r>
        <w:fldChar w:fldCharType="separate"/>
      </w:r>
      <w:r>
        <w:rPr>
          <w:rStyle w:val="13"/>
          <w:rFonts w:ascii="Times New Roman" w:hAnsi="Times New Roman" w:eastAsia="Calibri" w:cs="Times New Roman"/>
        </w:rPr>
        <w:t>http://www.hendrichovce.sk/</w:t>
      </w:r>
      <w:r>
        <w:rPr>
          <w:rStyle w:val="13"/>
          <w:rFonts w:ascii="Times New Roman" w:hAnsi="Times New Roman" w:eastAsia="Calibri" w:cs="Times New Roman"/>
        </w:rPr>
        <w:fldChar w:fldCharType="end"/>
      </w:r>
    </w:p>
    <w:p>
      <w:pPr>
        <w:pStyle w:val="6"/>
        <w:jc w:val="both"/>
        <w:rPr>
          <w:rFonts w:ascii="Times New Roman" w:hAnsi="Times New Roman" w:eastAsia="Calibri" w:cs="Times New Roman"/>
        </w:rPr>
      </w:pPr>
      <w:r>
        <w:rPr>
          <w:rFonts w:ascii="Times New Roman" w:hAnsi="Times New Roman" w:eastAsia="Calibri" w:cs="Times New Roman"/>
        </w:rPr>
        <w:t xml:space="preserve">IČO: 00327077 </w:t>
      </w:r>
    </w:p>
    <w:p>
      <w:pPr>
        <w:pStyle w:val="6"/>
        <w:spacing w:line="360" w:lineRule="auto"/>
        <w:jc w:val="both"/>
        <w:rPr>
          <w:rFonts w:ascii="Times New Roman" w:hAnsi="Times New Roman" w:eastAsia="Calibri" w:cs="Times New Roman"/>
        </w:rPr>
      </w:pPr>
      <w:r>
        <w:rPr>
          <w:rFonts w:ascii="Times New Roman" w:hAnsi="Times New Roman" w:eastAsia="Calibri" w:cs="Times New Roman"/>
        </w:rPr>
        <w:t xml:space="preserve">Právna forma: právnická osoba Deň vzniku: Obec ako samostatný územný samosprávny a správny celok sa riadi zákonom č. 369/1990 Zb. o obecnom zriadení v znení neskorších zmien a doplnkov a Ústavou SR </w:t>
      </w:r>
    </w:p>
    <w:p>
      <w:pPr>
        <w:pStyle w:val="6"/>
        <w:jc w:val="both"/>
        <w:rPr>
          <w:rFonts w:ascii="Times New Roman" w:hAnsi="Times New Roman" w:eastAsia="Calibri" w:cs="Times New Roman"/>
        </w:rPr>
      </w:pPr>
      <w:r>
        <w:rPr>
          <w:rFonts w:ascii="Times New Roman" w:hAnsi="Times New Roman" w:eastAsia="Calibri" w:cs="Times New Roman"/>
        </w:rPr>
        <w:t>Rozloha obce: 422 ha</w:t>
      </w:r>
    </w:p>
    <w:p>
      <w:pPr>
        <w:pStyle w:val="6"/>
        <w:jc w:val="both"/>
        <w:rPr>
          <w:rFonts w:ascii="Times New Roman" w:hAnsi="Times New Roman" w:eastAsia="Calibri" w:cs="Times New Roman"/>
          <w:b/>
          <w:bCs/>
        </w:rPr>
      </w:pPr>
      <w:r>
        <w:rPr>
          <w:rFonts w:ascii="Times New Roman" w:hAnsi="Times New Roman" w:eastAsia="Calibri" w:cs="Times New Roman"/>
          <w:b/>
          <w:bCs/>
        </w:rPr>
        <w:t xml:space="preserve">3.Organizačné štruktúra obce   </w:t>
      </w:r>
    </w:p>
    <w:p>
      <w:pPr>
        <w:pStyle w:val="6"/>
        <w:jc w:val="both"/>
        <w:rPr>
          <w:rFonts w:ascii="Times New Roman" w:hAnsi="Times New Roman" w:eastAsia="Calibri" w:cs="Times New Roman"/>
        </w:rPr>
      </w:pPr>
      <w:r>
        <w:rPr>
          <w:rFonts w:ascii="Times New Roman" w:hAnsi="Times New Roman" w:eastAsia="Calibri" w:cs="Times New Roman"/>
        </w:rPr>
        <w:t xml:space="preserve">Starosta obce: Martin Martaus </w:t>
      </w:r>
    </w:p>
    <w:p>
      <w:pPr>
        <w:pStyle w:val="6"/>
        <w:jc w:val="both"/>
        <w:rPr>
          <w:rFonts w:ascii="Times New Roman" w:hAnsi="Times New Roman" w:eastAsia="Calibri" w:cs="Times New Roman"/>
        </w:rPr>
      </w:pPr>
      <w:r>
        <w:rPr>
          <w:rFonts w:ascii="Times New Roman" w:hAnsi="Times New Roman" w:eastAsia="Calibri" w:cs="Times New Roman"/>
        </w:rPr>
        <w:t xml:space="preserve">Zástupca starostu: Jozef Baloga </w:t>
      </w:r>
    </w:p>
    <w:p>
      <w:pPr>
        <w:pStyle w:val="6"/>
        <w:spacing w:line="360" w:lineRule="auto"/>
        <w:jc w:val="both"/>
        <w:rPr>
          <w:rFonts w:ascii="Times New Roman" w:hAnsi="Times New Roman" w:eastAsia="Calibri" w:cs="Times New Roman"/>
        </w:rPr>
      </w:pPr>
      <w:r>
        <w:rPr>
          <w:rFonts w:ascii="Times New Roman" w:hAnsi="Times New Roman" w:eastAsia="Calibri" w:cs="Times New Roman"/>
        </w:rPr>
        <w:t xml:space="preserve">Obecné zastupiteľstvo: Jozef Jurek, Gabriel Kaščák, František Centko, Ing. Ľubomír Centko </w:t>
      </w:r>
    </w:p>
    <w:p>
      <w:pPr>
        <w:pStyle w:val="6"/>
        <w:spacing w:line="360" w:lineRule="auto"/>
        <w:jc w:val="both"/>
        <w:rPr>
          <w:rFonts w:ascii="Times New Roman" w:hAnsi="Times New Roman" w:eastAsia="Calibri" w:cs="Times New Roman"/>
        </w:rPr>
      </w:pPr>
      <w:r>
        <w:rPr>
          <w:rFonts w:ascii="Times New Roman" w:hAnsi="Times New Roman" w:eastAsia="Calibri" w:cs="Times New Roman"/>
        </w:rPr>
        <w:t xml:space="preserve">Obecné zastupiteľstvo rozhodovalo na svojich zasadnutiach o základných otázkach života obce. Každé zasadnutie OZ sa konalo v zasadačke obecného úradu. Pozvánka na zasadnutie bola zverejnená na úradnej tabuli najneskôr 3 dni pred konaním zasadnutia. Každé zasadnutie bolo verejné.  </w:t>
      </w:r>
    </w:p>
    <w:p>
      <w:pPr>
        <w:pStyle w:val="6"/>
        <w:jc w:val="both"/>
        <w:rPr>
          <w:rFonts w:ascii="Times New Roman" w:hAnsi="Times New Roman" w:eastAsia="Calibri" w:cs="Times New Roman"/>
          <w:b/>
          <w:bCs/>
        </w:rPr>
      </w:pPr>
      <w:r>
        <w:rPr>
          <w:rFonts w:ascii="Times New Roman" w:hAnsi="Times New Roman" w:eastAsia="Calibri" w:cs="Times New Roman"/>
          <w:b/>
          <w:bCs/>
        </w:rPr>
        <w:t>4. Základná charakteristika obce</w:t>
      </w:r>
    </w:p>
    <w:p>
      <w:pPr>
        <w:pStyle w:val="6"/>
        <w:spacing w:line="360" w:lineRule="auto"/>
        <w:jc w:val="both"/>
        <w:rPr>
          <w:rFonts w:ascii="Times New Roman" w:hAnsi="Times New Roman" w:eastAsia="Calibri" w:cs="Times New Roman"/>
        </w:rPr>
      </w:pPr>
      <w:r>
        <w:rPr>
          <w:rFonts w:ascii="Times New Roman" w:hAnsi="Times New Roman" w:eastAsia="Calibri" w:cs="Times New Roman"/>
        </w:rPr>
        <w:t>Obec je samostatný územný samosprávny celok Slovenskej republiky. Obec je právnickou osobou, ktorá za podmienok ustanovených zákonom samostatne hospodári s vlastným majetkom a s vlastnými príjmami. Základnou úlohou obce pri výkone samosprávy je starostlivosť o všestranný rozvoj jej územia a o potreby jej obyvateľov.</w:t>
      </w:r>
    </w:p>
    <w:p>
      <w:pPr>
        <w:pStyle w:val="6"/>
        <w:jc w:val="both"/>
        <w:rPr>
          <w:rFonts w:ascii="Times New Roman" w:hAnsi="Times New Roman" w:eastAsia="Calibri" w:cs="Times New Roman"/>
          <w:b/>
          <w:bCs/>
        </w:rPr>
      </w:pPr>
      <w:r>
        <w:rPr>
          <w:rFonts w:ascii="Times New Roman" w:hAnsi="Times New Roman" w:eastAsia="Calibri" w:cs="Times New Roman"/>
          <w:b/>
          <w:bCs/>
        </w:rPr>
        <w:t>4.1.Geografické údaje</w:t>
      </w:r>
    </w:p>
    <w:p>
      <w:pPr>
        <w:pStyle w:val="6"/>
        <w:spacing w:line="360" w:lineRule="auto"/>
        <w:jc w:val="both"/>
        <w:rPr>
          <w:rFonts w:ascii="Times New Roman" w:hAnsi="Times New Roman" w:eastAsia="Calibri" w:cs="Times New Roman"/>
        </w:rPr>
      </w:pPr>
      <w:r>
        <w:rPr>
          <w:rFonts w:ascii="Times New Roman" w:hAnsi="Times New Roman" w:eastAsia="Calibri" w:cs="Times New Roman"/>
          <w:b/>
          <w:bCs/>
        </w:rPr>
        <w:t xml:space="preserve">Poloha: </w:t>
      </w:r>
      <w:r>
        <w:rPr>
          <w:rFonts w:ascii="Times New Roman" w:hAnsi="Times New Roman" w:eastAsia="Calibri" w:cs="Times New Roman"/>
        </w:rPr>
        <w:t xml:space="preserve">Hendrichovce ležia v Šarišskej vrchovine v doline Veľkej Svinky. Nadmorská výška v strede obce je 420 m n. m. a v chotári 410 – 698 m n. m. Mierne členitý vrchovinný povrch zväčša odlesneného chotára tvorí cenrálnokarpatský flyš. Prevládajú hnedé lesné pôdy, v doline nivné. Susedné mestá a obce: Fričovce, Bertotovce, Hermanovce... </w:t>
      </w:r>
    </w:p>
    <w:p>
      <w:pPr>
        <w:pStyle w:val="6"/>
        <w:jc w:val="both"/>
        <w:rPr>
          <w:rFonts w:ascii="Times New Roman" w:hAnsi="Times New Roman" w:eastAsia="Calibri" w:cs="Times New Roman"/>
        </w:rPr>
      </w:pPr>
      <w:r>
        <w:rPr>
          <w:rFonts w:ascii="Times New Roman" w:hAnsi="Times New Roman" w:eastAsia="Calibri" w:cs="Times New Roman"/>
        </w:rPr>
        <w:t xml:space="preserve">Celková rozloha obce: 422 ha </w:t>
      </w:r>
    </w:p>
    <w:p>
      <w:pPr>
        <w:pStyle w:val="6"/>
        <w:jc w:val="both"/>
        <w:rPr>
          <w:rFonts w:ascii="Times New Roman" w:hAnsi="Times New Roman" w:eastAsia="Calibri" w:cs="Times New Roman"/>
          <w:b/>
          <w:bCs/>
        </w:rPr>
      </w:pPr>
      <w:r>
        <w:rPr>
          <w:rFonts w:ascii="Times New Roman" w:hAnsi="Times New Roman" w:eastAsia="Calibri" w:cs="Times New Roman"/>
        </w:rPr>
        <w:t>Nadmorská výška: 420 m. n. m</w:t>
      </w:r>
    </w:p>
    <w:p>
      <w:pPr>
        <w:pStyle w:val="6"/>
        <w:jc w:val="both"/>
        <w:rPr>
          <w:rFonts w:ascii="Times New Roman" w:hAnsi="Times New Roman" w:eastAsia="Calibri" w:cs="Times New Roman"/>
          <w:b/>
          <w:bCs/>
        </w:rPr>
      </w:pPr>
      <w:r>
        <w:rPr>
          <w:rFonts w:ascii="Times New Roman" w:hAnsi="Times New Roman" w:eastAsia="Calibri" w:cs="Times New Roman"/>
          <w:b/>
          <w:bCs/>
        </w:rPr>
        <w:t>4.2.Demografické údaje:</w:t>
      </w:r>
    </w:p>
    <w:p>
      <w:pPr>
        <w:pStyle w:val="6"/>
        <w:jc w:val="both"/>
        <w:rPr>
          <w:rFonts w:ascii="Times New Roman" w:hAnsi="Times New Roman" w:eastAsia="Calibri" w:cs="Times New Roman"/>
        </w:rPr>
      </w:pPr>
      <w:r>
        <w:rPr>
          <w:rFonts w:ascii="Times New Roman" w:hAnsi="Times New Roman" w:eastAsia="Calibri" w:cs="Times New Roman"/>
        </w:rPr>
        <w:t>Počet obyvateľov : 263</w:t>
      </w:r>
    </w:p>
    <w:p>
      <w:pPr>
        <w:pStyle w:val="6"/>
        <w:jc w:val="both"/>
        <w:rPr>
          <w:rFonts w:ascii="Times New Roman" w:hAnsi="Times New Roman" w:eastAsia="Calibri" w:cs="Times New Roman"/>
        </w:rPr>
      </w:pPr>
      <w:r>
        <w:rPr>
          <w:rFonts w:ascii="Times New Roman" w:hAnsi="Times New Roman" w:eastAsia="Calibri" w:cs="Times New Roman"/>
        </w:rPr>
        <w:t xml:space="preserve">Hustota obyvateľstva: 63,03 obyv./km² </w:t>
      </w:r>
    </w:p>
    <w:p>
      <w:pPr>
        <w:pStyle w:val="6"/>
        <w:jc w:val="both"/>
        <w:rPr>
          <w:rFonts w:ascii="Times New Roman" w:hAnsi="Times New Roman" w:eastAsia="Calibri" w:cs="Times New Roman"/>
        </w:rPr>
      </w:pPr>
      <w:r>
        <w:rPr>
          <w:rFonts w:ascii="Times New Roman" w:hAnsi="Times New Roman" w:eastAsia="Calibri" w:cs="Times New Roman"/>
        </w:rPr>
        <w:t xml:space="preserve">Národnostná štruktúra : najpočetnejšou národnosťou je slovenská národnosť </w:t>
      </w:r>
    </w:p>
    <w:p>
      <w:pPr>
        <w:pStyle w:val="6"/>
        <w:jc w:val="both"/>
        <w:rPr>
          <w:rFonts w:ascii="Times New Roman" w:hAnsi="Times New Roman" w:eastAsia="Calibri" w:cs="Times New Roman"/>
        </w:rPr>
      </w:pPr>
      <w:r>
        <w:rPr>
          <w:rFonts w:ascii="Times New Roman" w:hAnsi="Times New Roman" w:eastAsia="Calibri" w:cs="Times New Roman"/>
        </w:rPr>
        <w:t>Štruktúra obyvateľstva podľa náboženského významu: najviac je zastúpené katolícke náboženstvo</w:t>
      </w:r>
      <w:r>
        <w:t xml:space="preserve"> </w:t>
      </w:r>
    </w:p>
    <w:p>
      <w:pPr>
        <w:pStyle w:val="6"/>
        <w:jc w:val="both"/>
        <w:rPr>
          <w:rFonts w:ascii="Times New Roman" w:hAnsi="Times New Roman" w:eastAsia="Calibri" w:cs="Times New Roman"/>
          <w:b/>
          <w:bCs/>
        </w:rPr>
      </w:pPr>
      <w:r>
        <w:rPr>
          <w:rFonts w:ascii="Times New Roman" w:hAnsi="Times New Roman" w:eastAsia="Calibri" w:cs="Times New Roman"/>
          <w:b/>
          <w:bCs/>
        </w:rPr>
        <w:t xml:space="preserve">4.3 Ekonomické údaje </w:t>
      </w:r>
      <w:r>
        <w:rPr>
          <w:rFonts w:ascii="Times New Roman" w:hAnsi="Times New Roman" w:eastAsia="Calibri" w:cs="Times New Roman"/>
        </w:rPr>
        <w:t xml:space="preserve"> </w:t>
      </w:r>
    </w:p>
    <w:p>
      <w:pPr>
        <w:pStyle w:val="6"/>
        <w:jc w:val="both"/>
        <w:rPr>
          <w:rFonts w:ascii="Times New Roman" w:hAnsi="Times New Roman" w:eastAsia="Calibri" w:cs="Times New Roman"/>
          <w:color w:val="auto"/>
        </w:rPr>
      </w:pPr>
      <w:r>
        <w:rPr>
          <w:rFonts w:ascii="Times New Roman" w:hAnsi="Times New Roman" w:eastAsia="Calibri" w:cs="Times New Roman"/>
          <w:color w:val="auto"/>
        </w:rPr>
        <w:t xml:space="preserve">Nezamestnanosť v okrese: 7,69 % (31. 12. 2022) </w:t>
      </w:r>
    </w:p>
    <w:p>
      <w:pPr>
        <w:pStyle w:val="6"/>
        <w:jc w:val="both"/>
        <w:rPr>
          <w:rFonts w:ascii="Times New Roman" w:hAnsi="Times New Roman" w:eastAsia="Calibri" w:cs="Times New Roman"/>
          <w:color w:val="auto"/>
        </w:rPr>
      </w:pPr>
      <w:r>
        <w:rPr>
          <w:rFonts w:ascii="Times New Roman" w:hAnsi="Times New Roman" w:eastAsia="Calibri" w:cs="Times New Roman"/>
          <w:color w:val="auto"/>
        </w:rPr>
        <w:t xml:space="preserve">Vývoj nezamestnanosti: oproti roku 2021 (8,44 % k 31. 12. 2022) </w:t>
      </w:r>
    </w:p>
    <w:p>
      <w:pPr>
        <w:pStyle w:val="6"/>
        <w:jc w:val="both"/>
        <w:rPr>
          <w:rFonts w:ascii="Times New Roman" w:hAnsi="Times New Roman" w:eastAsia="Calibri" w:cs="Times New Roman"/>
          <w:b/>
          <w:bCs/>
        </w:rPr>
      </w:pPr>
      <w:r>
        <w:rPr>
          <w:rFonts w:ascii="Times New Roman" w:hAnsi="Times New Roman" w:eastAsia="Calibri" w:cs="Times New Roman"/>
          <w:b/>
          <w:bCs/>
        </w:rPr>
        <w:t xml:space="preserve">4.4 Symboly obce </w:t>
      </w:r>
    </w:p>
    <w:p>
      <w:pPr>
        <w:pStyle w:val="6"/>
        <w:jc w:val="both"/>
        <w:rPr>
          <w:rFonts w:ascii="Times New Roman" w:hAnsi="Times New Roman" w:eastAsia="Calibri" w:cs="Times New Roman"/>
        </w:rPr>
      </w:pPr>
      <w:r>
        <w:rPr>
          <w:rFonts w:ascii="Times New Roman" w:hAnsi="Times New Roman" w:eastAsia="Calibri" w:cs="Times New Roman"/>
        </w:rPr>
        <w:t xml:space="preserve"> </w:t>
      </w:r>
    </w:p>
    <w:p>
      <w:pPr>
        <w:pStyle w:val="6"/>
        <w:jc w:val="both"/>
        <w:rPr>
          <w:rFonts w:ascii="Times New Roman" w:hAnsi="Times New Roman" w:eastAsia="Calibri" w:cs="Times New Roman"/>
        </w:rPr>
      </w:pPr>
      <w:r>
        <w:rPr>
          <w:rFonts w:ascii="Times New Roman" w:hAnsi="Times New Roman" w:eastAsia="Calibri" w:cs="Times New Roman"/>
        </w:rPr>
        <w:t xml:space="preserve">vlajka </w:t>
      </w:r>
      <w:r>
        <w:rPr>
          <w:rFonts w:hint="default" w:ascii="Times New Roman" w:hAnsi="Times New Roman" w:eastAsia="Calibri" w:cs="Times New Roman"/>
          <w:lang w:val="sk-SK"/>
        </w:rPr>
        <w:tab/>
        <w:t/>
      </w:r>
      <w:r>
        <w:rPr>
          <w:rFonts w:hint="default" w:ascii="Times New Roman" w:hAnsi="Times New Roman" w:eastAsia="Calibri" w:cs="Times New Roman"/>
          <w:lang w:val="sk-SK"/>
        </w:rPr>
        <w:tab/>
        <w:t/>
      </w:r>
      <w:r>
        <w:rPr>
          <w:rFonts w:hint="default" w:ascii="Times New Roman" w:hAnsi="Times New Roman" w:eastAsia="Calibri" w:cs="Times New Roman"/>
          <w:lang w:val="sk-SK"/>
        </w:rPr>
        <w:tab/>
        <w:t/>
      </w:r>
      <w:r>
        <w:rPr>
          <w:rFonts w:hint="default" w:ascii="Times New Roman" w:hAnsi="Times New Roman" w:eastAsia="Calibri" w:cs="Times New Roman"/>
          <w:lang w:val="sk-SK"/>
        </w:rPr>
        <w:tab/>
        <w:t/>
      </w:r>
      <w:r>
        <w:rPr>
          <w:rFonts w:hint="default" w:ascii="Times New Roman" w:hAnsi="Times New Roman" w:eastAsia="Calibri" w:cs="Times New Roman"/>
          <w:lang w:val="sk-SK"/>
        </w:rPr>
        <w:tab/>
        <w:t/>
      </w:r>
      <w:r>
        <w:rPr>
          <w:rFonts w:hint="default" w:ascii="Times New Roman" w:hAnsi="Times New Roman" w:eastAsia="Calibri" w:cs="Times New Roman"/>
          <w:lang w:val="sk-SK"/>
        </w:rPr>
        <w:tab/>
        <w:t/>
      </w:r>
      <w:r>
        <w:rPr>
          <w:rFonts w:hint="default" w:ascii="Times New Roman" w:hAnsi="Times New Roman" w:eastAsia="Calibri" w:cs="Times New Roman"/>
          <w:lang w:val="sk-SK"/>
        </w:rPr>
        <w:tab/>
        <w:t/>
      </w:r>
      <w:r>
        <w:rPr>
          <w:rFonts w:hint="default" w:ascii="Times New Roman" w:hAnsi="Times New Roman" w:eastAsia="Calibri" w:cs="Times New Roman"/>
          <w:lang w:val="sk-SK"/>
        </w:rPr>
        <w:tab/>
      </w:r>
      <w:r>
        <w:rPr>
          <w:rFonts w:ascii="Times New Roman" w:hAnsi="Times New Roman" w:eastAsia="Calibri" w:cs="Times New Roman"/>
        </w:rPr>
        <w:t>erb</w:t>
      </w:r>
      <w:r>
        <w:rPr>
          <w:rFonts w:hint="default" w:ascii="Times New Roman" w:hAnsi="Times New Roman" w:eastAsia="Calibri" w:cs="Times New Roman"/>
          <w:lang w:val="sk-SK"/>
        </w:rPr>
        <w:t xml:space="preserve"> </w:t>
      </w:r>
      <w:r>
        <w:rPr>
          <w:rFonts w:ascii="Times New Roman" w:hAnsi="Times New Roman" w:eastAsia="Calibri" w:cs="Times New Roman"/>
        </w:rPr>
        <w:t xml:space="preserve">                                                                                                                                                            </w:t>
      </w:r>
      <w:r>
        <w:drawing>
          <wp:inline distT="0" distB="0" distL="0" distR="0">
            <wp:extent cx="1781175" cy="2099310"/>
            <wp:effectExtent l="0" t="0" r="9525" b="0"/>
            <wp:docPr id="1979754193" name="Obrázok 2" descr="Obrázok, na ktorom je zástava, rad, symbol, štvorec&#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9754193" name="Obrázok 2" descr="Obrázok, na ktorom je zástava, rad, symbol, štvorec&#10;&#10;Automaticky generovaný popis"/>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a:xfrm>
                      <a:off x="0" y="0"/>
                      <a:ext cx="1781175" cy="2099310"/>
                    </a:xfrm>
                    <a:prstGeom prst="rect">
                      <a:avLst/>
                    </a:prstGeom>
                    <a:noFill/>
                    <a:ln>
                      <a:noFill/>
                    </a:ln>
                  </pic:spPr>
                </pic:pic>
              </a:graphicData>
            </a:graphic>
          </wp:inline>
        </w:drawing>
      </w:r>
      <w:r>
        <w:rPr>
          <w:rFonts w:ascii="Times New Roman" w:hAnsi="Times New Roman" w:eastAsia="Calibri" w:cs="Times New Roman"/>
        </w:rPr>
        <w:t xml:space="preserve">                                           </w:t>
      </w:r>
      <w:r>
        <w:drawing>
          <wp:inline distT="0" distB="0" distL="0" distR="0">
            <wp:extent cx="1526540" cy="1939925"/>
            <wp:effectExtent l="0" t="0" r="0" b="3175"/>
            <wp:docPr id="98504161" name="Obrázok 1" descr="Obrázok, na ktorom je kreslený obrázok, cicavec, animák, ilustrácia&#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504161" name="Obrázok 1" descr="Obrázok, na ktorom je kreslený obrázok, cicavec, animák, ilustrácia&#10;&#10;Automaticky generovaný popis"/>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1526540" cy="1939925"/>
                    </a:xfrm>
                    <a:prstGeom prst="rect">
                      <a:avLst/>
                    </a:prstGeom>
                    <a:noFill/>
                    <a:ln>
                      <a:noFill/>
                    </a:ln>
                  </pic:spPr>
                </pic:pic>
              </a:graphicData>
            </a:graphic>
          </wp:inline>
        </w:drawing>
      </w:r>
    </w:p>
    <w:p>
      <w:pPr>
        <w:pStyle w:val="6"/>
        <w:jc w:val="both"/>
        <w:rPr>
          <w:rFonts w:ascii="Times New Roman" w:hAnsi="Times New Roman" w:eastAsia="Calibri" w:cs="Times New Roman"/>
        </w:rPr>
      </w:pPr>
      <w:r>
        <w:rPr>
          <w:rFonts w:ascii="Times New Roman" w:hAnsi="Times New Roman" w:eastAsia="Calibri" w:cs="Times New Roman"/>
        </w:rPr>
        <w:t xml:space="preserve">                                                   </w:t>
      </w:r>
    </w:p>
    <w:p>
      <w:pPr>
        <w:pStyle w:val="6"/>
        <w:jc w:val="both"/>
        <w:rPr>
          <w:rFonts w:ascii="Times New Roman" w:hAnsi="Times New Roman" w:eastAsia="Calibri" w:cs="Times New Roman"/>
        </w:rPr>
      </w:pPr>
      <w:r>
        <w:rPr>
          <w:rFonts w:ascii="Times New Roman" w:hAnsi="Times New Roman" w:eastAsia="Calibri" w:cs="Times New Roman"/>
        </w:rPr>
        <w:t xml:space="preserve"> </w:t>
      </w:r>
    </w:p>
    <w:p>
      <w:pPr>
        <w:pStyle w:val="6"/>
        <w:jc w:val="both"/>
        <w:rPr>
          <w:rFonts w:ascii="Times New Roman" w:hAnsi="Times New Roman" w:eastAsia="Calibri" w:cs="Times New Roman"/>
        </w:rPr>
      </w:pPr>
    </w:p>
    <w:p>
      <w:pPr>
        <w:pStyle w:val="6"/>
        <w:jc w:val="both"/>
        <w:rPr>
          <w:rFonts w:ascii="Times New Roman" w:hAnsi="Times New Roman" w:eastAsia="Calibri" w:cs="Times New Roman"/>
        </w:rPr>
      </w:pPr>
    </w:p>
    <w:p>
      <w:pPr>
        <w:pStyle w:val="6"/>
        <w:jc w:val="both"/>
        <w:rPr>
          <w:rFonts w:ascii="Times New Roman" w:hAnsi="Times New Roman" w:eastAsia="Calibri" w:cs="Times New Roman"/>
        </w:rPr>
      </w:pPr>
    </w:p>
    <w:p>
      <w:pPr>
        <w:pStyle w:val="6"/>
        <w:jc w:val="both"/>
        <w:rPr>
          <w:rFonts w:ascii="Times New Roman" w:hAnsi="Times New Roman" w:eastAsia="Calibri" w:cs="Times New Roman"/>
          <w:b/>
          <w:bCs/>
        </w:rPr>
      </w:pPr>
      <w:r>
        <w:rPr>
          <w:rFonts w:ascii="Times New Roman" w:hAnsi="Times New Roman" w:eastAsia="Calibri" w:cs="Times New Roman"/>
          <w:b/>
          <w:bCs/>
        </w:rPr>
        <w:t xml:space="preserve">4.5 Zaujímavosti z histórie a súčasnosti obce </w:t>
      </w:r>
    </w:p>
    <w:p>
      <w:pPr>
        <w:pStyle w:val="6"/>
        <w:spacing w:line="360" w:lineRule="auto"/>
        <w:jc w:val="both"/>
        <w:rPr>
          <w:rFonts w:ascii="Times New Roman" w:hAnsi="Times New Roman" w:eastAsia="Calibri" w:cs="Times New Roman"/>
        </w:rPr>
      </w:pPr>
      <w:r>
        <w:rPr>
          <w:rFonts w:ascii="Times New Roman" w:hAnsi="Times New Roman" w:eastAsia="Calibri" w:cs="Times New Roman"/>
        </w:rPr>
        <w:t xml:space="preserve">Obec vznikla v 13. storočí zemianskou kolonizáciou. Obec je doložená z roku 1320 ako (villa) Herrici, neskôr ako Hedrychfalva (1330), Hedrichowcze (1773), Hedrihovce, Henrihovce (1920), Hendrichovce (1927); maďarsky Hedri. Obec po delení v roku 1320 pripadla Meršovi. V roku 1330 ju zámenou získali Abovci, v roku 1427 mala 16 port. Do začiatku 19. storočia patrila rodine Hendriovcov. </w:t>
      </w:r>
    </w:p>
    <w:p>
      <w:pPr>
        <w:pStyle w:val="6"/>
        <w:spacing w:line="360" w:lineRule="auto"/>
        <w:jc w:val="both"/>
        <w:rPr>
          <w:rFonts w:ascii="Times New Roman" w:hAnsi="Times New Roman" w:eastAsia="Calibri" w:cs="Times New Roman"/>
        </w:rPr>
      </w:pPr>
      <w:r>
        <w:rPr>
          <w:rFonts w:ascii="Times New Roman" w:hAnsi="Times New Roman" w:eastAsia="Calibri" w:cs="Times New Roman"/>
        </w:rPr>
        <w:t xml:space="preserve">V roku 1787 mala 32 domov a 193 obyvateľov, v roku 1828 mala obec 22 domov a 175 obyvateľov. Okrem poľnohospodárstva sa zaoberali príležitostnou furmankou. Za I. ČSR sa obyvatelia zaoberali poľnohospodárstvom a sezónnou prácou v lesoch. JRD (Jednotné roľnícke družstvo bolo založené v roku 1959 a v roku 1966 prešlo do Štátneho majetku. Časť obyvateľstva pracovala v stavebných a priemyselných podnikoch. </w:t>
      </w:r>
    </w:p>
    <w:p>
      <w:pPr>
        <w:pStyle w:val="6"/>
        <w:spacing w:line="360" w:lineRule="auto"/>
        <w:jc w:val="both"/>
        <w:rPr>
          <w:rFonts w:ascii="Times New Roman" w:hAnsi="Times New Roman" w:eastAsia="Calibri" w:cs="Times New Roman"/>
        </w:rPr>
      </w:pPr>
      <w:r>
        <w:rPr>
          <w:rFonts w:ascii="Times New Roman" w:hAnsi="Times New Roman" w:eastAsia="Calibri" w:cs="Times New Roman"/>
        </w:rPr>
        <w:t xml:space="preserve">Obcou pretekajú tri potoky. Ten väčší je Veľká Svinka, do ktorého sa vlievajú vody Lazného a Štefanovského potoka. </w:t>
      </w:r>
    </w:p>
    <w:p>
      <w:pPr>
        <w:pStyle w:val="6"/>
        <w:spacing w:line="360" w:lineRule="auto"/>
        <w:jc w:val="both"/>
        <w:rPr>
          <w:rFonts w:ascii="Times New Roman" w:hAnsi="Times New Roman" w:eastAsia="Calibri" w:cs="Times New Roman"/>
        </w:rPr>
      </w:pPr>
      <w:r>
        <w:rPr>
          <w:rFonts w:ascii="Times New Roman" w:hAnsi="Times New Roman" w:eastAsia="Calibri" w:cs="Times New Roman"/>
        </w:rPr>
        <w:t>Koncom 13. storočia bol postavený rímskokatolícky gotický kostol, zasvätený sv. Štefanovi Prvomučeníkovi. V roku 2005 bol v obci vysvätený nový kostol, zasvätený Ružencovej Panne Márii. Dominantou obce je rybník s rozlohou 33 árov.</w:t>
      </w:r>
      <w:r>
        <w:t xml:space="preserve"> </w:t>
      </w:r>
    </w:p>
    <w:p>
      <w:pPr>
        <w:pStyle w:val="6"/>
        <w:jc w:val="both"/>
        <w:rPr>
          <w:rFonts w:ascii="Times New Roman" w:hAnsi="Times New Roman" w:eastAsia="Calibri" w:cs="Times New Roman"/>
          <w:b/>
          <w:bCs/>
        </w:rPr>
      </w:pPr>
      <w:r>
        <w:rPr>
          <w:rFonts w:ascii="Times New Roman" w:hAnsi="Times New Roman" w:eastAsia="Calibri" w:cs="Times New Roman"/>
          <w:b/>
          <w:bCs/>
        </w:rPr>
        <w:t>4.6 Pamiatky</w:t>
      </w:r>
      <w:r>
        <w:rPr>
          <w:rFonts w:ascii="Times New Roman" w:hAnsi="Times New Roman" w:eastAsia="Calibri" w:cs="Times New Roman"/>
        </w:rPr>
        <w:t xml:space="preserve"> </w:t>
      </w:r>
    </w:p>
    <w:p>
      <w:pPr>
        <w:pStyle w:val="6"/>
        <w:jc w:val="both"/>
        <w:rPr>
          <w:rFonts w:ascii="Times New Roman" w:hAnsi="Times New Roman" w:eastAsia="Calibri" w:cs="Times New Roman"/>
          <w:b/>
          <w:bCs/>
          <w:u w:val="single"/>
        </w:rPr>
      </w:pPr>
      <w:r>
        <w:rPr>
          <w:rFonts w:ascii="Times New Roman" w:hAnsi="Times New Roman" w:eastAsia="Calibri" w:cs="Times New Roman"/>
          <w:b/>
          <w:bCs/>
          <w:u w:val="single"/>
        </w:rPr>
        <w:t xml:space="preserve">Rímskokatolícky kostol sv. Štefana prvomučeníka </w:t>
      </w:r>
      <w:r>
        <w:rPr>
          <w:rFonts w:ascii="Times New Roman" w:hAnsi="Times New Roman" w:eastAsia="Calibri" w:cs="Times New Roman"/>
        </w:rPr>
        <w:t xml:space="preserve"> </w:t>
      </w:r>
    </w:p>
    <w:p>
      <w:pPr>
        <w:pStyle w:val="6"/>
        <w:spacing w:line="360" w:lineRule="auto"/>
        <w:jc w:val="both"/>
        <w:rPr>
          <w:rFonts w:ascii="Times New Roman" w:hAnsi="Times New Roman" w:eastAsia="Calibri" w:cs="Times New Roman"/>
        </w:rPr>
      </w:pPr>
      <w:r>
        <w:rPr>
          <w:rFonts w:ascii="Times New Roman" w:hAnsi="Times New Roman" w:eastAsia="Calibri" w:cs="Times New Roman"/>
        </w:rPr>
        <w:t xml:space="preserve">Kostol z 2.. polovice 14. storočia. Pôvodne gotický kostol bol prestavaný okolo roku 1641 a v roku 1753 dostal podobu barokového štýlu. Je to jednoloďová stavba s gotickým presbytériom. V 20. storočí získal chrám nové zastrešenie, malú vežičku a nový vstupný portál v predĺženej lodi. Najviac pôvodných stredovekých architektonických detailov zostalo v presbytériu a v sakristii.  </w:t>
      </w:r>
    </w:p>
    <w:p>
      <w:pPr>
        <w:pStyle w:val="6"/>
        <w:jc w:val="both"/>
        <w:rPr>
          <w:rFonts w:ascii="Times New Roman" w:hAnsi="Times New Roman" w:eastAsia="Calibri" w:cs="Times New Roman"/>
          <w:b/>
          <w:bCs/>
          <w:u w:val="single"/>
        </w:rPr>
      </w:pPr>
      <w:r>
        <w:rPr>
          <w:rFonts w:ascii="Times New Roman" w:hAnsi="Times New Roman" w:eastAsia="Calibri" w:cs="Times New Roman"/>
          <w:b/>
          <w:bCs/>
          <w:u w:val="single"/>
        </w:rPr>
        <w:t xml:space="preserve">Klasicistický kaštieľ </w:t>
      </w:r>
      <w:r>
        <w:rPr>
          <w:rFonts w:ascii="Times New Roman" w:hAnsi="Times New Roman" w:eastAsia="Calibri" w:cs="Times New Roman"/>
        </w:rPr>
        <w:t xml:space="preserve"> </w:t>
      </w:r>
    </w:p>
    <w:p>
      <w:pPr>
        <w:pStyle w:val="6"/>
        <w:spacing w:line="360" w:lineRule="auto"/>
        <w:jc w:val="both"/>
        <w:rPr>
          <w:rFonts w:ascii="Times New Roman" w:hAnsi="Times New Roman" w:eastAsia="Calibri" w:cs="Times New Roman"/>
        </w:rPr>
      </w:pPr>
      <w:r>
        <w:rPr>
          <w:rFonts w:ascii="Times New Roman" w:hAnsi="Times New Roman" w:eastAsia="Calibri" w:cs="Times New Roman"/>
        </w:rPr>
        <w:t xml:space="preserve">Zásluhou baróna Šándora Ghillányho bol bývalý kuriálny dom v Hendrichovciach prebudovaný na klasicistický kaštieľ v roku 1832. Budova je dvojpodlažná s kovovou mrežou na balkóne, v ktorej sa nachádzajú iniciály spomínaného baróna. Ghillányovcom tento majetok patril do roku 1945. </w:t>
      </w:r>
    </w:p>
    <w:p>
      <w:pPr>
        <w:pStyle w:val="6"/>
        <w:spacing w:line="360" w:lineRule="auto"/>
        <w:jc w:val="both"/>
        <w:rPr>
          <w:rFonts w:ascii="Times New Roman" w:hAnsi="Times New Roman" w:eastAsia="Calibri" w:cs="Times New Roman"/>
        </w:rPr>
      </w:pPr>
      <w:r>
        <w:rPr>
          <w:rFonts w:ascii="Times New Roman" w:hAnsi="Times New Roman" w:eastAsia="Calibri" w:cs="Times New Roman"/>
        </w:rPr>
        <w:t xml:space="preserve">Obecný úrad je výkonným orgánom obecného zastupiteľstva a starostu obce, zabezpečuje organizačné a administratívne veci. Prácu obecného úradu organizuje starosta obce. </w:t>
      </w:r>
    </w:p>
    <w:p>
      <w:pPr>
        <w:pStyle w:val="6"/>
        <w:spacing w:line="360" w:lineRule="auto"/>
        <w:jc w:val="both"/>
        <w:rPr>
          <w:rFonts w:ascii="Times New Roman" w:hAnsi="Times New Roman" w:eastAsia="Calibri" w:cs="Times New Roman"/>
        </w:rPr>
      </w:pPr>
      <w:r>
        <w:rPr>
          <w:rFonts w:ascii="Times New Roman" w:hAnsi="Times New Roman" w:eastAsia="Calibri" w:cs="Times New Roman"/>
        </w:rPr>
        <w:t>Obec Hendrichovce je samostatný územný samosprávny a správny celok Slovenskej republiky, združuje osoby, ktoré majú na jej území trvalý pobyt. Obec je právnickou osobou, ktorá za podmienok ustanovených zákonom samostatne hospodári s vlastným majetkom a s vlastnými príjmami. Základnou úlohou obce pri výkone samosprávy je starostlivosť o všestranný rozvoj jej územia a o potreby jej obyvateľov.</w:t>
      </w:r>
    </w:p>
    <w:p>
      <w:pPr>
        <w:pStyle w:val="6"/>
        <w:spacing w:line="360" w:lineRule="auto"/>
        <w:jc w:val="both"/>
        <w:rPr>
          <w:rFonts w:ascii="Times New Roman" w:hAnsi="Times New Roman" w:eastAsia="Calibri" w:cs="Times New Roman"/>
        </w:rPr>
      </w:pPr>
      <w:r>
        <w:rPr>
          <w:rFonts w:ascii="Times New Roman" w:hAnsi="Times New Roman" w:eastAsia="Calibri" w:cs="Times New Roman"/>
        </w:rPr>
        <w:t xml:space="preserve">Obec financuje svoje potreby predovšetkým z vlastných príjmov, dotácií zo štátneho rozpočtu a z ďalších zdrojov. Na plnenie svojich úloh môže použiť návratné zdroje financovania a prostriedky mimorozpočtových peňažných fondov. Na plnenie rozvojového programu obce alebo na plnenie inej úlohy, na ktorej má štát záujem, možno obci poskytnúť štátnu dotáciu. Svoje úlohy môže obec financovať aj z prostriedkov združených s inými obcami, so samosprávnymi krajmi a s inými právnickými a fyzickými osobami. </w:t>
      </w:r>
    </w:p>
    <w:p>
      <w:pPr>
        <w:pStyle w:val="6"/>
        <w:spacing w:line="360" w:lineRule="auto"/>
        <w:jc w:val="both"/>
        <w:rPr>
          <w:rFonts w:ascii="Times New Roman" w:hAnsi="Times New Roman" w:eastAsia="Calibri" w:cs="Times New Roman"/>
        </w:rPr>
      </w:pPr>
      <w:r>
        <w:rPr>
          <w:rFonts w:ascii="Times New Roman" w:hAnsi="Times New Roman" w:eastAsia="Calibri" w:cs="Times New Roman"/>
        </w:rPr>
        <w:t xml:space="preserve">Majetkom obce sú veci vo vlastníctve obce a majetkové práva obce. Majetok obce slúži na plnenie úloh obce, má sa zveľaďovať a zhodnocovať a vo svojej celkovej hodnote zásadne nezmenšený zachovať. Darovanie nehnuteľného majetku obce je neprípustné. Majetok obce možno použiť na verejné účely, na podnikateľskú činnosť a na výkon samosprávy obce. Zásady hospodárenia s majetkom obce určuje obecné zastupiteľstvo. Obec môže zveriť svoj majetok do správy rozpočtovej organizácii, ktorú zriadila podľa zákona o rozpočtových pravidlách verejnej správy. Obec môže vložiť svoj majetok ako vklad do obchodnej spoločnosti alebo môže zo svojho majetku založiť právnickú osobu. Obec môže upustiť od vymáhania majetkových práv, ak dôvody pre trvalé alebo dočasné upustenie určí v zásadách hospodárenia s majetkom obce. </w:t>
      </w:r>
    </w:p>
    <w:p>
      <w:pPr>
        <w:pStyle w:val="6"/>
        <w:spacing w:line="360" w:lineRule="auto"/>
        <w:jc w:val="both"/>
        <w:rPr>
          <w:rFonts w:ascii="Times New Roman" w:hAnsi="Times New Roman" w:eastAsia="Calibri" w:cs="Times New Roman"/>
        </w:rPr>
      </w:pPr>
      <w:r>
        <w:rPr>
          <w:rFonts w:ascii="Times New Roman" w:hAnsi="Times New Roman" w:eastAsia="Calibri" w:cs="Times New Roman"/>
        </w:rPr>
        <w:t xml:space="preserve">Podiely na daniach v správe štátu upravuje zákon č. 564/2004 Z. z. o rozpočtovom určení výnosu dane z príjmov územnej samospráve a o zmene a doplnení niektorých zákonov. </w:t>
      </w:r>
    </w:p>
    <w:p>
      <w:pPr>
        <w:pStyle w:val="6"/>
        <w:spacing w:line="360" w:lineRule="auto"/>
        <w:jc w:val="both"/>
        <w:rPr>
          <w:rFonts w:ascii="Times New Roman" w:hAnsi="Times New Roman" w:eastAsia="Calibri" w:cs="Times New Roman"/>
        </w:rPr>
      </w:pPr>
      <w:r>
        <w:rPr>
          <w:rFonts w:ascii="Times New Roman" w:hAnsi="Times New Roman" w:eastAsia="Calibri" w:cs="Times New Roman"/>
        </w:rPr>
        <w:t>Dotácie na úhradu nákladov preneseného výkonu štátnej správy sa zabezpečujú prostredníctvom správcu kapitoly štátneho rozpočtu, do ktorého vecnej pôsobnosti patrí výkon štátnej správy, ktorý sa preniesol na obec. Poskytujú sa na základe zákona č. 597/2003 Z. z. o financovaní základných škôl a školských zariadení. Do prijatia prostriedkov štátneho rozpočtu obcou na úhradu nákladov preneseného výkonu štátnej správy môže obec použiť na ich úhradu vlastné príjmy. Po prijatí prostriedkov ŠR obec zúčtuje prostriedky v prospech svojho rozpočtu. Ďalšie dotácie v súlade so zákonom o štátnom rozpočte na príslušný rozpočtový rok sa zabezpečujú prostredníctvom Ministerstva financií SR alebo správcu rozpočtovej kapitoly ŠR, do ktorého vecnej pôsobnosti patrí činnosť, ktorá sa má financovať. Obec, ako subjekt verejnej správy zadefinovaný v § 3 zákona č. 523/2004 Z. z. o rozpočtových pravidlách verejnej správy v znení neskorších predpisov, je právnickou osobou zapísanou v registri organizácií vedenom Štatistickým úradom SR podľa zákona č. 540/2001 Z. z. o štátnej štatistike. Všeobecnou legislatívnou normou upravujúcou účtovníctvo vrátane účtovnej závierky rozpočtových organizácií a obcí je zákon o účtovníctve v znení neskorších predpisov. V zmysle tohto zákona účtujú rozpočtové organizácie a obce v sústave podvojného účtovníctva. Účtovnú závierku vo všeobecnosti upravuje zákon o účtovníctve v znení neskorších predpisov a definuje ju ako štruktúrovanú prezentáciu skutočností, ktoré sú predmetom účtovníctva, poskytovanú osobám, ktoré tieto informácie vyžadujú, pričom účtovná závierka tvorí jeden celok pozostávajúci zo všeobecných náležitostí a z jednotlivých súčastí – súvahy, výkazu ziskov a strát, poznámok. Cieľom účtovnej závierky je poskytnúť verný a pravdivý obraz o účtovnej závierke. Informácie v účtovnej závierke sú užitočné, ak sú posudzované z hľadiska významnosti, zrozumiteľné, porovnateľné a spoľahlivé. Zákon o účtovníctve v znení neskorších predpisov stanovuje povinnosť overenia individuálnej účtovnej závierky a vyhotovenie výročnej správy, ktorej súlad s účtovnou závierkou musí byť tiež overený audítorom. Pre obce to ustanovuje aj 7 § 9 zákona č. 369/1990 Zb. o obecnom zriadení v znení neskorších doplnkov. Účtovná závierka predstavuje kontinuálny proces činností, ktorých výsledkom je zostavenie účtovných výkazov, vypracovanie poznámok a následné predloženie účtovnej závierky ako celku vrátane všeobecných náležitostí na určené miesta predkladania. Z hľadiska charakteru ich môžeme rozčleniť na účtovnú závierku pozostávajúcu z prípravných prác, uzatvorenia účtovných kníh a zostavenie účtovnej závierky. Prípravné práce sa uskutočnili pred uzavretím účtovných kníh a zahŕňali tieto okruhy činností:</w:t>
      </w:r>
    </w:p>
    <w:p>
      <w:pPr>
        <w:pStyle w:val="6"/>
        <w:numPr>
          <w:ilvl w:val="0"/>
          <w:numId w:val="3"/>
        </w:numPr>
        <w:spacing w:line="360" w:lineRule="auto"/>
        <w:jc w:val="both"/>
        <w:rPr>
          <w:rFonts w:ascii="Times New Roman" w:hAnsi="Times New Roman" w:eastAsia="Calibri" w:cs="Times New Roman"/>
        </w:rPr>
      </w:pPr>
      <w:r>
        <w:rPr>
          <w:rFonts w:ascii="Times New Roman" w:hAnsi="Times New Roman" w:eastAsia="Calibri" w:cs="Times New Roman"/>
        </w:rPr>
        <w:t xml:space="preserve">inventarizáciu, </w:t>
      </w:r>
    </w:p>
    <w:p>
      <w:pPr>
        <w:pStyle w:val="6"/>
        <w:numPr>
          <w:ilvl w:val="0"/>
          <w:numId w:val="3"/>
        </w:numPr>
        <w:spacing w:line="360" w:lineRule="auto"/>
        <w:jc w:val="both"/>
        <w:rPr>
          <w:rFonts w:ascii="Times New Roman" w:hAnsi="Times New Roman" w:eastAsia="Calibri" w:cs="Times New Roman"/>
        </w:rPr>
      </w:pPr>
      <w:r>
        <w:rPr>
          <w:rFonts w:ascii="Times New Roman" w:hAnsi="Times New Roman" w:eastAsia="Calibri" w:cs="Times New Roman"/>
        </w:rPr>
        <w:t xml:space="preserve">kontrolu bilančnej kontinuity, </w:t>
      </w:r>
    </w:p>
    <w:p>
      <w:pPr>
        <w:pStyle w:val="6"/>
        <w:numPr>
          <w:ilvl w:val="0"/>
          <w:numId w:val="3"/>
        </w:numPr>
        <w:spacing w:line="360" w:lineRule="auto"/>
        <w:jc w:val="both"/>
        <w:rPr>
          <w:rFonts w:ascii="Times New Roman" w:hAnsi="Times New Roman" w:eastAsia="Calibri" w:cs="Times New Roman"/>
        </w:rPr>
      </w:pPr>
      <w:r>
        <w:rPr>
          <w:rFonts w:ascii="Times New Roman" w:hAnsi="Times New Roman" w:eastAsia="Calibri" w:cs="Times New Roman"/>
        </w:rPr>
        <w:t xml:space="preserve">kontrolu nadväznosti analytických účtov a analytickej evidencie na syntetické účty, </w:t>
      </w:r>
    </w:p>
    <w:p>
      <w:pPr>
        <w:pStyle w:val="6"/>
        <w:numPr>
          <w:ilvl w:val="0"/>
          <w:numId w:val="3"/>
        </w:numPr>
        <w:spacing w:line="360" w:lineRule="auto"/>
        <w:jc w:val="both"/>
        <w:rPr>
          <w:rFonts w:ascii="Times New Roman" w:hAnsi="Times New Roman" w:eastAsia="Calibri" w:cs="Times New Roman"/>
        </w:rPr>
      </w:pPr>
      <w:r>
        <w:rPr>
          <w:rFonts w:ascii="Times New Roman" w:hAnsi="Times New Roman" w:eastAsia="Calibri" w:cs="Times New Roman"/>
        </w:rPr>
        <w:t xml:space="preserve">zaúčtovanie účtovných prípadov na účtoch, ktoré nesmú mať konečný zostatok, </w:t>
      </w:r>
    </w:p>
    <w:p>
      <w:pPr>
        <w:pStyle w:val="6"/>
        <w:numPr>
          <w:ilvl w:val="0"/>
          <w:numId w:val="3"/>
        </w:numPr>
        <w:spacing w:line="360" w:lineRule="auto"/>
        <w:jc w:val="both"/>
        <w:rPr>
          <w:rFonts w:ascii="Times New Roman" w:hAnsi="Times New Roman" w:eastAsia="Calibri" w:cs="Times New Roman"/>
        </w:rPr>
      </w:pPr>
      <w:r>
        <w:rPr>
          <w:rFonts w:ascii="Times New Roman" w:hAnsi="Times New Roman" w:eastAsia="Calibri" w:cs="Times New Roman"/>
        </w:rPr>
        <w:t xml:space="preserve">kontrolu účtu výsledku hospodárenia, </w:t>
      </w:r>
    </w:p>
    <w:p>
      <w:pPr>
        <w:pStyle w:val="6"/>
        <w:numPr>
          <w:ilvl w:val="0"/>
          <w:numId w:val="3"/>
        </w:numPr>
        <w:spacing w:line="360" w:lineRule="auto"/>
        <w:jc w:val="both"/>
        <w:rPr>
          <w:rFonts w:ascii="Times New Roman" w:hAnsi="Times New Roman" w:eastAsia="Calibri" w:cs="Times New Roman"/>
        </w:rPr>
      </w:pPr>
      <w:r>
        <w:rPr>
          <w:rFonts w:ascii="Times New Roman" w:hAnsi="Times New Roman" w:eastAsia="Calibri" w:cs="Times New Roman"/>
        </w:rPr>
        <w:t>kontrolu zaúčtovania odpisov,</w:t>
      </w:r>
    </w:p>
    <w:p>
      <w:pPr>
        <w:pStyle w:val="6"/>
        <w:numPr>
          <w:ilvl w:val="0"/>
          <w:numId w:val="3"/>
        </w:numPr>
        <w:spacing w:line="360" w:lineRule="auto"/>
        <w:jc w:val="both"/>
        <w:rPr>
          <w:rFonts w:ascii="Times New Roman" w:hAnsi="Times New Roman" w:eastAsia="Calibri" w:cs="Times New Roman"/>
        </w:rPr>
      </w:pPr>
      <w:r>
        <w:rPr>
          <w:rFonts w:ascii="Times New Roman" w:hAnsi="Times New Roman" w:eastAsia="Calibri" w:cs="Times New Roman"/>
        </w:rPr>
        <w:t xml:space="preserve">doúčtovanie účtovných prípadov bežného účtovného obdobia a </w:t>
      </w:r>
    </w:p>
    <w:p>
      <w:pPr>
        <w:pStyle w:val="6"/>
        <w:numPr>
          <w:ilvl w:val="0"/>
          <w:numId w:val="3"/>
        </w:numPr>
        <w:spacing w:line="360" w:lineRule="auto"/>
        <w:jc w:val="both"/>
        <w:rPr>
          <w:rFonts w:ascii="Times New Roman" w:hAnsi="Times New Roman" w:eastAsia="Calibri" w:cs="Times New Roman"/>
        </w:rPr>
      </w:pPr>
      <w:r>
        <w:rPr>
          <w:rFonts w:ascii="Times New Roman" w:hAnsi="Times New Roman" w:eastAsia="Calibri" w:cs="Times New Roman"/>
        </w:rPr>
        <w:t xml:space="preserve">kontrolu formálnej správnosti účtovných zápisov. </w:t>
      </w:r>
    </w:p>
    <w:p>
      <w:pPr>
        <w:pStyle w:val="6"/>
        <w:jc w:val="both"/>
        <w:rPr>
          <w:rFonts w:ascii="Times New Roman" w:hAnsi="Times New Roman" w:eastAsia="Calibri" w:cs="Times New Roman"/>
        </w:rPr>
      </w:pPr>
      <w:r>
        <w:rPr>
          <w:rFonts w:ascii="Times New Roman" w:hAnsi="Times New Roman" w:eastAsia="Calibri" w:cs="Times New Roman"/>
        </w:rPr>
        <w:t xml:space="preserve">Pri uzatváraní účtovných kníh obec postupuje nasledovne: </w:t>
      </w:r>
    </w:p>
    <w:p>
      <w:pPr>
        <w:pStyle w:val="6"/>
        <w:numPr>
          <w:ilvl w:val="0"/>
          <w:numId w:val="4"/>
        </w:numPr>
        <w:spacing w:line="360" w:lineRule="auto"/>
        <w:jc w:val="both"/>
        <w:rPr>
          <w:rFonts w:ascii="Times New Roman" w:hAnsi="Times New Roman" w:eastAsia="Calibri" w:cs="Times New Roman"/>
        </w:rPr>
      </w:pPr>
      <w:r>
        <w:rPr>
          <w:rFonts w:ascii="Times New Roman" w:hAnsi="Times New Roman" w:eastAsia="Calibri" w:cs="Times New Roman"/>
        </w:rPr>
        <w:t>zistia sa obraty jednotlivých účtov,</w:t>
      </w:r>
    </w:p>
    <w:p>
      <w:pPr>
        <w:pStyle w:val="6"/>
        <w:numPr>
          <w:ilvl w:val="0"/>
          <w:numId w:val="4"/>
        </w:numPr>
        <w:spacing w:line="360" w:lineRule="auto"/>
        <w:jc w:val="both"/>
        <w:rPr>
          <w:rFonts w:ascii="Times New Roman" w:hAnsi="Times New Roman" w:eastAsia="Calibri" w:cs="Times New Roman"/>
        </w:rPr>
      </w:pPr>
      <w:r>
        <w:rPr>
          <w:rFonts w:ascii="Times New Roman" w:hAnsi="Times New Roman" w:eastAsia="Calibri" w:cs="Times New Roman"/>
        </w:rPr>
        <w:t xml:space="preserve">zistia sa konečné stavy účtov prostriedkov a zdrojov rozpočtového hospodárenia, a </w:t>
      </w:r>
    </w:p>
    <w:p>
      <w:pPr>
        <w:pStyle w:val="6"/>
        <w:numPr>
          <w:ilvl w:val="0"/>
          <w:numId w:val="4"/>
        </w:numPr>
        <w:spacing w:line="360" w:lineRule="auto"/>
        <w:jc w:val="both"/>
        <w:rPr>
          <w:rFonts w:ascii="Times New Roman" w:hAnsi="Times New Roman" w:eastAsia="Calibri" w:cs="Times New Roman"/>
        </w:rPr>
      </w:pPr>
      <w:r>
        <w:rPr>
          <w:rFonts w:ascii="Times New Roman" w:hAnsi="Times New Roman" w:eastAsia="Calibri" w:cs="Times New Roman"/>
        </w:rPr>
        <w:t xml:space="preserve">zistí sa účtovný výsledok hospodárenia za účtovné obdobie </w:t>
      </w:r>
    </w:p>
    <w:p>
      <w:pPr>
        <w:pStyle w:val="6"/>
        <w:numPr>
          <w:ilvl w:val="0"/>
          <w:numId w:val="4"/>
        </w:numPr>
        <w:spacing w:line="360" w:lineRule="auto"/>
        <w:jc w:val="both"/>
        <w:rPr>
          <w:rFonts w:ascii="Times New Roman" w:hAnsi="Times New Roman" w:eastAsia="Calibri" w:cs="Times New Roman"/>
        </w:rPr>
      </w:pPr>
      <w:r>
        <w:rPr>
          <w:rFonts w:ascii="Times New Roman" w:hAnsi="Times New Roman" w:eastAsia="Calibri" w:cs="Times New Roman"/>
        </w:rPr>
        <w:t>Obec Hendrichovce od 1. 1. 2009 účtovala v mene euro.</w:t>
      </w:r>
    </w:p>
    <w:p>
      <w:pPr>
        <w:pStyle w:val="6"/>
        <w:jc w:val="both"/>
        <w:rPr>
          <w:rFonts w:ascii="Times New Roman" w:hAnsi="Times New Roman" w:eastAsia="Calibri" w:cs="Times New Roman"/>
          <w:b/>
          <w:bCs/>
        </w:rPr>
      </w:pPr>
      <w:r>
        <w:rPr>
          <w:rFonts w:ascii="Times New Roman" w:hAnsi="Times New Roman" w:eastAsia="Calibri" w:cs="Times New Roman"/>
          <w:b/>
          <w:bCs/>
        </w:rPr>
        <w:t xml:space="preserve">5 Plnenie úloh obce </w:t>
      </w:r>
    </w:p>
    <w:p>
      <w:pPr>
        <w:pStyle w:val="6"/>
        <w:jc w:val="both"/>
        <w:rPr>
          <w:rFonts w:ascii="Times New Roman" w:hAnsi="Times New Roman" w:eastAsia="Calibri" w:cs="Times New Roman"/>
        </w:rPr>
      </w:pPr>
      <w:r>
        <w:rPr>
          <w:rFonts w:ascii="Times New Roman" w:hAnsi="Times New Roman" w:eastAsia="Calibri" w:cs="Times New Roman"/>
        </w:rPr>
        <w:t xml:space="preserve">Inštitúcie v obci </w:t>
      </w:r>
    </w:p>
    <w:p>
      <w:pPr>
        <w:pStyle w:val="6"/>
        <w:jc w:val="both"/>
        <w:rPr>
          <w:rFonts w:ascii="Times New Roman" w:hAnsi="Times New Roman" w:eastAsia="Calibri" w:cs="Times New Roman"/>
        </w:rPr>
      </w:pPr>
      <w:r>
        <w:rPr>
          <w:rFonts w:ascii="Times New Roman" w:hAnsi="Times New Roman" w:eastAsia="Calibri" w:cs="Times New Roman"/>
        </w:rPr>
        <w:t xml:space="preserve">Občianska a technická vybavenosť: </w:t>
      </w:r>
    </w:p>
    <w:p>
      <w:pPr>
        <w:pStyle w:val="6"/>
        <w:jc w:val="both"/>
        <w:rPr>
          <w:rFonts w:ascii="Times New Roman" w:hAnsi="Times New Roman" w:eastAsia="Calibri" w:cs="Times New Roman"/>
        </w:rPr>
      </w:pPr>
      <w:r>
        <w:rPr>
          <w:rFonts w:ascii="Symbol" w:hAnsi="Symbol"/>
        </w:rPr>
        <w:t></w:t>
      </w:r>
      <w:r>
        <w:rPr>
          <w:rFonts w:ascii="Times New Roman" w:hAnsi="Times New Roman" w:eastAsia="Calibri" w:cs="Times New Roman"/>
        </w:rPr>
        <w:t xml:space="preserve"> predajňa potravinárskeho tovaru, </w:t>
      </w:r>
    </w:p>
    <w:p>
      <w:pPr>
        <w:pStyle w:val="6"/>
        <w:jc w:val="both"/>
        <w:rPr>
          <w:rFonts w:ascii="Times New Roman" w:hAnsi="Times New Roman" w:eastAsia="Calibri" w:cs="Times New Roman"/>
        </w:rPr>
      </w:pPr>
      <w:r>
        <w:rPr>
          <w:rFonts w:ascii="Symbol" w:hAnsi="Symbol"/>
        </w:rPr>
        <w:t></w:t>
      </w:r>
      <w:r>
        <w:rPr>
          <w:rFonts w:ascii="Times New Roman" w:hAnsi="Times New Roman" w:eastAsia="Calibri" w:cs="Times New Roman"/>
        </w:rPr>
        <w:t xml:space="preserve"> pohostinské odbytové stredisko, </w:t>
      </w:r>
    </w:p>
    <w:p>
      <w:pPr>
        <w:pStyle w:val="6"/>
        <w:jc w:val="both"/>
        <w:rPr>
          <w:rFonts w:ascii="Times New Roman" w:hAnsi="Times New Roman" w:eastAsia="Calibri" w:cs="Times New Roman"/>
        </w:rPr>
      </w:pPr>
      <w:r>
        <w:rPr>
          <w:rFonts w:ascii="Symbol" w:hAnsi="Symbol"/>
        </w:rPr>
        <w:t></w:t>
      </w:r>
      <w:r>
        <w:rPr>
          <w:rFonts w:ascii="Times New Roman" w:hAnsi="Times New Roman" w:eastAsia="Calibri" w:cs="Times New Roman"/>
        </w:rPr>
        <w:t xml:space="preserve"> futbalové ihrisko,</w:t>
      </w:r>
    </w:p>
    <w:p>
      <w:pPr>
        <w:pStyle w:val="6"/>
        <w:jc w:val="both"/>
        <w:rPr>
          <w:rFonts w:ascii="Times New Roman" w:hAnsi="Times New Roman" w:eastAsia="Calibri" w:cs="Times New Roman"/>
        </w:rPr>
      </w:pPr>
      <w:r>
        <w:rPr>
          <w:rFonts w:ascii="Symbol" w:hAnsi="Symbol"/>
        </w:rPr>
        <w:t></w:t>
      </w:r>
      <w:r>
        <w:rPr>
          <w:rFonts w:ascii="Times New Roman" w:hAnsi="Times New Roman" w:eastAsia="Calibri" w:cs="Times New Roman"/>
        </w:rPr>
        <w:t xml:space="preserve"> pošta, </w:t>
      </w:r>
    </w:p>
    <w:p>
      <w:pPr>
        <w:pStyle w:val="6"/>
        <w:jc w:val="both"/>
        <w:rPr>
          <w:rFonts w:ascii="Times New Roman" w:hAnsi="Times New Roman" w:eastAsia="Calibri" w:cs="Times New Roman"/>
        </w:rPr>
      </w:pPr>
      <w:r>
        <w:rPr>
          <w:rFonts w:ascii="Symbol" w:hAnsi="Symbol"/>
        </w:rPr>
        <w:t></w:t>
      </w:r>
      <w:r>
        <w:rPr>
          <w:rFonts w:ascii="Times New Roman" w:hAnsi="Times New Roman" w:eastAsia="Calibri" w:cs="Times New Roman"/>
        </w:rPr>
        <w:t xml:space="preserve"> rozvodná sieť plynu, </w:t>
      </w:r>
    </w:p>
    <w:p>
      <w:pPr>
        <w:pStyle w:val="6"/>
        <w:jc w:val="both"/>
        <w:rPr>
          <w:rFonts w:ascii="Times New Roman" w:hAnsi="Times New Roman" w:eastAsia="Calibri" w:cs="Times New Roman"/>
        </w:rPr>
      </w:pPr>
      <w:r>
        <w:rPr>
          <w:rFonts w:ascii="Symbol" w:hAnsi="Symbol"/>
        </w:rPr>
        <w:t></w:t>
      </w:r>
      <w:r>
        <w:rPr>
          <w:rFonts w:ascii="Times New Roman" w:hAnsi="Times New Roman" w:eastAsia="Calibri" w:cs="Times New Roman"/>
        </w:rPr>
        <w:t xml:space="preserve"> komunálny odpad, zneškodňovaný komunálny odpad a </w:t>
      </w:r>
    </w:p>
    <w:p>
      <w:pPr>
        <w:pStyle w:val="6"/>
        <w:jc w:val="both"/>
        <w:rPr>
          <w:rFonts w:ascii="Times New Roman" w:hAnsi="Times New Roman" w:eastAsia="Calibri" w:cs="Times New Roman"/>
        </w:rPr>
      </w:pPr>
      <w:r>
        <w:rPr>
          <w:rFonts w:ascii="Symbol" w:hAnsi="Symbol"/>
        </w:rPr>
        <w:t></w:t>
      </w:r>
      <w:r>
        <w:rPr>
          <w:rFonts w:ascii="Times New Roman" w:hAnsi="Times New Roman" w:eastAsia="Calibri" w:cs="Times New Roman"/>
        </w:rPr>
        <w:t xml:space="preserve"> využívaný komunálny odpad.</w:t>
      </w:r>
    </w:p>
    <w:p>
      <w:pPr>
        <w:pStyle w:val="6"/>
        <w:jc w:val="both"/>
        <w:rPr>
          <w:rFonts w:ascii="Times New Roman" w:hAnsi="Times New Roman" w:eastAsia="Calibri" w:cs="Times New Roman"/>
          <w:b/>
          <w:bCs/>
        </w:rPr>
      </w:pPr>
      <w:r>
        <w:rPr>
          <w:rFonts w:ascii="Times New Roman" w:hAnsi="Times New Roman" w:eastAsia="Calibri" w:cs="Times New Roman"/>
          <w:b/>
          <w:bCs/>
        </w:rPr>
        <w:t>6.Informácia o vývoji obce z pohľadu rozpočtovníctva</w:t>
      </w:r>
    </w:p>
    <w:p>
      <w:pPr>
        <w:pStyle w:val="6"/>
        <w:spacing w:line="360" w:lineRule="auto"/>
        <w:jc w:val="both"/>
        <w:rPr>
          <w:rFonts w:ascii="Times New Roman" w:hAnsi="Times New Roman" w:eastAsia="Calibri" w:cs="Times New Roman"/>
        </w:rPr>
      </w:pPr>
      <w:r>
        <w:rPr>
          <w:rFonts w:ascii="Times New Roman" w:hAnsi="Times New Roman" w:eastAsia="Calibri" w:cs="Times New Roman"/>
        </w:rPr>
        <w:t xml:space="preserve">Základným nástrojom finančného hospodárenia obce bol rozpočet obce na rok 2022. </w:t>
      </w:r>
    </w:p>
    <w:p>
      <w:pPr>
        <w:pStyle w:val="6"/>
        <w:spacing w:line="360" w:lineRule="auto"/>
        <w:jc w:val="both"/>
        <w:rPr>
          <w:rFonts w:ascii="Times New Roman" w:hAnsi="Times New Roman" w:eastAsia="Calibri" w:cs="Times New Roman"/>
        </w:rPr>
      </w:pPr>
      <w:r>
        <w:rPr>
          <w:rFonts w:ascii="Times New Roman" w:hAnsi="Times New Roman" w:eastAsia="Calibri" w:cs="Times New Roman"/>
        </w:rPr>
        <w:t xml:space="preserve">Obec zostavila rozpočet podľa ustanovenia § 10 odsek 7) zákona č. 83/2004 Z. z. o rozpočtových pravidlách územnej samosprávy a o zmene a doplnení niektorých zákonov v znení neskorších predpisov. </w:t>
      </w:r>
    </w:p>
    <w:p>
      <w:pPr>
        <w:pStyle w:val="6"/>
        <w:spacing w:line="360" w:lineRule="auto"/>
        <w:jc w:val="both"/>
        <w:rPr>
          <w:rFonts w:ascii="Times New Roman" w:hAnsi="Times New Roman" w:eastAsia="Calibri" w:cs="Times New Roman"/>
        </w:rPr>
      </w:pPr>
      <w:r>
        <w:rPr>
          <w:rFonts w:ascii="Times New Roman" w:hAnsi="Times New Roman" w:eastAsia="Calibri" w:cs="Times New Roman"/>
        </w:rPr>
        <w:t>Rozpočet obce na rok 2022 bol zostavený ako vyrovnaný. Bežný rozpočet bol zostavený ako prebytkový a kapitálový rozpočet ako schodkový a finančné operácie ako prebytkové.</w:t>
      </w:r>
    </w:p>
    <w:p>
      <w:pPr>
        <w:pStyle w:val="6"/>
        <w:spacing w:line="360" w:lineRule="auto"/>
        <w:jc w:val="both"/>
        <w:rPr>
          <w:rFonts w:ascii="Times New Roman" w:hAnsi="Times New Roman" w:eastAsia="Calibri" w:cs="Times New Roman"/>
        </w:rPr>
      </w:pPr>
      <w:r>
        <w:rPr>
          <w:rFonts w:ascii="Times New Roman" w:hAnsi="Times New Roman" w:eastAsia="Calibri" w:cs="Times New Roman"/>
        </w:rPr>
        <w:t>Rozpočet obce bol schválený obecným zastupiteľstvom dňa 23. 12. 2021 uznesením č. 91/19/2021. Rozpočet nebol počas rozpočtového roka menený.</w:t>
      </w:r>
    </w:p>
    <w:p>
      <w:pPr>
        <w:pStyle w:val="6"/>
        <w:jc w:val="both"/>
        <w:rPr>
          <w:rFonts w:ascii="Times New Roman" w:hAnsi="Times New Roman" w:eastAsia="Calibri" w:cs="Times New Roman"/>
          <w:b/>
          <w:bCs/>
        </w:rPr>
      </w:pPr>
      <w:r>
        <w:rPr>
          <w:rFonts w:ascii="Times New Roman" w:hAnsi="Times New Roman" w:eastAsia="Calibri" w:cs="Times New Roman"/>
          <w:b/>
          <w:bCs/>
        </w:rPr>
        <w:t xml:space="preserve">Rozpočet obce k 31. 12. 2022 </w:t>
      </w:r>
    </w:p>
    <w:tbl>
      <w:tblPr>
        <w:tblStyle w:val="14"/>
        <w:tblW w:w="0" w:type="auto"/>
        <w:tblInd w:w="0" w:type="dxa"/>
        <w:tblLayout w:type="autofit"/>
        <w:tblCellMar>
          <w:top w:w="15" w:type="dxa"/>
          <w:left w:w="15" w:type="dxa"/>
          <w:bottom w:w="15" w:type="dxa"/>
          <w:right w:w="15" w:type="dxa"/>
        </w:tblCellMar>
      </w:tblPr>
      <w:tblGrid>
        <w:gridCol w:w="2355"/>
        <w:gridCol w:w="1695"/>
        <w:gridCol w:w="1695"/>
      </w:tblGrid>
      <w:tr>
        <w:tblPrEx>
          <w:tblCellMar>
            <w:top w:w="15" w:type="dxa"/>
            <w:left w:w="15" w:type="dxa"/>
            <w:bottom w:w="15" w:type="dxa"/>
            <w:right w:w="15" w:type="dxa"/>
          </w:tblCellMar>
        </w:tblPrEx>
        <w:tc>
          <w:tcPr>
            <w:tcW w:w="2355" w:type="dxa"/>
            <w:tcBorders>
              <w:top w:val="outset" w:color="auto" w:sz="6" w:space="0"/>
              <w:left w:val="outset" w:color="auto" w:sz="6" w:space="0"/>
              <w:bottom w:val="outset" w:color="auto" w:sz="6" w:space="0"/>
              <w:right w:val="outset" w:color="auto" w:sz="6" w:space="0"/>
            </w:tcBorders>
            <w:shd w:val="clear" w:color="auto" w:fill="D9D9D9"/>
          </w:tcPr>
          <w:p>
            <w:pPr>
              <w:pStyle w:val="6"/>
              <w:jc w:val="both"/>
              <w:rPr>
                <w:rFonts w:ascii="Times New Roman" w:hAnsi="Times New Roman" w:eastAsia="Calibri" w:cs="Times New Roman"/>
                <w:b/>
                <w:bCs/>
              </w:rPr>
            </w:pPr>
          </w:p>
        </w:tc>
        <w:tc>
          <w:tcPr>
            <w:tcW w:w="1695" w:type="dxa"/>
            <w:tcBorders>
              <w:top w:val="outset" w:color="auto" w:sz="6" w:space="0"/>
              <w:left w:val="outset" w:color="auto" w:sz="6" w:space="0"/>
              <w:bottom w:val="outset" w:color="auto" w:sz="6" w:space="0"/>
              <w:right w:val="outset" w:color="auto" w:sz="6" w:space="0"/>
            </w:tcBorders>
            <w:shd w:val="clear" w:color="auto" w:fill="D9D9D9"/>
          </w:tcPr>
          <w:p>
            <w:pPr>
              <w:pStyle w:val="6"/>
              <w:jc w:val="both"/>
              <w:rPr>
                <w:rFonts w:ascii="Times New Roman" w:hAnsi="Times New Roman" w:eastAsia="Calibri" w:cs="Times New Roman"/>
                <w:b/>
                <w:bCs/>
              </w:rPr>
            </w:pPr>
            <w:r>
              <w:rPr>
                <w:rFonts w:ascii="Times New Roman" w:hAnsi="Times New Roman" w:eastAsia="Calibri" w:cs="Times New Roman"/>
                <w:b/>
                <w:bCs/>
              </w:rPr>
              <w:t>Rozpočet</w:t>
            </w:r>
          </w:p>
        </w:tc>
        <w:tc>
          <w:tcPr>
            <w:tcW w:w="1695" w:type="dxa"/>
            <w:tcBorders>
              <w:top w:val="outset" w:color="auto" w:sz="6" w:space="0"/>
              <w:left w:val="outset" w:color="auto" w:sz="6" w:space="0"/>
              <w:bottom w:val="outset" w:color="auto" w:sz="6" w:space="0"/>
              <w:right w:val="outset" w:color="auto" w:sz="6" w:space="0"/>
            </w:tcBorders>
            <w:shd w:val="clear" w:color="auto" w:fill="D9D9D9"/>
          </w:tcPr>
          <w:p>
            <w:pPr>
              <w:pStyle w:val="6"/>
              <w:jc w:val="both"/>
              <w:rPr>
                <w:rFonts w:ascii="Times New Roman" w:hAnsi="Times New Roman" w:eastAsia="Calibri" w:cs="Times New Roman"/>
                <w:b/>
                <w:bCs/>
              </w:rPr>
            </w:pPr>
            <w:r>
              <w:rPr>
                <w:rFonts w:ascii="Times New Roman" w:hAnsi="Times New Roman" w:eastAsia="Calibri" w:cs="Times New Roman"/>
                <w:b/>
                <w:bCs/>
              </w:rPr>
              <w:t>Rozpočet po zmenách</w:t>
            </w:r>
          </w:p>
        </w:tc>
      </w:tr>
      <w:tr>
        <w:tblPrEx>
          <w:tblCellMar>
            <w:top w:w="15" w:type="dxa"/>
            <w:left w:w="15" w:type="dxa"/>
            <w:bottom w:w="15" w:type="dxa"/>
            <w:right w:w="15" w:type="dxa"/>
          </w:tblCellMar>
        </w:tblPrEx>
        <w:tc>
          <w:tcPr>
            <w:tcW w:w="2355"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b/>
                <w:bCs/>
              </w:rPr>
            </w:pPr>
            <w:r>
              <w:rPr>
                <w:rFonts w:ascii="Times New Roman" w:hAnsi="Times New Roman" w:eastAsia="Calibri" w:cs="Times New Roman"/>
                <w:b/>
                <w:bCs/>
              </w:rPr>
              <w:t>Príjmy celkom</w:t>
            </w:r>
          </w:p>
        </w:tc>
        <w:tc>
          <w:tcPr>
            <w:tcW w:w="1695"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b/>
                <w:bCs/>
              </w:rPr>
            </w:pPr>
            <w:r>
              <w:rPr>
                <w:rFonts w:ascii="Times New Roman" w:hAnsi="Times New Roman" w:eastAsia="Calibri" w:cs="Times New Roman"/>
                <w:b/>
                <w:bCs/>
              </w:rPr>
              <w:t>107 310</w:t>
            </w:r>
          </w:p>
        </w:tc>
        <w:tc>
          <w:tcPr>
            <w:tcW w:w="1695"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b/>
                <w:bCs/>
              </w:rPr>
            </w:pPr>
            <w:r>
              <w:rPr>
                <w:rFonts w:ascii="Times New Roman" w:hAnsi="Times New Roman" w:eastAsia="Calibri" w:cs="Times New Roman"/>
                <w:b/>
                <w:bCs/>
              </w:rPr>
              <w:t>107 310</w:t>
            </w:r>
          </w:p>
        </w:tc>
      </w:tr>
      <w:tr>
        <w:tblPrEx>
          <w:tblCellMar>
            <w:top w:w="15" w:type="dxa"/>
            <w:left w:w="15" w:type="dxa"/>
            <w:bottom w:w="15" w:type="dxa"/>
            <w:right w:w="15" w:type="dxa"/>
          </w:tblCellMar>
        </w:tblPrEx>
        <w:tc>
          <w:tcPr>
            <w:tcW w:w="2355"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rPr>
            </w:pPr>
            <w:r>
              <w:rPr>
                <w:rFonts w:ascii="Times New Roman" w:hAnsi="Times New Roman" w:eastAsia="Calibri" w:cs="Times New Roman"/>
              </w:rPr>
              <w:t>Z toho:</w:t>
            </w:r>
          </w:p>
        </w:tc>
        <w:tc>
          <w:tcPr>
            <w:tcW w:w="1695"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b/>
                <w:bCs/>
              </w:rPr>
            </w:pPr>
          </w:p>
        </w:tc>
        <w:tc>
          <w:tcPr>
            <w:tcW w:w="1695"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b/>
                <w:bCs/>
              </w:rPr>
            </w:pPr>
          </w:p>
        </w:tc>
      </w:tr>
      <w:tr>
        <w:tblPrEx>
          <w:tblCellMar>
            <w:top w:w="15" w:type="dxa"/>
            <w:left w:w="15" w:type="dxa"/>
            <w:bottom w:w="15" w:type="dxa"/>
            <w:right w:w="15" w:type="dxa"/>
          </w:tblCellMar>
        </w:tblPrEx>
        <w:tc>
          <w:tcPr>
            <w:tcW w:w="2355"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rPr>
            </w:pPr>
            <w:r>
              <w:rPr>
                <w:rFonts w:ascii="Times New Roman" w:hAnsi="Times New Roman" w:eastAsia="Calibri" w:cs="Times New Roman"/>
              </w:rPr>
              <w:t>Bežné príjmy</w:t>
            </w:r>
          </w:p>
        </w:tc>
        <w:tc>
          <w:tcPr>
            <w:tcW w:w="1695"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rPr>
            </w:pPr>
            <w:r>
              <w:rPr>
                <w:rFonts w:ascii="Times New Roman" w:hAnsi="Times New Roman" w:eastAsia="Calibri" w:cs="Times New Roman"/>
              </w:rPr>
              <w:t>93 310</w:t>
            </w:r>
          </w:p>
        </w:tc>
        <w:tc>
          <w:tcPr>
            <w:tcW w:w="1695"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rPr>
            </w:pPr>
            <w:r>
              <w:rPr>
                <w:rFonts w:ascii="Times New Roman" w:hAnsi="Times New Roman" w:eastAsia="Calibri" w:cs="Times New Roman"/>
              </w:rPr>
              <w:t>93 310</w:t>
            </w:r>
          </w:p>
        </w:tc>
      </w:tr>
      <w:tr>
        <w:tblPrEx>
          <w:tblCellMar>
            <w:top w:w="15" w:type="dxa"/>
            <w:left w:w="15" w:type="dxa"/>
            <w:bottom w:w="15" w:type="dxa"/>
            <w:right w:w="15" w:type="dxa"/>
          </w:tblCellMar>
        </w:tblPrEx>
        <w:tc>
          <w:tcPr>
            <w:tcW w:w="2355"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rPr>
            </w:pPr>
            <w:r>
              <w:rPr>
                <w:rFonts w:ascii="Times New Roman" w:hAnsi="Times New Roman" w:eastAsia="Calibri" w:cs="Times New Roman"/>
              </w:rPr>
              <w:t>Kapitálové príjmy</w:t>
            </w:r>
          </w:p>
        </w:tc>
        <w:tc>
          <w:tcPr>
            <w:tcW w:w="1695"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rPr>
            </w:pPr>
            <w:r>
              <w:rPr>
                <w:rFonts w:ascii="Times New Roman" w:hAnsi="Times New Roman" w:eastAsia="Calibri" w:cs="Times New Roman"/>
              </w:rPr>
              <w:t>0</w:t>
            </w:r>
          </w:p>
        </w:tc>
        <w:tc>
          <w:tcPr>
            <w:tcW w:w="1695"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rPr>
            </w:pPr>
            <w:r>
              <w:rPr>
                <w:rFonts w:ascii="Times New Roman" w:hAnsi="Times New Roman" w:eastAsia="Calibri" w:cs="Times New Roman"/>
              </w:rPr>
              <w:t>0</w:t>
            </w:r>
          </w:p>
        </w:tc>
      </w:tr>
      <w:tr>
        <w:tblPrEx>
          <w:tblCellMar>
            <w:top w:w="15" w:type="dxa"/>
            <w:left w:w="15" w:type="dxa"/>
            <w:bottom w:w="15" w:type="dxa"/>
            <w:right w:w="15" w:type="dxa"/>
          </w:tblCellMar>
        </w:tblPrEx>
        <w:tc>
          <w:tcPr>
            <w:tcW w:w="2355"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b/>
                <w:bCs/>
                <w:i/>
                <w:iCs/>
              </w:rPr>
            </w:pPr>
            <w:r>
              <w:rPr>
                <w:rFonts w:ascii="Times New Roman" w:hAnsi="Times New Roman" w:eastAsia="Calibri" w:cs="Times New Roman"/>
                <w:b/>
                <w:bCs/>
                <w:i/>
                <w:iCs/>
              </w:rPr>
              <w:t>Finančné príjmy</w:t>
            </w:r>
          </w:p>
        </w:tc>
        <w:tc>
          <w:tcPr>
            <w:tcW w:w="1695"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rPr>
            </w:pPr>
            <w:r>
              <w:rPr>
                <w:rFonts w:ascii="Times New Roman" w:hAnsi="Times New Roman" w:eastAsia="Calibri" w:cs="Times New Roman"/>
              </w:rPr>
              <w:t>10 000</w:t>
            </w:r>
          </w:p>
        </w:tc>
        <w:tc>
          <w:tcPr>
            <w:tcW w:w="1695"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rPr>
            </w:pPr>
            <w:r>
              <w:rPr>
                <w:rFonts w:ascii="Times New Roman" w:hAnsi="Times New Roman" w:eastAsia="Calibri" w:cs="Times New Roman"/>
              </w:rPr>
              <w:t>10 000</w:t>
            </w:r>
          </w:p>
        </w:tc>
      </w:tr>
      <w:tr>
        <w:tblPrEx>
          <w:tblCellMar>
            <w:top w:w="15" w:type="dxa"/>
            <w:left w:w="15" w:type="dxa"/>
            <w:bottom w:w="15" w:type="dxa"/>
            <w:right w:w="15" w:type="dxa"/>
          </w:tblCellMar>
        </w:tblPrEx>
        <w:tc>
          <w:tcPr>
            <w:tcW w:w="2355"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rPr>
            </w:pPr>
          </w:p>
        </w:tc>
        <w:tc>
          <w:tcPr>
            <w:tcW w:w="1695"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rPr>
            </w:pPr>
          </w:p>
        </w:tc>
        <w:tc>
          <w:tcPr>
            <w:tcW w:w="1695"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rPr>
            </w:pPr>
          </w:p>
        </w:tc>
      </w:tr>
      <w:tr>
        <w:tblPrEx>
          <w:tblCellMar>
            <w:top w:w="15" w:type="dxa"/>
            <w:left w:w="15" w:type="dxa"/>
            <w:bottom w:w="15" w:type="dxa"/>
            <w:right w:w="15" w:type="dxa"/>
          </w:tblCellMar>
        </w:tblPrEx>
        <w:tc>
          <w:tcPr>
            <w:tcW w:w="2355"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b/>
                <w:bCs/>
              </w:rPr>
            </w:pPr>
            <w:r>
              <w:rPr>
                <w:rFonts w:ascii="Times New Roman" w:hAnsi="Times New Roman" w:eastAsia="Calibri" w:cs="Times New Roman"/>
                <w:b/>
                <w:bCs/>
              </w:rPr>
              <w:t>Výdavky celkom</w:t>
            </w:r>
          </w:p>
        </w:tc>
        <w:tc>
          <w:tcPr>
            <w:tcW w:w="1695"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b/>
                <w:bCs/>
              </w:rPr>
            </w:pPr>
            <w:r>
              <w:rPr>
                <w:rFonts w:ascii="Times New Roman" w:hAnsi="Times New Roman" w:eastAsia="Calibri" w:cs="Times New Roman"/>
                <w:b/>
                <w:bCs/>
              </w:rPr>
              <w:t>107 310</w:t>
            </w:r>
          </w:p>
        </w:tc>
        <w:tc>
          <w:tcPr>
            <w:tcW w:w="1695"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b/>
                <w:bCs/>
              </w:rPr>
            </w:pPr>
            <w:r>
              <w:rPr>
                <w:rFonts w:ascii="Times New Roman" w:hAnsi="Times New Roman" w:eastAsia="Calibri" w:cs="Times New Roman"/>
                <w:b/>
                <w:bCs/>
              </w:rPr>
              <w:t>107 310</w:t>
            </w:r>
          </w:p>
        </w:tc>
      </w:tr>
      <w:tr>
        <w:tblPrEx>
          <w:tblCellMar>
            <w:top w:w="15" w:type="dxa"/>
            <w:left w:w="15" w:type="dxa"/>
            <w:bottom w:w="15" w:type="dxa"/>
            <w:right w:w="15" w:type="dxa"/>
          </w:tblCellMar>
        </w:tblPrEx>
        <w:tc>
          <w:tcPr>
            <w:tcW w:w="2355"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rPr>
            </w:pPr>
            <w:r>
              <w:rPr>
                <w:rFonts w:ascii="Times New Roman" w:hAnsi="Times New Roman" w:eastAsia="Calibri" w:cs="Times New Roman"/>
              </w:rPr>
              <w:t>Z toho</w:t>
            </w:r>
          </w:p>
        </w:tc>
        <w:tc>
          <w:tcPr>
            <w:tcW w:w="1695"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b/>
                <w:bCs/>
              </w:rPr>
            </w:pPr>
          </w:p>
        </w:tc>
        <w:tc>
          <w:tcPr>
            <w:tcW w:w="1695"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b/>
                <w:bCs/>
              </w:rPr>
            </w:pPr>
          </w:p>
        </w:tc>
      </w:tr>
      <w:tr>
        <w:tblPrEx>
          <w:tblCellMar>
            <w:top w:w="15" w:type="dxa"/>
            <w:left w:w="15" w:type="dxa"/>
            <w:bottom w:w="15" w:type="dxa"/>
            <w:right w:w="15" w:type="dxa"/>
          </w:tblCellMar>
        </w:tblPrEx>
        <w:tc>
          <w:tcPr>
            <w:tcW w:w="2355"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rPr>
            </w:pPr>
            <w:r>
              <w:rPr>
                <w:rFonts w:ascii="Times New Roman" w:hAnsi="Times New Roman" w:eastAsia="Calibri" w:cs="Times New Roman"/>
              </w:rPr>
              <w:t>Bežné výdavky</w:t>
            </w:r>
          </w:p>
        </w:tc>
        <w:tc>
          <w:tcPr>
            <w:tcW w:w="1695"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rPr>
            </w:pPr>
            <w:r>
              <w:rPr>
                <w:rFonts w:ascii="Times New Roman" w:hAnsi="Times New Roman" w:eastAsia="Calibri" w:cs="Times New Roman"/>
              </w:rPr>
              <w:t>92 460</w:t>
            </w:r>
          </w:p>
        </w:tc>
        <w:tc>
          <w:tcPr>
            <w:tcW w:w="1695"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rPr>
            </w:pPr>
            <w:r>
              <w:rPr>
                <w:rFonts w:ascii="Times New Roman" w:hAnsi="Times New Roman" w:eastAsia="Calibri" w:cs="Times New Roman"/>
              </w:rPr>
              <w:t>92 460</w:t>
            </w:r>
          </w:p>
        </w:tc>
      </w:tr>
      <w:tr>
        <w:tblPrEx>
          <w:tblCellMar>
            <w:top w:w="15" w:type="dxa"/>
            <w:left w:w="15" w:type="dxa"/>
            <w:bottom w:w="15" w:type="dxa"/>
            <w:right w:w="15" w:type="dxa"/>
          </w:tblCellMar>
        </w:tblPrEx>
        <w:tc>
          <w:tcPr>
            <w:tcW w:w="2355"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rPr>
            </w:pPr>
            <w:r>
              <w:rPr>
                <w:rFonts w:ascii="Times New Roman" w:hAnsi="Times New Roman" w:eastAsia="Calibri" w:cs="Times New Roman"/>
              </w:rPr>
              <w:t>Kapitálové výdavky</w:t>
            </w:r>
          </w:p>
        </w:tc>
        <w:tc>
          <w:tcPr>
            <w:tcW w:w="1695"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rPr>
            </w:pPr>
            <w:r>
              <w:rPr>
                <w:rFonts w:ascii="Times New Roman" w:hAnsi="Times New Roman" w:eastAsia="Calibri" w:cs="Times New Roman"/>
              </w:rPr>
              <w:t>14 850</w:t>
            </w:r>
          </w:p>
        </w:tc>
        <w:tc>
          <w:tcPr>
            <w:tcW w:w="1695"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rPr>
            </w:pPr>
            <w:r>
              <w:rPr>
                <w:rFonts w:ascii="Times New Roman" w:hAnsi="Times New Roman" w:eastAsia="Calibri" w:cs="Times New Roman"/>
              </w:rPr>
              <w:t>14 850</w:t>
            </w:r>
          </w:p>
        </w:tc>
      </w:tr>
      <w:tr>
        <w:tblPrEx>
          <w:tblCellMar>
            <w:top w:w="15" w:type="dxa"/>
            <w:left w:w="15" w:type="dxa"/>
            <w:bottom w:w="15" w:type="dxa"/>
            <w:right w:w="15" w:type="dxa"/>
          </w:tblCellMar>
        </w:tblPrEx>
        <w:tc>
          <w:tcPr>
            <w:tcW w:w="2355"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rPr>
            </w:pPr>
            <w:r>
              <w:rPr>
                <w:rFonts w:ascii="Times New Roman" w:hAnsi="Times New Roman" w:eastAsia="Calibri" w:cs="Times New Roman"/>
              </w:rPr>
              <w:t>Finančné výdavky</w:t>
            </w:r>
          </w:p>
        </w:tc>
        <w:tc>
          <w:tcPr>
            <w:tcW w:w="1695"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rPr>
            </w:pPr>
            <w:r>
              <w:rPr>
                <w:rFonts w:ascii="Times New Roman" w:hAnsi="Times New Roman" w:eastAsia="Calibri" w:cs="Times New Roman"/>
              </w:rPr>
              <w:t>0</w:t>
            </w:r>
          </w:p>
        </w:tc>
        <w:tc>
          <w:tcPr>
            <w:tcW w:w="1695"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rPr>
            </w:pPr>
            <w:r>
              <w:rPr>
                <w:rFonts w:ascii="Times New Roman" w:hAnsi="Times New Roman" w:eastAsia="Calibri" w:cs="Times New Roman"/>
              </w:rPr>
              <w:t>0</w:t>
            </w:r>
          </w:p>
        </w:tc>
      </w:tr>
      <w:tr>
        <w:tblPrEx>
          <w:tblCellMar>
            <w:top w:w="15" w:type="dxa"/>
            <w:left w:w="15" w:type="dxa"/>
            <w:bottom w:w="15" w:type="dxa"/>
            <w:right w:w="15" w:type="dxa"/>
          </w:tblCellMar>
        </w:tblPrEx>
        <w:tc>
          <w:tcPr>
            <w:tcW w:w="2355"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b/>
                <w:bCs/>
              </w:rPr>
            </w:pPr>
          </w:p>
        </w:tc>
        <w:tc>
          <w:tcPr>
            <w:tcW w:w="1695"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b/>
                <w:bCs/>
              </w:rPr>
            </w:pPr>
          </w:p>
        </w:tc>
        <w:tc>
          <w:tcPr>
            <w:tcW w:w="1695"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b/>
                <w:bCs/>
              </w:rPr>
            </w:pPr>
          </w:p>
        </w:tc>
      </w:tr>
      <w:tr>
        <w:tblPrEx>
          <w:tblCellMar>
            <w:top w:w="15" w:type="dxa"/>
            <w:left w:w="15" w:type="dxa"/>
            <w:bottom w:w="15" w:type="dxa"/>
            <w:right w:w="15" w:type="dxa"/>
          </w:tblCellMar>
        </w:tblPrEx>
        <w:tc>
          <w:tcPr>
            <w:tcW w:w="2355"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b/>
                <w:bCs/>
              </w:rPr>
            </w:pPr>
            <w:r>
              <w:rPr>
                <w:rFonts w:ascii="Times New Roman" w:hAnsi="Times New Roman" w:eastAsia="Calibri" w:cs="Times New Roman"/>
                <w:b/>
                <w:bCs/>
              </w:rPr>
              <w:t>Rozpočtové hospodárenie obce</w:t>
            </w:r>
          </w:p>
        </w:tc>
        <w:tc>
          <w:tcPr>
            <w:tcW w:w="1695"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b/>
                <w:bCs/>
              </w:rPr>
            </w:pPr>
            <w:r>
              <w:rPr>
                <w:rFonts w:ascii="Times New Roman" w:hAnsi="Times New Roman" w:eastAsia="Calibri" w:cs="Times New Roman"/>
                <w:b/>
                <w:bCs/>
              </w:rPr>
              <w:t>0</w:t>
            </w:r>
          </w:p>
        </w:tc>
        <w:tc>
          <w:tcPr>
            <w:tcW w:w="1695"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b/>
                <w:bCs/>
              </w:rPr>
            </w:pPr>
            <w:r>
              <w:rPr>
                <w:rFonts w:ascii="Times New Roman" w:hAnsi="Times New Roman" w:eastAsia="Calibri" w:cs="Times New Roman"/>
                <w:b/>
                <w:bCs/>
              </w:rPr>
              <w:t>0</w:t>
            </w:r>
          </w:p>
        </w:tc>
      </w:tr>
    </w:tbl>
    <w:p>
      <w:pPr>
        <w:pStyle w:val="6"/>
        <w:jc w:val="both"/>
        <w:rPr>
          <w:rFonts w:ascii="Times New Roman" w:hAnsi="Times New Roman" w:eastAsia="Calibri" w:cs="Times New Roman"/>
          <w:b/>
          <w:bCs/>
        </w:rPr>
      </w:pPr>
      <w:r>
        <w:rPr>
          <w:rFonts w:ascii="Times New Roman" w:hAnsi="Times New Roman" w:eastAsia="Calibri" w:cs="Times New Roman"/>
          <w:b/>
          <w:bCs/>
        </w:rPr>
        <w:t>6.1 Rozbor plnenia príjmov za rok 2022</w:t>
      </w:r>
    </w:p>
    <w:tbl>
      <w:tblPr>
        <w:tblStyle w:val="14"/>
        <w:tblW w:w="0" w:type="auto"/>
        <w:tblInd w:w="0" w:type="dxa"/>
        <w:tblLayout w:type="autofit"/>
        <w:tblCellMar>
          <w:top w:w="15" w:type="dxa"/>
          <w:left w:w="15" w:type="dxa"/>
          <w:bottom w:w="15" w:type="dxa"/>
          <w:right w:w="15" w:type="dxa"/>
        </w:tblCellMar>
      </w:tblPr>
      <w:tblGrid>
        <w:gridCol w:w="2882"/>
        <w:gridCol w:w="2988"/>
        <w:gridCol w:w="3232"/>
      </w:tblGrid>
      <w:tr>
        <w:tblPrEx>
          <w:tblCellMar>
            <w:top w:w="15" w:type="dxa"/>
            <w:left w:w="15" w:type="dxa"/>
            <w:bottom w:w="15" w:type="dxa"/>
            <w:right w:w="15" w:type="dxa"/>
          </w:tblCellMar>
        </w:tblPrEx>
        <w:tc>
          <w:tcPr>
            <w:tcW w:w="2955" w:type="dxa"/>
            <w:tcBorders>
              <w:top w:val="outset" w:color="auto" w:sz="6" w:space="0"/>
              <w:left w:val="outset" w:color="auto" w:sz="6" w:space="0"/>
              <w:bottom w:val="outset" w:color="auto" w:sz="6" w:space="0"/>
              <w:right w:val="nil"/>
            </w:tcBorders>
            <w:shd w:val="clear" w:color="auto" w:fill="D9D9D9"/>
            <w:vAlign w:val="center"/>
          </w:tcPr>
          <w:p>
            <w:pPr>
              <w:pStyle w:val="6"/>
              <w:jc w:val="both"/>
              <w:textAlignment w:val="baseline"/>
              <w:rPr>
                <w:rFonts w:ascii="Times New Roman" w:hAnsi="Times New Roman" w:cs="Times New Roman"/>
              </w:rPr>
            </w:pPr>
            <w:r>
              <w:rPr>
                <w:rFonts w:ascii="Times New Roman" w:hAnsi="Times New Roman" w:cs="Times New Roman"/>
                <w:b/>
                <w:bCs/>
              </w:rPr>
              <w:t>Schválený rozpočet na rok 2022 po poslednej zmene</w:t>
            </w:r>
            <w:r>
              <w:rPr>
                <w:rFonts w:ascii="Times New Roman" w:hAnsi="Times New Roman" w:cs="Times New Roman"/>
              </w:rPr>
              <w:t> </w:t>
            </w:r>
          </w:p>
        </w:tc>
        <w:tc>
          <w:tcPr>
            <w:tcW w:w="3060" w:type="dxa"/>
            <w:tcBorders>
              <w:top w:val="outset" w:color="auto" w:sz="6" w:space="0"/>
              <w:left w:val="outset" w:color="auto" w:sz="6" w:space="0"/>
              <w:bottom w:val="outset" w:color="auto" w:sz="6" w:space="0"/>
              <w:right w:val="nil"/>
            </w:tcBorders>
            <w:shd w:val="clear" w:color="auto" w:fill="D9D9D9"/>
            <w:vAlign w:val="center"/>
          </w:tcPr>
          <w:p>
            <w:pPr>
              <w:pStyle w:val="6"/>
              <w:jc w:val="center"/>
              <w:textAlignment w:val="baseline"/>
              <w:rPr>
                <w:rFonts w:ascii="Times New Roman" w:hAnsi="Times New Roman" w:cs="Times New Roman"/>
              </w:rPr>
            </w:pPr>
            <w:r>
              <w:rPr>
                <w:rFonts w:ascii="Times New Roman" w:hAnsi="Times New Roman" w:cs="Times New Roman"/>
                <w:b/>
                <w:bCs/>
              </w:rPr>
              <w:t>Skutočnosť k 31. 12. 2022</w:t>
            </w:r>
          </w:p>
        </w:tc>
        <w:tc>
          <w:tcPr>
            <w:tcW w:w="3330" w:type="dxa"/>
            <w:tcBorders>
              <w:top w:val="outset" w:color="auto" w:sz="6" w:space="0"/>
              <w:left w:val="outset" w:color="auto" w:sz="6" w:space="0"/>
              <w:bottom w:val="outset" w:color="auto" w:sz="6" w:space="0"/>
              <w:right w:val="outset" w:color="auto" w:sz="6" w:space="0"/>
            </w:tcBorders>
            <w:shd w:val="clear" w:color="auto" w:fill="D9D9D9"/>
            <w:vAlign w:val="center"/>
          </w:tcPr>
          <w:p>
            <w:pPr>
              <w:pStyle w:val="6"/>
              <w:jc w:val="center"/>
              <w:textAlignment w:val="baseline"/>
              <w:rPr>
                <w:rFonts w:ascii="Times New Roman" w:hAnsi="Times New Roman" w:cs="Times New Roman"/>
              </w:rPr>
            </w:pPr>
            <w:r>
              <w:rPr>
                <w:rFonts w:ascii="Times New Roman" w:hAnsi="Times New Roman" w:cs="Times New Roman"/>
                <w:b/>
                <w:bCs/>
              </w:rPr>
              <w:t>% plnenia</w:t>
            </w:r>
          </w:p>
        </w:tc>
      </w:tr>
      <w:tr>
        <w:tblPrEx>
          <w:tblCellMar>
            <w:top w:w="15" w:type="dxa"/>
            <w:left w:w="15" w:type="dxa"/>
            <w:bottom w:w="15" w:type="dxa"/>
            <w:right w:w="15" w:type="dxa"/>
          </w:tblCellMar>
        </w:tblPrEx>
        <w:tc>
          <w:tcPr>
            <w:tcW w:w="2955" w:type="dxa"/>
            <w:tcBorders>
              <w:top w:val="nil"/>
              <w:left w:val="outset" w:color="auto" w:sz="6" w:space="0"/>
              <w:bottom w:val="outset" w:color="auto" w:sz="6" w:space="0"/>
              <w:right w:val="nil"/>
            </w:tcBorders>
          </w:tcPr>
          <w:p>
            <w:pPr>
              <w:pStyle w:val="6"/>
              <w:jc w:val="center"/>
              <w:textAlignment w:val="baseline"/>
              <w:rPr>
                <w:rFonts w:ascii="Times New Roman" w:hAnsi="Times New Roman" w:cs="Times New Roman"/>
              </w:rPr>
            </w:pPr>
            <w:r>
              <w:rPr>
                <w:rFonts w:ascii="Times New Roman" w:hAnsi="Times New Roman" w:cs="Times New Roman"/>
                <w:b/>
                <w:bCs/>
              </w:rPr>
              <w:t>107 310</w:t>
            </w:r>
          </w:p>
        </w:tc>
        <w:tc>
          <w:tcPr>
            <w:tcW w:w="3060" w:type="dxa"/>
            <w:tcBorders>
              <w:top w:val="nil"/>
              <w:left w:val="outset" w:color="auto" w:sz="6" w:space="0"/>
              <w:bottom w:val="outset" w:color="auto" w:sz="6" w:space="0"/>
              <w:right w:val="nil"/>
            </w:tcBorders>
          </w:tcPr>
          <w:p>
            <w:pPr>
              <w:pStyle w:val="6"/>
              <w:jc w:val="center"/>
              <w:textAlignment w:val="baseline"/>
              <w:rPr>
                <w:rFonts w:ascii="Times New Roman" w:hAnsi="Times New Roman" w:cs="Times New Roman"/>
              </w:rPr>
            </w:pPr>
            <w:r>
              <w:rPr>
                <w:rFonts w:ascii="Times New Roman" w:hAnsi="Times New Roman" w:cs="Times New Roman"/>
              </w:rPr>
              <w:t>173 221,45</w:t>
            </w:r>
          </w:p>
        </w:tc>
        <w:tc>
          <w:tcPr>
            <w:tcW w:w="3330" w:type="dxa"/>
            <w:tcBorders>
              <w:top w:val="nil"/>
              <w:left w:val="outset" w:color="auto" w:sz="6" w:space="0"/>
              <w:bottom w:val="outset" w:color="auto" w:sz="6" w:space="0"/>
              <w:right w:val="outset" w:color="auto" w:sz="6" w:space="0"/>
            </w:tcBorders>
          </w:tcPr>
          <w:p>
            <w:pPr>
              <w:pStyle w:val="6"/>
              <w:jc w:val="center"/>
              <w:textAlignment w:val="baseline"/>
              <w:rPr>
                <w:rFonts w:ascii="Times New Roman" w:hAnsi="Times New Roman" w:cs="Times New Roman"/>
              </w:rPr>
            </w:pPr>
            <w:r>
              <w:rPr>
                <w:rFonts w:ascii="Times New Roman" w:hAnsi="Times New Roman" w:cs="Times New Roman"/>
              </w:rPr>
              <w:t>161,42</w:t>
            </w:r>
          </w:p>
        </w:tc>
      </w:tr>
    </w:tbl>
    <w:p>
      <w:pPr>
        <w:pStyle w:val="6"/>
        <w:spacing w:line="360" w:lineRule="auto"/>
        <w:jc w:val="both"/>
        <w:textAlignment w:val="baseline"/>
        <w:rPr>
          <w:rFonts w:ascii="Segoe UI" w:hAnsi="Segoe UI" w:cs="Segoe UI"/>
        </w:rPr>
      </w:pPr>
      <w:r>
        <w:rPr>
          <w:rFonts w:ascii="Times New Roman" w:hAnsi="Times New Roman" w:cs="Times New Roman"/>
        </w:rPr>
        <w:t xml:space="preserve">Z rozpočtovaných celkových príjmov 107 310 EUR bol skutočný príjem  </w:t>
      </w:r>
      <w:r>
        <w:rPr>
          <w:rFonts w:ascii="Times New Roman" w:hAnsi="Times New Roman" w:cs="Times New Roman"/>
        </w:rPr>
        <w:br w:type="textWrapping"/>
      </w:r>
      <w:r>
        <w:rPr>
          <w:rFonts w:ascii="Times New Roman" w:hAnsi="Times New Roman" w:cs="Times New Roman"/>
        </w:rPr>
        <w:t xml:space="preserve">k 31. 12. 202 v sume 173 221,45 EUR, čo predstavuje  161,42 %  plnenie. </w:t>
      </w:r>
    </w:p>
    <w:p>
      <w:pPr>
        <w:pStyle w:val="6"/>
        <w:numPr>
          <w:ilvl w:val="0"/>
          <w:numId w:val="5"/>
        </w:numPr>
        <w:jc w:val="both"/>
        <w:textAlignment w:val="baseline"/>
        <w:rPr>
          <w:rFonts w:ascii="Times New Roman" w:hAnsi="Times New Roman" w:cs="Times New Roman"/>
        </w:rPr>
      </w:pPr>
      <w:r>
        <w:rPr>
          <w:rFonts w:ascii="Times New Roman" w:hAnsi="Times New Roman" w:cs="Times New Roman"/>
          <w:b/>
          <w:bCs/>
        </w:rPr>
        <w:t>Bežné príjmy</w:t>
      </w:r>
      <w:r>
        <w:rPr>
          <w:rFonts w:ascii="Times New Roman" w:hAnsi="Times New Roman" w:cs="Times New Roman"/>
        </w:rPr>
        <w:t xml:space="preserve"> </w:t>
      </w:r>
    </w:p>
    <w:tbl>
      <w:tblPr>
        <w:tblStyle w:val="14"/>
        <w:tblW w:w="0" w:type="auto"/>
        <w:tblInd w:w="0" w:type="dxa"/>
        <w:tblLayout w:type="autofit"/>
        <w:tblCellMar>
          <w:top w:w="15" w:type="dxa"/>
          <w:left w:w="15" w:type="dxa"/>
          <w:bottom w:w="15" w:type="dxa"/>
          <w:right w:w="15" w:type="dxa"/>
        </w:tblCellMar>
      </w:tblPr>
      <w:tblGrid>
        <w:gridCol w:w="2880"/>
        <w:gridCol w:w="2986"/>
        <w:gridCol w:w="3236"/>
      </w:tblGrid>
      <w:tr>
        <w:tblPrEx>
          <w:tblCellMar>
            <w:top w:w="15" w:type="dxa"/>
            <w:left w:w="15" w:type="dxa"/>
            <w:bottom w:w="15" w:type="dxa"/>
            <w:right w:w="15" w:type="dxa"/>
          </w:tblCellMar>
        </w:tblPrEx>
        <w:tc>
          <w:tcPr>
            <w:tcW w:w="2955" w:type="dxa"/>
            <w:tcBorders>
              <w:top w:val="outset" w:color="auto" w:sz="6" w:space="0"/>
              <w:left w:val="outset" w:color="auto" w:sz="6" w:space="0"/>
              <w:bottom w:val="outset" w:color="auto" w:sz="6" w:space="0"/>
              <w:right w:val="nil"/>
            </w:tcBorders>
            <w:shd w:val="clear" w:color="auto" w:fill="D9D9D9"/>
            <w:vAlign w:val="center"/>
          </w:tcPr>
          <w:p>
            <w:pPr>
              <w:pStyle w:val="6"/>
              <w:jc w:val="center"/>
              <w:textAlignment w:val="baseline"/>
              <w:rPr>
                <w:rFonts w:ascii="Times New Roman" w:hAnsi="Times New Roman" w:cs="Times New Roman"/>
              </w:rPr>
            </w:pPr>
            <w:r>
              <w:rPr>
                <w:rFonts w:ascii="Times New Roman" w:hAnsi="Times New Roman" w:cs="Times New Roman"/>
                <w:b/>
                <w:bCs/>
              </w:rPr>
              <w:t>Schválený rozpočet na rok 2022 po poslednej zmene</w:t>
            </w:r>
          </w:p>
        </w:tc>
        <w:tc>
          <w:tcPr>
            <w:tcW w:w="3060" w:type="dxa"/>
            <w:tcBorders>
              <w:top w:val="outset" w:color="auto" w:sz="6" w:space="0"/>
              <w:left w:val="outset" w:color="auto" w:sz="6" w:space="0"/>
              <w:bottom w:val="outset" w:color="auto" w:sz="6" w:space="0"/>
              <w:right w:val="nil"/>
            </w:tcBorders>
            <w:shd w:val="clear" w:color="auto" w:fill="D9D9D9"/>
            <w:vAlign w:val="center"/>
          </w:tcPr>
          <w:p>
            <w:pPr>
              <w:pStyle w:val="6"/>
              <w:jc w:val="center"/>
              <w:textAlignment w:val="baseline"/>
              <w:rPr>
                <w:rFonts w:ascii="Times New Roman" w:hAnsi="Times New Roman" w:cs="Times New Roman"/>
              </w:rPr>
            </w:pPr>
            <w:r>
              <w:rPr>
                <w:rFonts w:ascii="Times New Roman" w:hAnsi="Times New Roman" w:cs="Times New Roman"/>
                <w:b/>
                <w:bCs/>
              </w:rPr>
              <w:t>Skutočnosť k 31. 12. 2022</w:t>
            </w:r>
          </w:p>
        </w:tc>
        <w:tc>
          <w:tcPr>
            <w:tcW w:w="3330" w:type="dxa"/>
            <w:tcBorders>
              <w:top w:val="outset" w:color="auto" w:sz="6" w:space="0"/>
              <w:left w:val="outset" w:color="auto" w:sz="6" w:space="0"/>
              <w:bottom w:val="outset" w:color="auto" w:sz="6" w:space="0"/>
              <w:right w:val="outset" w:color="auto" w:sz="6" w:space="0"/>
            </w:tcBorders>
            <w:shd w:val="clear" w:color="auto" w:fill="D9D9D9"/>
            <w:vAlign w:val="center"/>
          </w:tcPr>
          <w:p>
            <w:pPr>
              <w:pStyle w:val="6"/>
              <w:jc w:val="center"/>
              <w:textAlignment w:val="baseline"/>
              <w:rPr>
                <w:rFonts w:ascii="Times New Roman" w:hAnsi="Times New Roman" w:cs="Times New Roman"/>
              </w:rPr>
            </w:pPr>
            <w:r>
              <w:rPr>
                <w:rFonts w:ascii="Times New Roman" w:hAnsi="Times New Roman" w:cs="Times New Roman"/>
                <w:b/>
                <w:bCs/>
              </w:rPr>
              <w:t>% plnenia</w:t>
            </w:r>
          </w:p>
        </w:tc>
      </w:tr>
      <w:tr>
        <w:tblPrEx>
          <w:tblCellMar>
            <w:top w:w="15" w:type="dxa"/>
            <w:left w:w="15" w:type="dxa"/>
            <w:bottom w:w="15" w:type="dxa"/>
            <w:right w:w="15" w:type="dxa"/>
          </w:tblCellMar>
        </w:tblPrEx>
        <w:tc>
          <w:tcPr>
            <w:tcW w:w="2955" w:type="dxa"/>
            <w:tcBorders>
              <w:top w:val="nil"/>
              <w:left w:val="outset" w:color="auto" w:sz="6" w:space="0"/>
              <w:bottom w:val="outset" w:color="auto" w:sz="6" w:space="0"/>
              <w:right w:val="nil"/>
            </w:tcBorders>
          </w:tcPr>
          <w:p>
            <w:pPr>
              <w:pStyle w:val="6"/>
              <w:jc w:val="center"/>
              <w:textAlignment w:val="baseline"/>
              <w:rPr>
                <w:rFonts w:ascii="Times New Roman" w:hAnsi="Times New Roman" w:cs="Times New Roman"/>
              </w:rPr>
            </w:pPr>
            <w:r>
              <w:rPr>
                <w:rFonts w:ascii="Times New Roman" w:hAnsi="Times New Roman" w:cs="Times New Roman"/>
                <w:b/>
                <w:bCs/>
              </w:rPr>
              <w:t>97 310</w:t>
            </w:r>
          </w:p>
        </w:tc>
        <w:tc>
          <w:tcPr>
            <w:tcW w:w="3060" w:type="dxa"/>
            <w:tcBorders>
              <w:top w:val="nil"/>
              <w:left w:val="outset" w:color="auto" w:sz="6" w:space="0"/>
              <w:bottom w:val="outset" w:color="auto" w:sz="6" w:space="0"/>
              <w:right w:val="nil"/>
            </w:tcBorders>
          </w:tcPr>
          <w:p>
            <w:pPr>
              <w:pStyle w:val="6"/>
              <w:jc w:val="center"/>
              <w:textAlignment w:val="baseline"/>
              <w:rPr>
                <w:rFonts w:ascii="Times New Roman" w:hAnsi="Times New Roman" w:cs="Times New Roman"/>
              </w:rPr>
            </w:pPr>
            <w:r>
              <w:rPr>
                <w:rFonts w:ascii="Times New Roman" w:hAnsi="Times New Roman" w:cs="Times New Roman"/>
              </w:rPr>
              <w:t>100 734,65</w:t>
            </w:r>
          </w:p>
        </w:tc>
        <w:tc>
          <w:tcPr>
            <w:tcW w:w="3330" w:type="dxa"/>
            <w:tcBorders>
              <w:top w:val="nil"/>
              <w:left w:val="outset" w:color="auto" w:sz="6" w:space="0"/>
              <w:bottom w:val="outset" w:color="auto" w:sz="6" w:space="0"/>
              <w:right w:val="outset" w:color="auto" w:sz="6" w:space="0"/>
            </w:tcBorders>
          </w:tcPr>
          <w:p>
            <w:pPr>
              <w:pStyle w:val="6"/>
              <w:jc w:val="center"/>
              <w:textAlignment w:val="baseline"/>
              <w:rPr>
                <w:rFonts w:ascii="Times New Roman" w:hAnsi="Times New Roman" w:cs="Times New Roman"/>
              </w:rPr>
            </w:pPr>
            <w:r>
              <w:rPr>
                <w:rFonts w:ascii="Times New Roman" w:hAnsi="Times New Roman" w:cs="Times New Roman"/>
              </w:rPr>
              <w:t>103,52 %</w:t>
            </w:r>
          </w:p>
        </w:tc>
      </w:tr>
    </w:tbl>
    <w:p>
      <w:pPr>
        <w:pStyle w:val="6"/>
        <w:spacing w:line="360" w:lineRule="auto"/>
        <w:jc w:val="both"/>
        <w:textAlignment w:val="baseline"/>
        <w:rPr>
          <w:rFonts w:ascii="Segoe UI" w:hAnsi="Segoe UI" w:cs="Segoe UI"/>
        </w:rPr>
      </w:pPr>
      <w:r>
        <w:rPr>
          <w:rFonts w:ascii="Times New Roman" w:hAnsi="Times New Roman" w:cs="Times New Roman"/>
        </w:rPr>
        <w:t xml:space="preserve">Z rozpočtovaných bežných príjmov 97 310 EUR bol skutočný príjem k 31. 12. 2022 v sume 100 734,65  EUR, čo predstavuje  103,52 %  plnenie. </w:t>
      </w:r>
    </w:p>
    <w:p>
      <w:pPr>
        <w:pStyle w:val="6"/>
        <w:numPr>
          <w:ilvl w:val="0"/>
          <w:numId w:val="6"/>
        </w:numPr>
        <w:jc w:val="both"/>
        <w:textAlignment w:val="baseline"/>
        <w:rPr>
          <w:rFonts w:ascii="Times New Roman" w:hAnsi="Times New Roman" w:cs="Times New Roman"/>
        </w:rPr>
      </w:pPr>
      <w:r>
        <w:rPr>
          <w:rFonts w:ascii="Times New Roman" w:hAnsi="Times New Roman" w:cs="Times New Roman"/>
          <w:b/>
          <w:bCs/>
        </w:rPr>
        <w:t>daňové príjmy</w:t>
      </w:r>
      <w:r>
        <w:rPr>
          <w:rFonts w:ascii="Times New Roman" w:hAnsi="Times New Roman" w:cs="Times New Roman"/>
        </w:rPr>
        <w:t xml:space="preserve"> </w:t>
      </w:r>
    </w:p>
    <w:tbl>
      <w:tblPr>
        <w:tblStyle w:val="14"/>
        <w:tblW w:w="0" w:type="auto"/>
        <w:tblInd w:w="0" w:type="dxa"/>
        <w:tblLayout w:type="autofit"/>
        <w:tblCellMar>
          <w:top w:w="15" w:type="dxa"/>
          <w:left w:w="15" w:type="dxa"/>
          <w:bottom w:w="15" w:type="dxa"/>
          <w:right w:w="15" w:type="dxa"/>
        </w:tblCellMar>
      </w:tblPr>
      <w:tblGrid>
        <w:gridCol w:w="2880"/>
        <w:gridCol w:w="2986"/>
        <w:gridCol w:w="3236"/>
      </w:tblGrid>
      <w:tr>
        <w:tblPrEx>
          <w:tblCellMar>
            <w:top w:w="15" w:type="dxa"/>
            <w:left w:w="15" w:type="dxa"/>
            <w:bottom w:w="15" w:type="dxa"/>
            <w:right w:w="15" w:type="dxa"/>
          </w:tblCellMar>
        </w:tblPrEx>
        <w:tc>
          <w:tcPr>
            <w:tcW w:w="2955" w:type="dxa"/>
            <w:tcBorders>
              <w:top w:val="outset" w:color="auto" w:sz="6" w:space="0"/>
              <w:left w:val="outset" w:color="auto" w:sz="6" w:space="0"/>
              <w:bottom w:val="outset" w:color="auto" w:sz="6" w:space="0"/>
              <w:right w:val="nil"/>
            </w:tcBorders>
            <w:shd w:val="clear" w:color="auto" w:fill="D9D9D9"/>
            <w:vAlign w:val="center"/>
          </w:tcPr>
          <w:p>
            <w:pPr>
              <w:pStyle w:val="6"/>
              <w:jc w:val="both"/>
              <w:textAlignment w:val="baseline"/>
              <w:rPr>
                <w:rFonts w:ascii="Times New Roman" w:hAnsi="Times New Roman" w:cs="Times New Roman"/>
              </w:rPr>
            </w:pPr>
            <w:r>
              <w:rPr>
                <w:rFonts w:ascii="Times New Roman" w:hAnsi="Times New Roman" w:cs="Times New Roman"/>
                <w:b/>
                <w:bCs/>
              </w:rPr>
              <w:t>Schválený rozpočet na rok 2022 po poslednej zmene</w:t>
            </w:r>
            <w:r>
              <w:rPr>
                <w:rFonts w:ascii="Times New Roman" w:hAnsi="Times New Roman" w:cs="Times New Roman"/>
              </w:rPr>
              <w:t> </w:t>
            </w:r>
          </w:p>
        </w:tc>
        <w:tc>
          <w:tcPr>
            <w:tcW w:w="3060" w:type="dxa"/>
            <w:tcBorders>
              <w:top w:val="outset" w:color="auto" w:sz="6" w:space="0"/>
              <w:left w:val="outset" w:color="auto" w:sz="6" w:space="0"/>
              <w:bottom w:val="outset" w:color="auto" w:sz="6" w:space="0"/>
              <w:right w:val="nil"/>
            </w:tcBorders>
            <w:shd w:val="clear" w:color="auto" w:fill="D9D9D9"/>
            <w:vAlign w:val="center"/>
          </w:tcPr>
          <w:p>
            <w:pPr>
              <w:pStyle w:val="6"/>
              <w:jc w:val="both"/>
              <w:textAlignment w:val="baseline"/>
              <w:rPr>
                <w:rFonts w:ascii="Times New Roman" w:hAnsi="Times New Roman" w:cs="Times New Roman"/>
              </w:rPr>
            </w:pPr>
            <w:r>
              <w:rPr>
                <w:rFonts w:ascii="Times New Roman" w:hAnsi="Times New Roman" w:cs="Times New Roman"/>
                <w:b/>
                <w:bCs/>
              </w:rPr>
              <w:t>Skutočnosť k 31. 12. 2022</w:t>
            </w:r>
            <w:r>
              <w:rPr>
                <w:rFonts w:ascii="Times New Roman" w:hAnsi="Times New Roman" w:cs="Times New Roman"/>
              </w:rPr>
              <w:t> </w:t>
            </w:r>
          </w:p>
        </w:tc>
        <w:tc>
          <w:tcPr>
            <w:tcW w:w="3330" w:type="dxa"/>
            <w:tcBorders>
              <w:top w:val="outset" w:color="auto" w:sz="6" w:space="0"/>
              <w:left w:val="outset" w:color="auto" w:sz="6" w:space="0"/>
              <w:bottom w:val="outset" w:color="auto" w:sz="6" w:space="0"/>
              <w:right w:val="outset" w:color="auto" w:sz="6" w:space="0"/>
            </w:tcBorders>
            <w:shd w:val="clear" w:color="auto" w:fill="D9D9D9"/>
            <w:vAlign w:val="center"/>
          </w:tcPr>
          <w:p>
            <w:pPr>
              <w:pStyle w:val="6"/>
              <w:jc w:val="both"/>
              <w:textAlignment w:val="baseline"/>
              <w:rPr>
                <w:rFonts w:ascii="Times New Roman" w:hAnsi="Times New Roman" w:cs="Times New Roman"/>
              </w:rPr>
            </w:pPr>
            <w:r>
              <w:rPr>
                <w:rFonts w:ascii="Times New Roman" w:hAnsi="Times New Roman" w:cs="Times New Roman"/>
                <w:b/>
                <w:bCs/>
              </w:rPr>
              <w:t>% plnenia</w:t>
            </w:r>
            <w:r>
              <w:rPr>
                <w:rFonts w:ascii="Times New Roman" w:hAnsi="Times New Roman" w:cs="Times New Roman"/>
              </w:rPr>
              <w:t> </w:t>
            </w:r>
          </w:p>
        </w:tc>
      </w:tr>
      <w:tr>
        <w:tblPrEx>
          <w:tblCellMar>
            <w:top w:w="15" w:type="dxa"/>
            <w:left w:w="15" w:type="dxa"/>
            <w:bottom w:w="15" w:type="dxa"/>
            <w:right w:w="15" w:type="dxa"/>
          </w:tblCellMar>
        </w:tblPrEx>
        <w:tc>
          <w:tcPr>
            <w:tcW w:w="2955" w:type="dxa"/>
            <w:tcBorders>
              <w:top w:val="nil"/>
              <w:left w:val="outset" w:color="auto" w:sz="6" w:space="0"/>
              <w:bottom w:val="outset" w:color="auto" w:sz="6" w:space="0"/>
              <w:right w:val="nil"/>
            </w:tcBorders>
          </w:tcPr>
          <w:p>
            <w:pPr>
              <w:pStyle w:val="6"/>
              <w:jc w:val="both"/>
              <w:textAlignment w:val="baseline"/>
              <w:rPr>
                <w:rFonts w:ascii="Times New Roman" w:hAnsi="Times New Roman" w:cs="Times New Roman"/>
              </w:rPr>
            </w:pPr>
            <w:r>
              <w:rPr>
                <w:rFonts w:ascii="Times New Roman" w:hAnsi="Times New Roman" w:cs="Times New Roman"/>
                <w:b/>
                <w:bCs/>
              </w:rPr>
              <w:t>82 810</w:t>
            </w:r>
            <w:r>
              <w:rPr>
                <w:rFonts w:ascii="Times New Roman" w:hAnsi="Times New Roman" w:cs="Times New Roman"/>
              </w:rPr>
              <w:t> </w:t>
            </w:r>
          </w:p>
        </w:tc>
        <w:tc>
          <w:tcPr>
            <w:tcW w:w="3060" w:type="dxa"/>
            <w:tcBorders>
              <w:top w:val="nil"/>
              <w:left w:val="outset" w:color="auto" w:sz="6" w:space="0"/>
              <w:bottom w:val="outset" w:color="auto" w:sz="6" w:space="0"/>
              <w:right w:val="nil"/>
            </w:tcBorders>
          </w:tcPr>
          <w:p>
            <w:pPr>
              <w:pStyle w:val="6"/>
              <w:jc w:val="both"/>
              <w:textAlignment w:val="baseline"/>
              <w:rPr>
                <w:rFonts w:ascii="Times New Roman" w:hAnsi="Times New Roman" w:cs="Times New Roman"/>
              </w:rPr>
            </w:pPr>
            <w:r>
              <w:rPr>
                <w:rFonts w:ascii="Times New Roman" w:hAnsi="Times New Roman" w:cs="Times New Roman"/>
              </w:rPr>
              <w:t>85 120,77</w:t>
            </w:r>
          </w:p>
        </w:tc>
        <w:tc>
          <w:tcPr>
            <w:tcW w:w="3330" w:type="dxa"/>
            <w:tcBorders>
              <w:top w:val="nil"/>
              <w:left w:val="outset" w:color="auto" w:sz="6" w:space="0"/>
              <w:bottom w:val="outset" w:color="auto" w:sz="6" w:space="0"/>
              <w:right w:val="outset" w:color="auto" w:sz="6" w:space="0"/>
            </w:tcBorders>
          </w:tcPr>
          <w:p>
            <w:pPr>
              <w:pStyle w:val="6"/>
              <w:jc w:val="both"/>
              <w:textAlignment w:val="baseline"/>
              <w:rPr>
                <w:rFonts w:ascii="Times New Roman" w:hAnsi="Times New Roman" w:cs="Times New Roman"/>
              </w:rPr>
            </w:pPr>
            <w:r>
              <w:rPr>
                <w:rFonts w:ascii="Times New Roman" w:hAnsi="Times New Roman" w:cs="Times New Roman"/>
                <w:b/>
                <w:bCs/>
              </w:rPr>
              <w:t>102,79%</w:t>
            </w:r>
            <w:r>
              <w:rPr>
                <w:rFonts w:ascii="Times New Roman" w:hAnsi="Times New Roman" w:cs="Times New Roman"/>
              </w:rPr>
              <w:t> </w:t>
            </w:r>
          </w:p>
        </w:tc>
      </w:tr>
    </w:tbl>
    <w:p>
      <w:pPr>
        <w:pStyle w:val="6"/>
        <w:jc w:val="both"/>
        <w:textAlignment w:val="baseline"/>
        <w:rPr>
          <w:rFonts w:ascii="Times New Roman" w:hAnsi="Times New Roman" w:cs="Times New Roman"/>
          <w:b/>
          <w:bCs/>
        </w:rPr>
      </w:pPr>
    </w:p>
    <w:p>
      <w:pPr>
        <w:pStyle w:val="6"/>
        <w:jc w:val="both"/>
        <w:textAlignment w:val="baseline"/>
        <w:rPr>
          <w:rFonts w:ascii="Segoe UI" w:hAnsi="Segoe UI" w:cs="Segoe UI"/>
        </w:rPr>
      </w:pPr>
      <w:r>
        <w:rPr>
          <w:rFonts w:ascii="Times New Roman" w:hAnsi="Times New Roman" w:cs="Times New Roman"/>
          <w:b/>
          <w:bCs/>
        </w:rPr>
        <w:t>Výnos dane z príjmov poukázaný územnej samospráve</w:t>
      </w:r>
      <w:r>
        <w:rPr>
          <w:rFonts w:ascii="Times New Roman" w:hAnsi="Times New Roman" w:cs="Times New Roman"/>
        </w:rPr>
        <w:t xml:space="preserve"> </w:t>
      </w:r>
    </w:p>
    <w:p>
      <w:pPr>
        <w:pStyle w:val="6"/>
        <w:spacing w:line="360" w:lineRule="auto"/>
        <w:jc w:val="both"/>
        <w:textAlignment w:val="baseline"/>
        <w:rPr>
          <w:rFonts w:ascii="Segoe UI" w:hAnsi="Segoe UI" w:cs="Segoe UI"/>
        </w:rPr>
      </w:pPr>
      <w:r>
        <w:rPr>
          <w:rFonts w:ascii="Times New Roman" w:hAnsi="Times New Roman" w:cs="Times New Roman"/>
        </w:rPr>
        <w:t xml:space="preserve">Z predpokladanej finančnej čiastky v sume 67 850 EUR z výnosu dane z príjmov boli k 31. 12. 2022 poukázané finančné prostriedky zo ŠR v sume 74 027,91 EUR, čo predstavuje plnenie na 109,11 %. </w:t>
      </w:r>
    </w:p>
    <w:p>
      <w:pPr>
        <w:pStyle w:val="6"/>
        <w:jc w:val="both"/>
        <w:textAlignment w:val="baseline"/>
        <w:rPr>
          <w:rFonts w:ascii="Segoe UI" w:hAnsi="Segoe UI" w:cs="Segoe UI"/>
        </w:rPr>
      </w:pPr>
      <w:r>
        <w:rPr>
          <w:rFonts w:ascii="Times New Roman" w:hAnsi="Times New Roman" w:cs="Times New Roman"/>
          <w:b/>
          <w:bCs/>
        </w:rPr>
        <w:t>Daň z nehnuteľností</w:t>
      </w:r>
      <w:r>
        <w:rPr>
          <w:rFonts w:ascii="Times New Roman" w:hAnsi="Times New Roman" w:cs="Times New Roman"/>
        </w:rPr>
        <w:t xml:space="preserve"> </w:t>
      </w:r>
    </w:p>
    <w:p>
      <w:pPr>
        <w:pStyle w:val="6"/>
        <w:spacing w:line="360" w:lineRule="auto"/>
        <w:jc w:val="both"/>
        <w:textAlignment w:val="baseline"/>
        <w:rPr>
          <w:rFonts w:ascii="Segoe UI" w:hAnsi="Segoe UI" w:cs="Segoe UI"/>
        </w:rPr>
      </w:pPr>
      <w:r>
        <w:rPr>
          <w:rFonts w:ascii="Times New Roman" w:hAnsi="Times New Roman" w:cs="Times New Roman"/>
        </w:rPr>
        <w:t xml:space="preserve">Z rozpočtovaných 6 800,00 EUR bol skutočný príjem k 31. 12. 2022 v sume  </w:t>
      </w:r>
      <w:r>
        <w:rPr>
          <w:rFonts w:ascii="Times New Roman" w:hAnsi="Times New Roman" w:cs="Times New Roman"/>
        </w:rPr>
        <w:br w:type="textWrapping"/>
      </w:r>
      <w:r>
        <w:rPr>
          <w:rFonts w:ascii="Times New Roman" w:hAnsi="Times New Roman" w:cs="Times New Roman"/>
        </w:rPr>
        <w:t xml:space="preserve">7 319,84 EUR, čo predstavuje plnenie na 107,64 % plnenie. </w:t>
      </w:r>
    </w:p>
    <w:p>
      <w:pPr>
        <w:pStyle w:val="6"/>
        <w:spacing w:line="360" w:lineRule="auto"/>
        <w:jc w:val="both"/>
        <w:textAlignment w:val="baseline"/>
        <w:rPr>
          <w:rFonts w:ascii="Segoe UI" w:hAnsi="Segoe UI" w:cs="Segoe UI"/>
        </w:rPr>
      </w:pPr>
      <w:r>
        <w:rPr>
          <w:rFonts w:ascii="Times New Roman" w:hAnsi="Times New Roman" w:cs="Times New Roman"/>
        </w:rPr>
        <w:t xml:space="preserve">Príjmy dane z pozemkov boli v sume 6 501,80 EUR, príjmy dane zo stavieb boli v sume 818,04 EUR a príjmy dane z bytov boli v sume 0 EUR. </w:t>
      </w:r>
    </w:p>
    <w:p>
      <w:pPr>
        <w:pStyle w:val="6"/>
        <w:jc w:val="both"/>
        <w:textAlignment w:val="baseline"/>
        <w:rPr>
          <w:rFonts w:ascii="Segoe UI" w:hAnsi="Segoe UI" w:cs="Segoe UI"/>
        </w:rPr>
      </w:pPr>
      <w:r>
        <w:rPr>
          <w:rFonts w:ascii="Times New Roman" w:hAnsi="Times New Roman" w:cs="Times New Roman"/>
          <w:b/>
          <w:bCs/>
        </w:rPr>
        <w:t xml:space="preserve">Daň za psa  </w:t>
      </w:r>
      <w:r>
        <w:rPr>
          <w:rFonts w:ascii="Times New Roman" w:hAnsi="Times New Roman" w:cs="Times New Roman"/>
        </w:rPr>
        <w:t xml:space="preserve">165,00 €  </w:t>
      </w:r>
    </w:p>
    <w:p>
      <w:pPr>
        <w:pStyle w:val="6"/>
        <w:jc w:val="both"/>
        <w:textAlignment w:val="baseline"/>
        <w:rPr>
          <w:rFonts w:ascii="Segoe UI" w:hAnsi="Segoe UI" w:cs="Segoe UI"/>
        </w:rPr>
      </w:pPr>
      <w:r>
        <w:rPr>
          <w:rFonts w:ascii="Times New Roman" w:hAnsi="Times New Roman" w:cs="Times New Roman"/>
          <w:b/>
          <w:bCs/>
        </w:rPr>
        <w:t xml:space="preserve">Poplatok za komunálny odpad a drobný stavebný odpad </w:t>
      </w:r>
      <w:r>
        <w:rPr>
          <w:rFonts w:ascii="Times New Roman" w:hAnsi="Times New Roman" w:cs="Times New Roman"/>
        </w:rPr>
        <w:t xml:space="preserve">3 554,02 € </w:t>
      </w:r>
    </w:p>
    <w:p>
      <w:pPr>
        <w:pStyle w:val="6"/>
        <w:jc w:val="both"/>
        <w:textAlignment w:val="baseline"/>
        <w:rPr>
          <w:rFonts w:ascii="Segoe UI" w:hAnsi="Segoe UI" w:cs="Segoe UI"/>
        </w:rPr>
      </w:pPr>
      <w:r>
        <w:rPr>
          <w:rFonts w:ascii="Times New Roman" w:hAnsi="Times New Roman" w:cs="Times New Roman"/>
          <w:b/>
          <w:bCs/>
        </w:rPr>
        <w:t>Daň za ubytovanie</w:t>
      </w:r>
      <w:r>
        <w:rPr>
          <w:rFonts w:ascii="Times New Roman" w:hAnsi="Times New Roman" w:cs="Times New Roman"/>
        </w:rPr>
        <w:t xml:space="preserve"> 54,00 € </w:t>
      </w:r>
    </w:p>
    <w:p>
      <w:pPr>
        <w:pStyle w:val="6"/>
        <w:numPr>
          <w:ilvl w:val="0"/>
          <w:numId w:val="7"/>
        </w:numPr>
        <w:jc w:val="both"/>
        <w:textAlignment w:val="baseline"/>
        <w:rPr>
          <w:rFonts w:ascii="Times New Roman" w:hAnsi="Times New Roman" w:cs="Times New Roman"/>
        </w:rPr>
      </w:pPr>
      <w:r>
        <w:rPr>
          <w:rFonts w:ascii="Times New Roman" w:hAnsi="Times New Roman" w:cs="Times New Roman"/>
          <w:b/>
          <w:bCs/>
        </w:rPr>
        <w:t>nedaňové príjmy:</w:t>
      </w:r>
      <w:r>
        <w:rPr>
          <w:rFonts w:ascii="Times New Roman" w:hAnsi="Times New Roman" w:cs="Times New Roman"/>
        </w:rPr>
        <w:t xml:space="preserve"> </w:t>
      </w:r>
    </w:p>
    <w:tbl>
      <w:tblPr>
        <w:tblStyle w:val="14"/>
        <w:tblW w:w="0" w:type="auto"/>
        <w:tblInd w:w="0" w:type="dxa"/>
        <w:tblLayout w:type="autofit"/>
        <w:tblCellMar>
          <w:top w:w="15" w:type="dxa"/>
          <w:left w:w="15" w:type="dxa"/>
          <w:bottom w:w="15" w:type="dxa"/>
          <w:right w:w="15" w:type="dxa"/>
        </w:tblCellMar>
      </w:tblPr>
      <w:tblGrid>
        <w:gridCol w:w="2880"/>
        <w:gridCol w:w="2987"/>
        <w:gridCol w:w="3235"/>
      </w:tblGrid>
      <w:tr>
        <w:tblPrEx>
          <w:tblCellMar>
            <w:top w:w="15" w:type="dxa"/>
            <w:left w:w="15" w:type="dxa"/>
            <w:bottom w:w="15" w:type="dxa"/>
            <w:right w:w="15" w:type="dxa"/>
          </w:tblCellMar>
        </w:tblPrEx>
        <w:tc>
          <w:tcPr>
            <w:tcW w:w="2955" w:type="dxa"/>
            <w:tcBorders>
              <w:top w:val="outset" w:color="auto" w:sz="6" w:space="0"/>
              <w:left w:val="outset" w:color="auto" w:sz="6" w:space="0"/>
              <w:bottom w:val="outset" w:color="auto" w:sz="6" w:space="0"/>
              <w:right w:val="nil"/>
            </w:tcBorders>
            <w:shd w:val="clear" w:color="auto" w:fill="D9D9D9"/>
            <w:vAlign w:val="center"/>
          </w:tcPr>
          <w:p>
            <w:pPr>
              <w:pStyle w:val="6"/>
              <w:jc w:val="both"/>
              <w:textAlignment w:val="baseline"/>
              <w:rPr>
                <w:rFonts w:ascii="Times New Roman" w:hAnsi="Times New Roman" w:cs="Times New Roman"/>
              </w:rPr>
            </w:pPr>
            <w:r>
              <w:rPr>
                <w:rFonts w:ascii="Times New Roman" w:hAnsi="Times New Roman" w:cs="Times New Roman"/>
                <w:b/>
                <w:bCs/>
              </w:rPr>
              <w:t>Schválený rozpočet na rok 2022 po poslednej zmene</w:t>
            </w:r>
            <w:r>
              <w:rPr>
                <w:rFonts w:ascii="Times New Roman" w:hAnsi="Times New Roman" w:cs="Times New Roman"/>
              </w:rPr>
              <w:t> </w:t>
            </w:r>
          </w:p>
        </w:tc>
        <w:tc>
          <w:tcPr>
            <w:tcW w:w="3060" w:type="dxa"/>
            <w:tcBorders>
              <w:top w:val="outset" w:color="auto" w:sz="6" w:space="0"/>
              <w:left w:val="outset" w:color="auto" w:sz="6" w:space="0"/>
              <w:bottom w:val="outset" w:color="auto" w:sz="6" w:space="0"/>
              <w:right w:val="nil"/>
            </w:tcBorders>
            <w:shd w:val="clear" w:color="auto" w:fill="D9D9D9"/>
            <w:vAlign w:val="center"/>
          </w:tcPr>
          <w:p>
            <w:pPr>
              <w:pStyle w:val="6"/>
              <w:jc w:val="both"/>
              <w:textAlignment w:val="baseline"/>
              <w:rPr>
                <w:rFonts w:ascii="Times New Roman" w:hAnsi="Times New Roman" w:cs="Times New Roman"/>
              </w:rPr>
            </w:pPr>
            <w:r>
              <w:rPr>
                <w:rFonts w:ascii="Times New Roman" w:hAnsi="Times New Roman" w:cs="Times New Roman"/>
                <w:b/>
                <w:bCs/>
              </w:rPr>
              <w:t>Skutočnosť k 31. 12. 2022</w:t>
            </w:r>
            <w:r>
              <w:rPr>
                <w:rFonts w:ascii="Times New Roman" w:hAnsi="Times New Roman" w:cs="Times New Roman"/>
              </w:rPr>
              <w:t> </w:t>
            </w:r>
          </w:p>
        </w:tc>
        <w:tc>
          <w:tcPr>
            <w:tcW w:w="3330" w:type="dxa"/>
            <w:tcBorders>
              <w:top w:val="outset" w:color="auto" w:sz="6" w:space="0"/>
              <w:left w:val="outset" w:color="auto" w:sz="6" w:space="0"/>
              <w:bottom w:val="outset" w:color="auto" w:sz="6" w:space="0"/>
              <w:right w:val="outset" w:color="auto" w:sz="6" w:space="0"/>
            </w:tcBorders>
            <w:shd w:val="clear" w:color="auto" w:fill="D9D9D9"/>
            <w:vAlign w:val="center"/>
          </w:tcPr>
          <w:p>
            <w:pPr>
              <w:pStyle w:val="6"/>
              <w:jc w:val="both"/>
              <w:textAlignment w:val="baseline"/>
              <w:rPr>
                <w:rFonts w:ascii="Times New Roman" w:hAnsi="Times New Roman" w:cs="Times New Roman"/>
              </w:rPr>
            </w:pPr>
            <w:r>
              <w:rPr>
                <w:rFonts w:ascii="Times New Roman" w:hAnsi="Times New Roman" w:cs="Times New Roman"/>
                <w:b/>
                <w:bCs/>
              </w:rPr>
              <w:t>% plnenia</w:t>
            </w:r>
            <w:r>
              <w:rPr>
                <w:rFonts w:ascii="Times New Roman" w:hAnsi="Times New Roman" w:cs="Times New Roman"/>
              </w:rPr>
              <w:t> </w:t>
            </w:r>
          </w:p>
        </w:tc>
      </w:tr>
      <w:tr>
        <w:tblPrEx>
          <w:tblCellMar>
            <w:top w:w="15" w:type="dxa"/>
            <w:left w:w="15" w:type="dxa"/>
            <w:bottom w:w="15" w:type="dxa"/>
            <w:right w:w="15" w:type="dxa"/>
          </w:tblCellMar>
        </w:tblPrEx>
        <w:tc>
          <w:tcPr>
            <w:tcW w:w="2955" w:type="dxa"/>
            <w:tcBorders>
              <w:top w:val="nil"/>
              <w:left w:val="outset" w:color="auto" w:sz="6" w:space="0"/>
              <w:bottom w:val="outset" w:color="auto" w:sz="6" w:space="0"/>
              <w:right w:val="nil"/>
            </w:tcBorders>
          </w:tcPr>
          <w:p>
            <w:pPr>
              <w:pStyle w:val="6"/>
              <w:jc w:val="both"/>
              <w:textAlignment w:val="baseline"/>
              <w:rPr>
                <w:rFonts w:ascii="Times New Roman" w:hAnsi="Times New Roman" w:cs="Times New Roman"/>
              </w:rPr>
            </w:pPr>
            <w:r>
              <w:rPr>
                <w:rFonts w:ascii="Times New Roman" w:hAnsi="Times New Roman" w:cs="Times New Roman"/>
                <w:b/>
                <w:bCs/>
              </w:rPr>
              <w:t>9 500</w:t>
            </w:r>
          </w:p>
        </w:tc>
        <w:tc>
          <w:tcPr>
            <w:tcW w:w="3060" w:type="dxa"/>
            <w:tcBorders>
              <w:top w:val="nil"/>
              <w:left w:val="outset" w:color="auto" w:sz="6" w:space="0"/>
              <w:bottom w:val="outset" w:color="auto" w:sz="6" w:space="0"/>
              <w:right w:val="nil"/>
            </w:tcBorders>
          </w:tcPr>
          <w:p>
            <w:pPr>
              <w:pStyle w:val="6"/>
              <w:jc w:val="both"/>
              <w:textAlignment w:val="baseline"/>
              <w:rPr>
                <w:rFonts w:ascii="Times New Roman" w:hAnsi="Times New Roman" w:cs="Times New Roman"/>
              </w:rPr>
            </w:pPr>
            <w:r>
              <w:rPr>
                <w:rFonts w:ascii="Times New Roman" w:hAnsi="Times New Roman" w:cs="Times New Roman"/>
              </w:rPr>
              <w:t>8 156,69</w:t>
            </w:r>
          </w:p>
        </w:tc>
        <w:tc>
          <w:tcPr>
            <w:tcW w:w="3330" w:type="dxa"/>
            <w:tcBorders>
              <w:top w:val="nil"/>
              <w:left w:val="outset" w:color="auto" w:sz="6" w:space="0"/>
              <w:bottom w:val="outset" w:color="auto" w:sz="6" w:space="0"/>
              <w:right w:val="outset" w:color="auto" w:sz="6" w:space="0"/>
            </w:tcBorders>
          </w:tcPr>
          <w:p>
            <w:pPr>
              <w:pStyle w:val="6"/>
              <w:jc w:val="both"/>
              <w:textAlignment w:val="baseline"/>
              <w:rPr>
                <w:rFonts w:ascii="Times New Roman" w:hAnsi="Times New Roman" w:cs="Times New Roman"/>
              </w:rPr>
            </w:pPr>
            <w:r>
              <w:rPr>
                <w:rFonts w:ascii="Times New Roman" w:hAnsi="Times New Roman" w:cs="Times New Roman"/>
                <w:b/>
                <w:bCs/>
              </w:rPr>
              <w:t>85,86 %</w:t>
            </w:r>
            <w:r>
              <w:rPr>
                <w:rFonts w:ascii="Times New Roman" w:hAnsi="Times New Roman" w:cs="Times New Roman"/>
              </w:rPr>
              <w:t> </w:t>
            </w:r>
          </w:p>
        </w:tc>
      </w:tr>
    </w:tbl>
    <w:p>
      <w:pPr>
        <w:pStyle w:val="6"/>
        <w:jc w:val="both"/>
        <w:textAlignment w:val="baseline"/>
        <w:rPr>
          <w:rFonts w:ascii="Segoe UI" w:hAnsi="Segoe UI" w:cs="Segoe UI"/>
        </w:rPr>
      </w:pPr>
      <w:r>
        <w:rPr>
          <w:rFonts w:ascii="Times New Roman" w:hAnsi="Times New Roman" w:cs="Times New Roman"/>
          <w:b/>
          <w:bCs/>
        </w:rPr>
        <w:t>Príjmy z podnikania a z vlastníctva majetku</w:t>
      </w:r>
      <w:r>
        <w:rPr>
          <w:rFonts w:ascii="Times New Roman" w:hAnsi="Times New Roman" w:cs="Times New Roman"/>
        </w:rPr>
        <w:t xml:space="preserve"> </w:t>
      </w:r>
    </w:p>
    <w:p>
      <w:pPr>
        <w:pStyle w:val="6"/>
        <w:spacing w:line="360" w:lineRule="auto"/>
        <w:jc w:val="both"/>
        <w:textAlignment w:val="baseline"/>
        <w:rPr>
          <w:rFonts w:ascii="Segoe UI" w:hAnsi="Segoe UI" w:cs="Segoe UI"/>
        </w:rPr>
      </w:pPr>
      <w:r>
        <w:rPr>
          <w:rFonts w:ascii="Times New Roman" w:hAnsi="Times New Roman" w:cs="Times New Roman"/>
        </w:rPr>
        <w:t xml:space="preserve">Z rozpočtovaných 4 000,00 EUR bol skutočný príjem k 31. 12. 2022 v sume  </w:t>
      </w:r>
      <w:r>
        <w:rPr>
          <w:rFonts w:ascii="Times New Roman" w:hAnsi="Times New Roman" w:cs="Times New Roman"/>
        </w:rPr>
        <w:br w:type="textWrapping"/>
      </w:r>
      <w:r>
        <w:rPr>
          <w:rFonts w:ascii="Times New Roman" w:hAnsi="Times New Roman" w:cs="Times New Roman"/>
        </w:rPr>
        <w:t>3 463,28 EUR, čo je 86,58 % plnenie. Uvedený príjem predstavuje príjem z prenajatých budov, priestorov a objektov.</w:t>
      </w:r>
    </w:p>
    <w:p>
      <w:pPr>
        <w:pStyle w:val="6"/>
        <w:jc w:val="both"/>
        <w:textAlignment w:val="baseline"/>
        <w:rPr>
          <w:rFonts w:ascii="Segoe UI" w:hAnsi="Segoe UI" w:cs="Segoe UI"/>
        </w:rPr>
      </w:pPr>
      <w:r>
        <w:rPr>
          <w:rFonts w:ascii="Times New Roman" w:hAnsi="Times New Roman" w:cs="Times New Roman"/>
          <w:b/>
          <w:bCs/>
        </w:rPr>
        <w:t>Administratívne poplatky a iné poplatky a platby</w:t>
      </w:r>
      <w:r>
        <w:rPr>
          <w:rFonts w:ascii="Times New Roman" w:hAnsi="Times New Roman" w:cs="Times New Roman"/>
        </w:rPr>
        <w:t xml:space="preserve"> </w:t>
      </w:r>
    </w:p>
    <w:p>
      <w:pPr>
        <w:pStyle w:val="6"/>
        <w:jc w:val="both"/>
        <w:textAlignment w:val="baseline"/>
        <w:rPr>
          <w:rFonts w:ascii="Segoe UI" w:hAnsi="Segoe UI" w:cs="Segoe UI"/>
        </w:rPr>
      </w:pPr>
      <w:r>
        <w:rPr>
          <w:rFonts w:ascii="Times New Roman" w:hAnsi="Times New Roman" w:cs="Times New Roman"/>
        </w:rPr>
        <w:t xml:space="preserve">Administratívne poplatky - správne poplatky: </w:t>
      </w:r>
    </w:p>
    <w:p>
      <w:pPr>
        <w:pStyle w:val="6"/>
        <w:spacing w:line="360" w:lineRule="auto"/>
        <w:jc w:val="both"/>
        <w:textAlignment w:val="baseline"/>
        <w:rPr>
          <w:rFonts w:ascii="Times New Roman" w:hAnsi="Times New Roman" w:cs="Times New Roman"/>
        </w:rPr>
      </w:pPr>
      <w:r>
        <w:rPr>
          <w:rFonts w:ascii="Times New Roman" w:hAnsi="Times New Roman" w:cs="Times New Roman"/>
        </w:rPr>
        <w:t xml:space="preserve">Z rozpočtovaných 5 500 EUR bol skutočný príjem k 31. 12. 2022 v sume 4 666,48 EUR, čo je 84,85 % plnenie. </w:t>
      </w:r>
    </w:p>
    <w:p>
      <w:pPr>
        <w:pStyle w:val="6"/>
        <w:spacing w:line="360" w:lineRule="auto"/>
        <w:jc w:val="both"/>
        <w:textAlignment w:val="baseline"/>
        <w:rPr>
          <w:rFonts w:ascii="Times New Roman" w:hAnsi="Times New Roman" w:cs="Times New Roman"/>
        </w:rPr>
      </w:pPr>
    </w:p>
    <w:p>
      <w:pPr>
        <w:pStyle w:val="6"/>
        <w:spacing w:line="360" w:lineRule="auto"/>
        <w:jc w:val="both"/>
        <w:textAlignment w:val="baseline"/>
        <w:rPr>
          <w:rFonts w:ascii="Segoe UI" w:hAnsi="Segoe UI" w:cs="Segoe UI"/>
        </w:rPr>
      </w:pPr>
    </w:p>
    <w:p>
      <w:pPr>
        <w:pStyle w:val="6"/>
        <w:numPr>
          <w:ilvl w:val="0"/>
          <w:numId w:val="8"/>
        </w:numPr>
        <w:jc w:val="both"/>
        <w:textAlignment w:val="baseline"/>
        <w:rPr>
          <w:rFonts w:ascii="Times New Roman" w:hAnsi="Times New Roman" w:cs="Times New Roman"/>
        </w:rPr>
      </w:pPr>
      <w:r>
        <w:rPr>
          <w:rFonts w:ascii="Times New Roman" w:hAnsi="Times New Roman" w:cs="Times New Roman"/>
          <w:b/>
          <w:bCs/>
        </w:rPr>
        <w:t xml:space="preserve"> iné nedaňové príjmy:</w:t>
      </w:r>
      <w:r>
        <w:rPr>
          <w:rFonts w:ascii="Times New Roman" w:hAnsi="Times New Roman" w:cs="Times New Roman"/>
        </w:rPr>
        <w:t xml:space="preserve">  </w:t>
      </w:r>
    </w:p>
    <w:tbl>
      <w:tblPr>
        <w:tblStyle w:val="14"/>
        <w:tblW w:w="0" w:type="auto"/>
        <w:tblInd w:w="0" w:type="dxa"/>
        <w:tblLayout w:type="autofit"/>
        <w:tblCellMar>
          <w:top w:w="15" w:type="dxa"/>
          <w:left w:w="15" w:type="dxa"/>
          <w:bottom w:w="15" w:type="dxa"/>
          <w:right w:w="15" w:type="dxa"/>
        </w:tblCellMar>
      </w:tblPr>
      <w:tblGrid>
        <w:gridCol w:w="2882"/>
        <w:gridCol w:w="2988"/>
        <w:gridCol w:w="3232"/>
      </w:tblGrid>
      <w:tr>
        <w:tc>
          <w:tcPr>
            <w:tcW w:w="2955" w:type="dxa"/>
            <w:tcBorders>
              <w:top w:val="outset" w:color="auto" w:sz="6" w:space="0"/>
              <w:left w:val="outset" w:color="auto" w:sz="6" w:space="0"/>
              <w:bottom w:val="outset" w:color="auto" w:sz="6" w:space="0"/>
              <w:right w:val="nil"/>
            </w:tcBorders>
            <w:shd w:val="clear" w:color="auto" w:fill="D9D9D9"/>
            <w:vAlign w:val="center"/>
          </w:tcPr>
          <w:p>
            <w:pPr>
              <w:pStyle w:val="6"/>
              <w:jc w:val="center"/>
              <w:textAlignment w:val="baseline"/>
              <w:rPr>
                <w:rFonts w:ascii="Times New Roman" w:hAnsi="Times New Roman" w:cs="Times New Roman"/>
              </w:rPr>
            </w:pPr>
            <w:r>
              <w:rPr>
                <w:rFonts w:ascii="Times New Roman" w:hAnsi="Times New Roman" w:cs="Times New Roman"/>
                <w:b/>
                <w:bCs/>
              </w:rPr>
              <w:t>Schválený rozpočet na rok 2022 po poslednej zmene</w:t>
            </w:r>
          </w:p>
        </w:tc>
        <w:tc>
          <w:tcPr>
            <w:tcW w:w="3060" w:type="dxa"/>
            <w:tcBorders>
              <w:top w:val="outset" w:color="auto" w:sz="6" w:space="0"/>
              <w:left w:val="outset" w:color="auto" w:sz="6" w:space="0"/>
              <w:bottom w:val="outset" w:color="auto" w:sz="6" w:space="0"/>
              <w:right w:val="nil"/>
            </w:tcBorders>
            <w:shd w:val="clear" w:color="auto" w:fill="D9D9D9"/>
            <w:vAlign w:val="center"/>
          </w:tcPr>
          <w:p>
            <w:pPr>
              <w:pStyle w:val="6"/>
              <w:jc w:val="center"/>
              <w:textAlignment w:val="baseline"/>
              <w:rPr>
                <w:rFonts w:ascii="Times New Roman" w:hAnsi="Times New Roman" w:cs="Times New Roman"/>
              </w:rPr>
            </w:pPr>
            <w:r>
              <w:rPr>
                <w:rFonts w:ascii="Times New Roman" w:hAnsi="Times New Roman" w:cs="Times New Roman"/>
                <w:b/>
                <w:bCs/>
              </w:rPr>
              <w:t>Skutočnosť k 31. 12. 2022</w:t>
            </w:r>
          </w:p>
        </w:tc>
        <w:tc>
          <w:tcPr>
            <w:tcW w:w="3330" w:type="dxa"/>
            <w:tcBorders>
              <w:top w:val="outset" w:color="auto" w:sz="6" w:space="0"/>
              <w:left w:val="outset" w:color="auto" w:sz="6" w:space="0"/>
              <w:bottom w:val="outset" w:color="auto" w:sz="6" w:space="0"/>
              <w:right w:val="outset" w:color="auto" w:sz="6" w:space="0"/>
            </w:tcBorders>
            <w:shd w:val="clear" w:color="auto" w:fill="D9D9D9"/>
            <w:vAlign w:val="center"/>
          </w:tcPr>
          <w:p>
            <w:pPr>
              <w:pStyle w:val="6"/>
              <w:jc w:val="center"/>
              <w:textAlignment w:val="baseline"/>
              <w:rPr>
                <w:rFonts w:ascii="Times New Roman" w:hAnsi="Times New Roman" w:cs="Times New Roman"/>
              </w:rPr>
            </w:pPr>
            <w:r>
              <w:rPr>
                <w:rFonts w:ascii="Times New Roman" w:hAnsi="Times New Roman" w:cs="Times New Roman"/>
                <w:b/>
                <w:bCs/>
              </w:rPr>
              <w:t>% plnenia</w:t>
            </w:r>
          </w:p>
        </w:tc>
      </w:tr>
      <w:tr>
        <w:tblPrEx>
          <w:tblCellMar>
            <w:top w:w="15" w:type="dxa"/>
            <w:left w:w="15" w:type="dxa"/>
            <w:bottom w:w="15" w:type="dxa"/>
            <w:right w:w="15" w:type="dxa"/>
          </w:tblCellMar>
        </w:tblPrEx>
        <w:tc>
          <w:tcPr>
            <w:tcW w:w="2955" w:type="dxa"/>
            <w:tcBorders>
              <w:top w:val="nil"/>
              <w:left w:val="outset" w:color="auto" w:sz="6" w:space="0"/>
              <w:bottom w:val="outset" w:color="auto" w:sz="6" w:space="0"/>
              <w:right w:val="nil"/>
            </w:tcBorders>
          </w:tcPr>
          <w:p>
            <w:pPr>
              <w:pStyle w:val="6"/>
              <w:jc w:val="center"/>
              <w:textAlignment w:val="baseline"/>
              <w:rPr>
                <w:rFonts w:ascii="Times New Roman" w:hAnsi="Times New Roman" w:cs="Times New Roman"/>
              </w:rPr>
            </w:pPr>
            <w:r>
              <w:rPr>
                <w:rFonts w:ascii="Times New Roman" w:hAnsi="Times New Roman" w:cs="Times New Roman"/>
                <w:b/>
                <w:bCs/>
              </w:rPr>
              <w:t>0</w:t>
            </w:r>
          </w:p>
        </w:tc>
        <w:tc>
          <w:tcPr>
            <w:tcW w:w="3060" w:type="dxa"/>
            <w:tcBorders>
              <w:top w:val="nil"/>
              <w:left w:val="outset" w:color="auto" w:sz="6" w:space="0"/>
              <w:bottom w:val="outset" w:color="auto" w:sz="6" w:space="0"/>
              <w:right w:val="nil"/>
            </w:tcBorders>
          </w:tcPr>
          <w:p>
            <w:pPr>
              <w:pStyle w:val="6"/>
              <w:jc w:val="center"/>
              <w:textAlignment w:val="baseline"/>
              <w:rPr>
                <w:rFonts w:ascii="Times New Roman" w:hAnsi="Times New Roman" w:cs="Times New Roman"/>
              </w:rPr>
            </w:pPr>
            <w:r>
              <w:rPr>
                <w:rFonts w:ascii="Times New Roman" w:hAnsi="Times New Roman" w:cs="Times New Roman"/>
              </w:rPr>
              <w:t>26,93</w:t>
            </w:r>
          </w:p>
        </w:tc>
        <w:tc>
          <w:tcPr>
            <w:tcW w:w="3330" w:type="dxa"/>
            <w:tcBorders>
              <w:top w:val="nil"/>
              <w:left w:val="outset" w:color="auto" w:sz="6" w:space="0"/>
              <w:bottom w:val="outset" w:color="auto" w:sz="6" w:space="0"/>
              <w:right w:val="outset" w:color="auto" w:sz="6" w:space="0"/>
            </w:tcBorders>
          </w:tcPr>
          <w:p>
            <w:pPr>
              <w:pStyle w:val="6"/>
              <w:jc w:val="center"/>
              <w:textAlignment w:val="baseline"/>
              <w:rPr>
                <w:rFonts w:ascii="Times New Roman" w:hAnsi="Times New Roman" w:cs="Times New Roman"/>
              </w:rPr>
            </w:pPr>
            <w:r>
              <w:rPr>
                <w:rFonts w:ascii="Times New Roman" w:hAnsi="Times New Roman" w:cs="Times New Roman"/>
                <w:b/>
                <w:bCs/>
              </w:rPr>
              <w:t>-</w:t>
            </w:r>
          </w:p>
        </w:tc>
      </w:tr>
    </w:tbl>
    <w:p>
      <w:pPr>
        <w:pStyle w:val="6"/>
        <w:spacing w:line="360" w:lineRule="auto"/>
        <w:jc w:val="both"/>
        <w:textAlignment w:val="baseline"/>
        <w:rPr>
          <w:rFonts w:ascii="Segoe UI" w:hAnsi="Segoe UI" w:cs="Segoe UI"/>
        </w:rPr>
      </w:pPr>
      <w:r>
        <w:rPr>
          <w:rFonts w:ascii="Times New Roman" w:hAnsi="Times New Roman" w:cs="Times New Roman"/>
        </w:rPr>
        <w:t>Iné nedaňové  príjmy neboli rozpočtované, ale skutočný príjem z nich bol vo výške 26,93  EUR.</w:t>
      </w:r>
    </w:p>
    <w:p>
      <w:pPr>
        <w:pStyle w:val="6"/>
        <w:spacing w:line="360" w:lineRule="auto"/>
        <w:jc w:val="both"/>
        <w:textAlignment w:val="baseline"/>
        <w:rPr>
          <w:rFonts w:ascii="Segoe UI" w:hAnsi="Segoe UI" w:cs="Segoe UI"/>
        </w:rPr>
      </w:pPr>
      <w:r>
        <w:rPr>
          <w:rFonts w:ascii="Times New Roman" w:hAnsi="Times New Roman" w:cs="Times New Roman"/>
        </w:rPr>
        <w:t xml:space="preserve">Medzi iné nedaňové príjmy boli rozpočtované príjmy z dobropisov a iné príjmy. </w:t>
      </w:r>
    </w:p>
    <w:p>
      <w:pPr>
        <w:pStyle w:val="6"/>
        <w:numPr>
          <w:ilvl w:val="0"/>
          <w:numId w:val="9"/>
        </w:numPr>
        <w:jc w:val="both"/>
        <w:textAlignment w:val="baseline"/>
        <w:rPr>
          <w:rFonts w:ascii="Times New Roman" w:hAnsi="Times New Roman" w:cs="Times New Roman"/>
        </w:rPr>
      </w:pPr>
      <w:r>
        <w:rPr>
          <w:rFonts w:ascii="Times New Roman" w:hAnsi="Times New Roman" w:cs="Times New Roman"/>
          <w:b/>
          <w:bCs/>
        </w:rPr>
        <w:t>prijaté granty a transfery</w:t>
      </w:r>
      <w:r>
        <w:rPr>
          <w:rFonts w:ascii="Times New Roman" w:hAnsi="Times New Roman" w:cs="Times New Roman"/>
        </w:rPr>
        <w:t xml:space="preserve"> </w:t>
      </w:r>
    </w:p>
    <w:p>
      <w:pPr>
        <w:pStyle w:val="6"/>
        <w:spacing w:line="360" w:lineRule="auto"/>
        <w:jc w:val="both"/>
        <w:textAlignment w:val="baseline"/>
        <w:rPr>
          <w:rFonts w:ascii="Segoe UI" w:hAnsi="Segoe UI" w:cs="Segoe UI"/>
        </w:rPr>
      </w:pPr>
      <w:r>
        <w:rPr>
          <w:rFonts w:ascii="Times New Roman" w:hAnsi="Times New Roman" w:cs="Times New Roman"/>
        </w:rPr>
        <w:t xml:space="preserve">Z rozpočtovaných grantov a transferov 5 000 EUR bol skutočný príjem vo výške 7 547,19EUR, čo predstavuje 149,14 %  plnenie.  </w:t>
      </w:r>
    </w:p>
    <w:tbl>
      <w:tblPr>
        <w:tblStyle w:val="14"/>
        <w:tblW w:w="0" w:type="auto"/>
        <w:tblInd w:w="0" w:type="dxa"/>
        <w:tblLayout w:type="autofit"/>
        <w:tblCellMar>
          <w:top w:w="15" w:type="dxa"/>
          <w:left w:w="15" w:type="dxa"/>
          <w:bottom w:w="15" w:type="dxa"/>
          <w:right w:w="15" w:type="dxa"/>
        </w:tblCellMar>
      </w:tblPr>
      <w:tblGrid>
        <w:gridCol w:w="3825"/>
        <w:gridCol w:w="1770"/>
        <w:gridCol w:w="3435"/>
      </w:tblGrid>
      <w:tr>
        <w:tblPrEx>
          <w:tblCellMar>
            <w:top w:w="15" w:type="dxa"/>
            <w:left w:w="15" w:type="dxa"/>
            <w:bottom w:w="15" w:type="dxa"/>
            <w:right w:w="15" w:type="dxa"/>
          </w:tblCellMar>
        </w:tblPrEx>
        <w:tc>
          <w:tcPr>
            <w:tcW w:w="3825" w:type="dxa"/>
            <w:tcBorders>
              <w:top w:val="outset" w:color="auto" w:sz="6" w:space="0"/>
              <w:left w:val="outset" w:color="auto" w:sz="6" w:space="0"/>
              <w:bottom w:val="outset" w:color="auto" w:sz="6" w:space="0"/>
              <w:right w:val="nil"/>
            </w:tcBorders>
            <w:shd w:val="clear" w:color="auto" w:fill="D9D9D9"/>
            <w:vAlign w:val="center"/>
          </w:tcPr>
          <w:p>
            <w:pPr>
              <w:pStyle w:val="6"/>
              <w:jc w:val="center"/>
              <w:textAlignment w:val="baseline"/>
              <w:rPr>
                <w:rFonts w:ascii="Times New Roman" w:hAnsi="Times New Roman" w:cs="Times New Roman"/>
              </w:rPr>
            </w:pPr>
            <w:r>
              <w:rPr>
                <w:rFonts w:ascii="Times New Roman" w:hAnsi="Times New Roman" w:cs="Times New Roman"/>
                <w:b/>
                <w:bCs/>
              </w:rPr>
              <w:t>Poskytovateľ dotácie</w:t>
            </w:r>
          </w:p>
        </w:tc>
        <w:tc>
          <w:tcPr>
            <w:tcW w:w="1770" w:type="dxa"/>
            <w:tcBorders>
              <w:top w:val="outset" w:color="auto" w:sz="6" w:space="0"/>
              <w:left w:val="outset" w:color="auto" w:sz="6" w:space="0"/>
              <w:bottom w:val="outset" w:color="auto" w:sz="6" w:space="0"/>
              <w:right w:val="nil"/>
            </w:tcBorders>
            <w:shd w:val="clear" w:color="auto" w:fill="D9D9D9"/>
            <w:vAlign w:val="center"/>
          </w:tcPr>
          <w:p>
            <w:pPr>
              <w:pStyle w:val="6"/>
              <w:jc w:val="center"/>
              <w:textAlignment w:val="baseline"/>
              <w:rPr>
                <w:rFonts w:ascii="Times New Roman" w:hAnsi="Times New Roman" w:cs="Times New Roman"/>
              </w:rPr>
            </w:pPr>
            <w:r>
              <w:rPr>
                <w:rFonts w:ascii="Times New Roman" w:hAnsi="Times New Roman" w:cs="Times New Roman"/>
                <w:b/>
                <w:bCs/>
              </w:rPr>
              <w:t>Suma v EUR</w:t>
            </w:r>
          </w:p>
        </w:tc>
        <w:tc>
          <w:tcPr>
            <w:tcW w:w="3435" w:type="dxa"/>
            <w:tcBorders>
              <w:top w:val="outset" w:color="auto" w:sz="6" w:space="0"/>
              <w:left w:val="outset" w:color="auto" w:sz="6" w:space="0"/>
              <w:bottom w:val="outset" w:color="auto" w:sz="6" w:space="0"/>
              <w:right w:val="outset" w:color="auto" w:sz="6" w:space="0"/>
            </w:tcBorders>
            <w:shd w:val="clear" w:color="auto" w:fill="D9D9D9"/>
            <w:vAlign w:val="center"/>
          </w:tcPr>
          <w:p>
            <w:pPr>
              <w:pStyle w:val="6"/>
              <w:jc w:val="center"/>
              <w:textAlignment w:val="baseline"/>
              <w:rPr>
                <w:rFonts w:ascii="Times New Roman" w:hAnsi="Times New Roman" w:cs="Times New Roman"/>
              </w:rPr>
            </w:pPr>
            <w:r>
              <w:rPr>
                <w:rFonts w:ascii="Times New Roman" w:hAnsi="Times New Roman" w:cs="Times New Roman"/>
                <w:b/>
                <w:bCs/>
              </w:rPr>
              <w:t>Účel</w:t>
            </w:r>
          </w:p>
        </w:tc>
      </w:tr>
      <w:tr>
        <w:tblPrEx>
          <w:tblCellMar>
            <w:top w:w="15" w:type="dxa"/>
            <w:left w:w="15" w:type="dxa"/>
            <w:bottom w:w="15" w:type="dxa"/>
            <w:right w:w="15" w:type="dxa"/>
          </w:tblCellMar>
        </w:tblPrEx>
        <w:tc>
          <w:tcPr>
            <w:tcW w:w="3825" w:type="dxa"/>
            <w:tcBorders>
              <w:top w:val="nil"/>
              <w:left w:val="outset" w:color="auto" w:sz="6" w:space="0"/>
              <w:bottom w:val="outset" w:color="auto" w:sz="6" w:space="0"/>
              <w:right w:val="nil"/>
            </w:tcBorders>
            <w:vAlign w:val="center"/>
          </w:tcPr>
          <w:p>
            <w:pPr>
              <w:pStyle w:val="6"/>
              <w:jc w:val="center"/>
              <w:textAlignment w:val="baseline"/>
              <w:rPr>
                <w:rFonts w:ascii="Times New Roman" w:hAnsi="Times New Roman" w:cs="Times New Roman"/>
              </w:rPr>
            </w:pPr>
            <w:r>
              <w:rPr>
                <w:rFonts w:ascii="Times New Roman" w:hAnsi="Times New Roman" w:cs="Times New Roman"/>
              </w:rPr>
              <w:t>MV SR</w:t>
            </w:r>
          </w:p>
        </w:tc>
        <w:tc>
          <w:tcPr>
            <w:tcW w:w="1770" w:type="dxa"/>
            <w:tcBorders>
              <w:top w:val="nil"/>
              <w:left w:val="outset" w:color="auto" w:sz="6" w:space="0"/>
              <w:bottom w:val="outset" w:color="auto" w:sz="6" w:space="0"/>
              <w:right w:val="nil"/>
            </w:tcBorders>
            <w:vAlign w:val="center"/>
          </w:tcPr>
          <w:p>
            <w:pPr>
              <w:pStyle w:val="6"/>
              <w:jc w:val="center"/>
              <w:textAlignment w:val="baseline"/>
              <w:rPr>
                <w:rFonts w:ascii="Times New Roman" w:hAnsi="Times New Roman" w:cs="Times New Roman"/>
              </w:rPr>
            </w:pPr>
            <w:r>
              <w:rPr>
                <w:rFonts w:ascii="Times New Roman" w:hAnsi="Times New Roman" w:cs="Times New Roman"/>
              </w:rPr>
              <w:t>26,64</w:t>
            </w:r>
          </w:p>
        </w:tc>
        <w:tc>
          <w:tcPr>
            <w:tcW w:w="3435" w:type="dxa"/>
            <w:tcBorders>
              <w:top w:val="nil"/>
              <w:left w:val="outset" w:color="auto" w:sz="6" w:space="0"/>
              <w:bottom w:val="outset" w:color="auto" w:sz="6" w:space="0"/>
              <w:right w:val="outset" w:color="auto" w:sz="6" w:space="0"/>
            </w:tcBorders>
            <w:vAlign w:val="center"/>
          </w:tcPr>
          <w:p>
            <w:pPr>
              <w:pStyle w:val="6"/>
              <w:jc w:val="center"/>
              <w:textAlignment w:val="baseline"/>
              <w:rPr>
                <w:rFonts w:ascii="Times New Roman" w:hAnsi="Times New Roman" w:cs="Times New Roman"/>
              </w:rPr>
            </w:pPr>
            <w:r>
              <w:rPr>
                <w:rFonts w:ascii="Times New Roman" w:hAnsi="Times New Roman" w:cs="Times New Roman"/>
              </w:rPr>
              <w:t>Životné prostredie</w:t>
            </w:r>
          </w:p>
        </w:tc>
      </w:tr>
      <w:tr>
        <w:tblPrEx>
          <w:tblCellMar>
            <w:top w:w="15" w:type="dxa"/>
            <w:left w:w="15" w:type="dxa"/>
            <w:bottom w:w="15" w:type="dxa"/>
            <w:right w:w="15" w:type="dxa"/>
          </w:tblCellMar>
        </w:tblPrEx>
        <w:tc>
          <w:tcPr>
            <w:tcW w:w="3825" w:type="dxa"/>
            <w:tcBorders>
              <w:top w:val="nil"/>
              <w:left w:val="outset" w:color="auto" w:sz="6" w:space="0"/>
              <w:bottom w:val="outset" w:color="auto" w:sz="6" w:space="0"/>
              <w:right w:val="nil"/>
            </w:tcBorders>
            <w:vAlign w:val="center"/>
          </w:tcPr>
          <w:p>
            <w:pPr>
              <w:pStyle w:val="6"/>
              <w:jc w:val="center"/>
              <w:textAlignment w:val="baseline"/>
              <w:rPr>
                <w:rFonts w:ascii="Times New Roman" w:hAnsi="Times New Roman" w:cs="Times New Roman"/>
              </w:rPr>
            </w:pPr>
            <w:r>
              <w:rPr>
                <w:rFonts w:ascii="Times New Roman" w:hAnsi="Times New Roman" w:cs="Times New Roman"/>
              </w:rPr>
              <w:t>UPSVaR</w:t>
            </w:r>
          </w:p>
        </w:tc>
        <w:tc>
          <w:tcPr>
            <w:tcW w:w="1770" w:type="dxa"/>
            <w:tcBorders>
              <w:top w:val="nil"/>
              <w:left w:val="outset" w:color="auto" w:sz="6" w:space="0"/>
              <w:bottom w:val="outset" w:color="auto" w:sz="6" w:space="0"/>
              <w:right w:val="nil"/>
            </w:tcBorders>
            <w:vAlign w:val="center"/>
          </w:tcPr>
          <w:p>
            <w:pPr>
              <w:pStyle w:val="6"/>
              <w:jc w:val="center"/>
              <w:textAlignment w:val="baseline"/>
              <w:rPr>
                <w:rFonts w:ascii="Times New Roman" w:hAnsi="Times New Roman" w:cs="Times New Roman"/>
              </w:rPr>
            </w:pPr>
            <w:r>
              <w:rPr>
                <w:rFonts w:ascii="Times New Roman" w:hAnsi="Times New Roman" w:cs="Times New Roman"/>
              </w:rPr>
              <w:t>1 351,81</w:t>
            </w:r>
          </w:p>
        </w:tc>
        <w:tc>
          <w:tcPr>
            <w:tcW w:w="3435" w:type="dxa"/>
            <w:tcBorders>
              <w:top w:val="nil"/>
              <w:left w:val="outset" w:color="auto" w:sz="6" w:space="0"/>
              <w:bottom w:val="outset" w:color="auto" w:sz="6" w:space="0"/>
              <w:right w:val="outset" w:color="auto" w:sz="6" w:space="0"/>
            </w:tcBorders>
            <w:vAlign w:val="center"/>
          </w:tcPr>
          <w:p>
            <w:pPr>
              <w:pStyle w:val="6"/>
              <w:jc w:val="center"/>
              <w:textAlignment w:val="baseline"/>
              <w:rPr>
                <w:rFonts w:ascii="Times New Roman" w:hAnsi="Times New Roman" w:cs="Times New Roman"/>
              </w:rPr>
            </w:pPr>
            <w:r>
              <w:rPr>
                <w:rFonts w:ascii="Times New Roman" w:hAnsi="Times New Roman" w:cs="Times New Roman"/>
              </w:rPr>
              <w:t>Podpora zamestnanosti</w:t>
            </w:r>
          </w:p>
        </w:tc>
      </w:tr>
      <w:tr>
        <w:tblPrEx>
          <w:tblCellMar>
            <w:top w:w="15" w:type="dxa"/>
            <w:left w:w="15" w:type="dxa"/>
            <w:bottom w:w="15" w:type="dxa"/>
            <w:right w:w="15" w:type="dxa"/>
          </w:tblCellMar>
        </w:tblPrEx>
        <w:tc>
          <w:tcPr>
            <w:tcW w:w="3825" w:type="dxa"/>
            <w:tcBorders>
              <w:top w:val="nil"/>
              <w:left w:val="outset" w:color="auto" w:sz="6" w:space="0"/>
              <w:bottom w:val="outset" w:color="auto" w:sz="6" w:space="0"/>
              <w:right w:val="nil"/>
            </w:tcBorders>
            <w:vAlign w:val="center"/>
          </w:tcPr>
          <w:p>
            <w:pPr>
              <w:pStyle w:val="6"/>
              <w:jc w:val="center"/>
              <w:textAlignment w:val="baseline"/>
              <w:rPr>
                <w:rFonts w:ascii="Times New Roman" w:hAnsi="Times New Roman" w:cs="Times New Roman"/>
              </w:rPr>
            </w:pPr>
            <w:r>
              <w:rPr>
                <w:rFonts w:ascii="Times New Roman" w:hAnsi="Times New Roman" w:cs="Times New Roman"/>
              </w:rPr>
              <w:t>DPOSR</w:t>
            </w:r>
          </w:p>
        </w:tc>
        <w:tc>
          <w:tcPr>
            <w:tcW w:w="1770" w:type="dxa"/>
            <w:tcBorders>
              <w:top w:val="nil"/>
              <w:left w:val="outset" w:color="auto" w:sz="6" w:space="0"/>
              <w:bottom w:val="outset" w:color="auto" w:sz="6" w:space="0"/>
              <w:right w:val="nil"/>
            </w:tcBorders>
            <w:vAlign w:val="center"/>
          </w:tcPr>
          <w:p>
            <w:pPr>
              <w:pStyle w:val="6"/>
              <w:jc w:val="center"/>
              <w:textAlignment w:val="baseline"/>
              <w:rPr>
                <w:rFonts w:ascii="Times New Roman" w:hAnsi="Times New Roman" w:cs="Times New Roman"/>
              </w:rPr>
            </w:pPr>
            <w:r>
              <w:rPr>
                <w:rFonts w:ascii="Times New Roman" w:hAnsi="Times New Roman" w:cs="Times New Roman"/>
              </w:rPr>
              <w:t>3 000</w:t>
            </w:r>
          </w:p>
        </w:tc>
        <w:tc>
          <w:tcPr>
            <w:tcW w:w="3435" w:type="dxa"/>
            <w:tcBorders>
              <w:top w:val="nil"/>
              <w:left w:val="outset" w:color="auto" w:sz="6" w:space="0"/>
              <w:bottom w:val="outset" w:color="auto" w:sz="6" w:space="0"/>
              <w:right w:val="outset" w:color="auto" w:sz="6" w:space="0"/>
            </w:tcBorders>
            <w:vAlign w:val="center"/>
          </w:tcPr>
          <w:p>
            <w:pPr>
              <w:pStyle w:val="6"/>
              <w:jc w:val="center"/>
              <w:textAlignment w:val="baseline"/>
              <w:rPr>
                <w:rFonts w:ascii="Times New Roman" w:hAnsi="Times New Roman" w:cs="Times New Roman"/>
              </w:rPr>
            </w:pPr>
            <w:r>
              <w:rPr>
                <w:rFonts w:ascii="Times New Roman" w:hAnsi="Times New Roman" w:cs="Times New Roman"/>
              </w:rPr>
              <w:t>DHZ</w:t>
            </w:r>
          </w:p>
        </w:tc>
      </w:tr>
      <w:tr>
        <w:tblPrEx>
          <w:tblCellMar>
            <w:top w:w="15" w:type="dxa"/>
            <w:left w:w="15" w:type="dxa"/>
            <w:bottom w:w="15" w:type="dxa"/>
            <w:right w:w="15" w:type="dxa"/>
          </w:tblCellMar>
        </w:tblPrEx>
        <w:tc>
          <w:tcPr>
            <w:tcW w:w="3825" w:type="dxa"/>
            <w:tcBorders>
              <w:top w:val="nil"/>
              <w:left w:val="outset" w:color="auto" w:sz="6" w:space="0"/>
              <w:bottom w:val="outset" w:color="auto" w:sz="6" w:space="0"/>
              <w:right w:val="nil"/>
            </w:tcBorders>
            <w:vAlign w:val="center"/>
          </w:tcPr>
          <w:p>
            <w:pPr>
              <w:pStyle w:val="6"/>
              <w:jc w:val="center"/>
              <w:textAlignment w:val="baseline"/>
              <w:rPr>
                <w:rFonts w:ascii="Times New Roman" w:hAnsi="Times New Roman" w:cs="Times New Roman"/>
              </w:rPr>
            </w:pPr>
            <w:r>
              <w:rPr>
                <w:rFonts w:ascii="Times New Roman" w:hAnsi="Times New Roman" w:cs="Times New Roman"/>
              </w:rPr>
              <w:t>MV SR</w:t>
            </w:r>
          </w:p>
        </w:tc>
        <w:tc>
          <w:tcPr>
            <w:tcW w:w="1770" w:type="dxa"/>
            <w:tcBorders>
              <w:top w:val="nil"/>
              <w:left w:val="outset" w:color="auto" w:sz="6" w:space="0"/>
              <w:bottom w:val="outset" w:color="auto" w:sz="6" w:space="0"/>
              <w:right w:val="nil"/>
            </w:tcBorders>
            <w:vAlign w:val="center"/>
          </w:tcPr>
          <w:p>
            <w:pPr>
              <w:pStyle w:val="6"/>
              <w:jc w:val="center"/>
              <w:textAlignment w:val="baseline"/>
              <w:rPr>
                <w:rFonts w:ascii="Times New Roman" w:hAnsi="Times New Roman" w:cs="Times New Roman"/>
              </w:rPr>
            </w:pPr>
            <w:r>
              <w:rPr>
                <w:rFonts w:ascii="Times New Roman" w:hAnsi="Times New Roman" w:cs="Times New Roman"/>
              </w:rPr>
              <w:t>87,78</w:t>
            </w:r>
          </w:p>
        </w:tc>
        <w:tc>
          <w:tcPr>
            <w:tcW w:w="3435" w:type="dxa"/>
            <w:tcBorders>
              <w:top w:val="nil"/>
              <w:left w:val="outset" w:color="auto" w:sz="6" w:space="0"/>
              <w:bottom w:val="outset" w:color="auto" w:sz="6" w:space="0"/>
              <w:right w:val="outset" w:color="auto" w:sz="6" w:space="0"/>
            </w:tcBorders>
            <w:vAlign w:val="center"/>
          </w:tcPr>
          <w:p>
            <w:pPr>
              <w:pStyle w:val="6"/>
              <w:jc w:val="center"/>
              <w:textAlignment w:val="baseline"/>
              <w:rPr>
                <w:rFonts w:ascii="Times New Roman" w:hAnsi="Times New Roman" w:cs="Times New Roman"/>
              </w:rPr>
            </w:pPr>
            <w:r>
              <w:rPr>
                <w:rFonts w:ascii="Times New Roman" w:hAnsi="Times New Roman" w:cs="Times New Roman"/>
              </w:rPr>
              <w:t>REGOB</w:t>
            </w:r>
          </w:p>
        </w:tc>
      </w:tr>
      <w:tr>
        <w:tblPrEx>
          <w:tblCellMar>
            <w:top w:w="15" w:type="dxa"/>
            <w:left w:w="15" w:type="dxa"/>
            <w:bottom w:w="15" w:type="dxa"/>
            <w:right w:w="15" w:type="dxa"/>
          </w:tblCellMar>
        </w:tblPrEx>
        <w:tc>
          <w:tcPr>
            <w:tcW w:w="3825" w:type="dxa"/>
            <w:tcBorders>
              <w:top w:val="nil"/>
              <w:left w:val="outset" w:color="auto" w:sz="6" w:space="0"/>
              <w:bottom w:val="outset" w:color="auto" w:sz="6" w:space="0"/>
              <w:right w:val="nil"/>
            </w:tcBorders>
            <w:vAlign w:val="center"/>
          </w:tcPr>
          <w:p>
            <w:pPr>
              <w:pStyle w:val="6"/>
              <w:jc w:val="center"/>
              <w:textAlignment w:val="baseline"/>
              <w:rPr>
                <w:rFonts w:ascii="Times New Roman" w:hAnsi="Times New Roman" w:cs="Times New Roman"/>
              </w:rPr>
            </w:pPr>
            <w:r>
              <w:rPr>
                <w:rFonts w:ascii="Times New Roman" w:hAnsi="Times New Roman" w:cs="Times New Roman"/>
              </w:rPr>
              <w:t>MV SR</w:t>
            </w:r>
          </w:p>
        </w:tc>
        <w:tc>
          <w:tcPr>
            <w:tcW w:w="1770" w:type="dxa"/>
            <w:tcBorders>
              <w:top w:val="nil"/>
              <w:left w:val="outset" w:color="auto" w:sz="6" w:space="0"/>
              <w:bottom w:val="outset" w:color="auto" w:sz="6" w:space="0"/>
              <w:right w:val="nil"/>
            </w:tcBorders>
            <w:vAlign w:val="center"/>
          </w:tcPr>
          <w:p>
            <w:pPr>
              <w:pStyle w:val="6"/>
              <w:jc w:val="center"/>
              <w:textAlignment w:val="baseline"/>
              <w:rPr>
                <w:rFonts w:ascii="Times New Roman" w:hAnsi="Times New Roman" w:cs="Times New Roman"/>
              </w:rPr>
            </w:pPr>
            <w:r>
              <w:rPr>
                <w:rFonts w:ascii="Times New Roman" w:hAnsi="Times New Roman" w:cs="Times New Roman"/>
              </w:rPr>
              <w:t>202,42</w:t>
            </w:r>
          </w:p>
        </w:tc>
        <w:tc>
          <w:tcPr>
            <w:tcW w:w="3435" w:type="dxa"/>
            <w:tcBorders>
              <w:top w:val="nil"/>
              <w:left w:val="outset" w:color="auto" w:sz="6" w:space="0"/>
              <w:bottom w:val="outset" w:color="auto" w:sz="6" w:space="0"/>
              <w:right w:val="outset" w:color="auto" w:sz="6" w:space="0"/>
            </w:tcBorders>
            <w:vAlign w:val="center"/>
          </w:tcPr>
          <w:p>
            <w:pPr>
              <w:pStyle w:val="6"/>
              <w:jc w:val="center"/>
              <w:textAlignment w:val="baseline"/>
              <w:rPr>
                <w:rFonts w:ascii="Times New Roman" w:hAnsi="Times New Roman" w:cs="Times New Roman"/>
              </w:rPr>
            </w:pPr>
            <w:r>
              <w:rPr>
                <w:rFonts w:ascii="Times New Roman" w:hAnsi="Times New Roman" w:cs="Times New Roman"/>
              </w:rPr>
              <w:t>Odmeny</w:t>
            </w:r>
          </w:p>
        </w:tc>
      </w:tr>
      <w:tr>
        <w:tblPrEx>
          <w:tblCellMar>
            <w:top w:w="15" w:type="dxa"/>
            <w:left w:w="15" w:type="dxa"/>
            <w:bottom w:w="15" w:type="dxa"/>
            <w:right w:w="15" w:type="dxa"/>
          </w:tblCellMar>
        </w:tblPrEx>
        <w:tc>
          <w:tcPr>
            <w:tcW w:w="3825" w:type="dxa"/>
            <w:tcBorders>
              <w:top w:val="nil"/>
              <w:left w:val="outset" w:color="auto" w:sz="6" w:space="0"/>
              <w:bottom w:val="outset" w:color="auto" w:sz="6" w:space="0"/>
              <w:right w:val="nil"/>
            </w:tcBorders>
            <w:vAlign w:val="center"/>
          </w:tcPr>
          <w:p>
            <w:pPr>
              <w:pStyle w:val="6"/>
              <w:jc w:val="center"/>
              <w:textAlignment w:val="baseline"/>
              <w:rPr>
                <w:rFonts w:ascii="Times New Roman" w:hAnsi="Times New Roman" w:cs="Times New Roman"/>
              </w:rPr>
            </w:pPr>
            <w:r>
              <w:rPr>
                <w:rFonts w:ascii="Times New Roman" w:hAnsi="Times New Roman" w:cs="Times New Roman"/>
              </w:rPr>
              <w:t>MV SR</w:t>
            </w:r>
          </w:p>
        </w:tc>
        <w:tc>
          <w:tcPr>
            <w:tcW w:w="1770" w:type="dxa"/>
            <w:tcBorders>
              <w:top w:val="nil"/>
              <w:left w:val="outset" w:color="auto" w:sz="6" w:space="0"/>
              <w:bottom w:val="outset" w:color="auto" w:sz="6" w:space="0"/>
              <w:right w:val="nil"/>
            </w:tcBorders>
            <w:vAlign w:val="center"/>
          </w:tcPr>
          <w:p>
            <w:pPr>
              <w:pStyle w:val="6"/>
              <w:jc w:val="center"/>
              <w:textAlignment w:val="baseline"/>
              <w:rPr>
                <w:rFonts w:ascii="Times New Roman" w:hAnsi="Times New Roman" w:cs="Times New Roman"/>
              </w:rPr>
            </w:pPr>
            <w:r>
              <w:rPr>
                <w:rFonts w:ascii="Times New Roman" w:hAnsi="Times New Roman" w:cs="Times New Roman"/>
              </w:rPr>
              <w:t>29,20</w:t>
            </w:r>
          </w:p>
        </w:tc>
        <w:tc>
          <w:tcPr>
            <w:tcW w:w="3435" w:type="dxa"/>
            <w:tcBorders>
              <w:top w:val="nil"/>
              <w:left w:val="outset" w:color="auto" w:sz="6" w:space="0"/>
              <w:bottom w:val="outset" w:color="auto" w:sz="6" w:space="0"/>
              <w:right w:val="outset" w:color="auto" w:sz="6" w:space="0"/>
            </w:tcBorders>
            <w:vAlign w:val="center"/>
          </w:tcPr>
          <w:p>
            <w:pPr>
              <w:pStyle w:val="6"/>
              <w:jc w:val="center"/>
              <w:textAlignment w:val="baseline"/>
              <w:rPr>
                <w:rFonts w:ascii="Times New Roman" w:hAnsi="Times New Roman" w:cs="Times New Roman"/>
              </w:rPr>
            </w:pPr>
            <w:r>
              <w:rPr>
                <w:rFonts w:ascii="Times New Roman" w:hAnsi="Times New Roman" w:cs="Times New Roman"/>
              </w:rPr>
              <w:t>Register adries</w:t>
            </w:r>
          </w:p>
        </w:tc>
      </w:tr>
      <w:tr>
        <w:tblPrEx>
          <w:tblCellMar>
            <w:top w:w="15" w:type="dxa"/>
            <w:left w:w="15" w:type="dxa"/>
            <w:bottom w:w="15" w:type="dxa"/>
            <w:right w:w="15" w:type="dxa"/>
          </w:tblCellMar>
        </w:tblPrEx>
        <w:tc>
          <w:tcPr>
            <w:tcW w:w="3825" w:type="dxa"/>
            <w:tcBorders>
              <w:top w:val="nil"/>
              <w:left w:val="outset" w:color="auto" w:sz="6" w:space="0"/>
              <w:bottom w:val="outset" w:color="auto" w:sz="6" w:space="0"/>
              <w:right w:val="nil"/>
            </w:tcBorders>
            <w:vAlign w:val="center"/>
          </w:tcPr>
          <w:p>
            <w:pPr>
              <w:pStyle w:val="6"/>
              <w:jc w:val="center"/>
              <w:textAlignment w:val="baseline"/>
              <w:rPr>
                <w:rFonts w:ascii="Times New Roman" w:hAnsi="Times New Roman" w:cs="Times New Roman"/>
              </w:rPr>
            </w:pPr>
            <w:r>
              <w:rPr>
                <w:rFonts w:ascii="Times New Roman" w:hAnsi="Times New Roman" w:cs="Times New Roman"/>
              </w:rPr>
              <w:t>MV SR</w:t>
            </w:r>
          </w:p>
        </w:tc>
        <w:tc>
          <w:tcPr>
            <w:tcW w:w="1770" w:type="dxa"/>
            <w:tcBorders>
              <w:top w:val="nil"/>
              <w:left w:val="outset" w:color="auto" w:sz="6" w:space="0"/>
              <w:bottom w:val="outset" w:color="auto" w:sz="6" w:space="0"/>
              <w:right w:val="nil"/>
            </w:tcBorders>
            <w:vAlign w:val="center"/>
          </w:tcPr>
          <w:p>
            <w:pPr>
              <w:pStyle w:val="6"/>
              <w:jc w:val="center"/>
              <w:textAlignment w:val="baseline"/>
              <w:rPr>
                <w:rFonts w:ascii="Times New Roman" w:hAnsi="Times New Roman" w:cs="Times New Roman"/>
              </w:rPr>
            </w:pPr>
            <w:r>
              <w:rPr>
                <w:rFonts w:ascii="Times New Roman" w:hAnsi="Times New Roman" w:cs="Times New Roman"/>
              </w:rPr>
              <w:t>2 759,34</w:t>
            </w:r>
          </w:p>
        </w:tc>
        <w:tc>
          <w:tcPr>
            <w:tcW w:w="3435" w:type="dxa"/>
            <w:tcBorders>
              <w:top w:val="nil"/>
              <w:left w:val="outset" w:color="auto" w:sz="6" w:space="0"/>
              <w:bottom w:val="outset" w:color="auto" w:sz="6" w:space="0"/>
              <w:right w:val="outset" w:color="auto" w:sz="6" w:space="0"/>
            </w:tcBorders>
            <w:vAlign w:val="center"/>
          </w:tcPr>
          <w:p>
            <w:pPr>
              <w:pStyle w:val="6"/>
              <w:jc w:val="center"/>
              <w:textAlignment w:val="baseline"/>
              <w:rPr>
                <w:rFonts w:ascii="Times New Roman" w:hAnsi="Times New Roman" w:cs="Times New Roman"/>
              </w:rPr>
            </w:pPr>
            <w:r>
              <w:rPr>
                <w:rFonts w:ascii="Times New Roman" w:hAnsi="Times New Roman" w:cs="Times New Roman"/>
              </w:rPr>
              <w:t>Voľby a referendum</w:t>
            </w:r>
          </w:p>
        </w:tc>
      </w:tr>
    </w:tbl>
    <w:p>
      <w:pPr>
        <w:pStyle w:val="6"/>
        <w:jc w:val="both"/>
        <w:textAlignment w:val="baseline"/>
        <w:rPr>
          <w:rFonts w:ascii="Segoe UI" w:hAnsi="Segoe UI" w:cs="Segoe UI"/>
        </w:rPr>
      </w:pPr>
      <w:r>
        <w:rPr>
          <w:rFonts w:ascii="Times New Roman" w:hAnsi="Times New Roman" w:cs="Times New Roman"/>
        </w:rPr>
        <w:t xml:space="preserve">Granty a transfery boli účelovo učené a boli použité v súlade s ich účelom. </w:t>
      </w:r>
    </w:p>
    <w:p>
      <w:pPr>
        <w:pStyle w:val="6"/>
        <w:numPr>
          <w:ilvl w:val="0"/>
          <w:numId w:val="10"/>
        </w:numPr>
        <w:jc w:val="both"/>
        <w:textAlignment w:val="baseline"/>
        <w:rPr>
          <w:rFonts w:ascii="Times New Roman" w:hAnsi="Times New Roman" w:cs="Times New Roman"/>
        </w:rPr>
      </w:pPr>
      <w:r>
        <w:rPr>
          <w:rFonts w:ascii="Times New Roman" w:hAnsi="Times New Roman" w:cs="Times New Roman"/>
          <w:b/>
          <w:bCs/>
        </w:rPr>
        <w:t>Kapitálové príjmy:</w:t>
      </w:r>
      <w:r>
        <w:rPr>
          <w:rFonts w:ascii="Times New Roman" w:hAnsi="Times New Roman" w:cs="Times New Roman"/>
        </w:rPr>
        <w:t xml:space="preserve">  </w:t>
      </w:r>
    </w:p>
    <w:tbl>
      <w:tblPr>
        <w:tblStyle w:val="14"/>
        <w:tblW w:w="0" w:type="auto"/>
        <w:tblInd w:w="0" w:type="dxa"/>
        <w:tblLayout w:type="autofit"/>
        <w:tblCellMar>
          <w:top w:w="15" w:type="dxa"/>
          <w:left w:w="15" w:type="dxa"/>
          <w:bottom w:w="15" w:type="dxa"/>
          <w:right w:w="15" w:type="dxa"/>
        </w:tblCellMar>
      </w:tblPr>
      <w:tblGrid>
        <w:gridCol w:w="2882"/>
        <w:gridCol w:w="2988"/>
        <w:gridCol w:w="3232"/>
      </w:tblGrid>
      <w:tr>
        <w:tblPrEx>
          <w:tblCellMar>
            <w:top w:w="15" w:type="dxa"/>
            <w:left w:w="15" w:type="dxa"/>
            <w:bottom w:w="15" w:type="dxa"/>
            <w:right w:w="15" w:type="dxa"/>
          </w:tblCellMar>
        </w:tblPrEx>
        <w:tc>
          <w:tcPr>
            <w:tcW w:w="2955" w:type="dxa"/>
            <w:tcBorders>
              <w:top w:val="outset" w:color="auto" w:sz="6" w:space="0"/>
              <w:left w:val="outset" w:color="auto" w:sz="6" w:space="0"/>
              <w:bottom w:val="outset" w:color="auto" w:sz="6" w:space="0"/>
              <w:right w:val="nil"/>
            </w:tcBorders>
            <w:shd w:val="clear" w:color="auto" w:fill="D9D9D9"/>
            <w:vAlign w:val="center"/>
          </w:tcPr>
          <w:p>
            <w:pPr>
              <w:pStyle w:val="6"/>
              <w:jc w:val="center"/>
              <w:textAlignment w:val="baseline"/>
              <w:rPr>
                <w:rFonts w:ascii="Times New Roman" w:hAnsi="Times New Roman" w:cs="Times New Roman"/>
              </w:rPr>
            </w:pPr>
            <w:r>
              <w:rPr>
                <w:rFonts w:ascii="Times New Roman" w:hAnsi="Times New Roman" w:cs="Times New Roman"/>
                <w:b/>
                <w:bCs/>
              </w:rPr>
              <w:t>Schválený rozpočet na rok 2022 po poslednej zmene</w:t>
            </w:r>
          </w:p>
        </w:tc>
        <w:tc>
          <w:tcPr>
            <w:tcW w:w="3060" w:type="dxa"/>
            <w:tcBorders>
              <w:top w:val="outset" w:color="auto" w:sz="6" w:space="0"/>
              <w:left w:val="outset" w:color="auto" w:sz="6" w:space="0"/>
              <w:bottom w:val="outset" w:color="auto" w:sz="6" w:space="0"/>
              <w:right w:val="nil"/>
            </w:tcBorders>
            <w:shd w:val="clear" w:color="auto" w:fill="D9D9D9"/>
            <w:vAlign w:val="center"/>
          </w:tcPr>
          <w:p>
            <w:pPr>
              <w:pStyle w:val="6"/>
              <w:jc w:val="center"/>
              <w:textAlignment w:val="baseline"/>
              <w:rPr>
                <w:rFonts w:ascii="Times New Roman" w:hAnsi="Times New Roman" w:cs="Times New Roman"/>
              </w:rPr>
            </w:pPr>
            <w:r>
              <w:rPr>
                <w:rFonts w:ascii="Times New Roman" w:hAnsi="Times New Roman" w:cs="Times New Roman"/>
                <w:b/>
                <w:bCs/>
              </w:rPr>
              <w:t>Skutočnosť k 31. 12. 2022</w:t>
            </w:r>
          </w:p>
        </w:tc>
        <w:tc>
          <w:tcPr>
            <w:tcW w:w="3330" w:type="dxa"/>
            <w:tcBorders>
              <w:top w:val="outset" w:color="auto" w:sz="6" w:space="0"/>
              <w:left w:val="outset" w:color="auto" w:sz="6" w:space="0"/>
              <w:bottom w:val="outset" w:color="auto" w:sz="6" w:space="0"/>
              <w:right w:val="outset" w:color="auto" w:sz="6" w:space="0"/>
            </w:tcBorders>
            <w:shd w:val="clear" w:color="auto" w:fill="D9D9D9"/>
            <w:vAlign w:val="center"/>
          </w:tcPr>
          <w:p>
            <w:pPr>
              <w:pStyle w:val="6"/>
              <w:jc w:val="center"/>
              <w:textAlignment w:val="baseline"/>
              <w:rPr>
                <w:rFonts w:ascii="Times New Roman" w:hAnsi="Times New Roman" w:cs="Times New Roman"/>
              </w:rPr>
            </w:pPr>
            <w:r>
              <w:rPr>
                <w:rFonts w:ascii="Times New Roman" w:hAnsi="Times New Roman" w:cs="Times New Roman"/>
                <w:b/>
                <w:bCs/>
              </w:rPr>
              <w:t>% plnenia</w:t>
            </w:r>
          </w:p>
        </w:tc>
      </w:tr>
      <w:tr>
        <w:tblPrEx>
          <w:tblCellMar>
            <w:top w:w="15" w:type="dxa"/>
            <w:left w:w="15" w:type="dxa"/>
            <w:bottom w:w="15" w:type="dxa"/>
            <w:right w:w="15" w:type="dxa"/>
          </w:tblCellMar>
        </w:tblPrEx>
        <w:tc>
          <w:tcPr>
            <w:tcW w:w="2955" w:type="dxa"/>
            <w:tcBorders>
              <w:top w:val="nil"/>
              <w:left w:val="outset" w:color="auto" w:sz="6" w:space="0"/>
              <w:bottom w:val="outset" w:color="auto" w:sz="6" w:space="0"/>
              <w:right w:val="nil"/>
            </w:tcBorders>
          </w:tcPr>
          <w:p>
            <w:pPr>
              <w:pStyle w:val="6"/>
              <w:jc w:val="center"/>
              <w:textAlignment w:val="baseline"/>
              <w:rPr>
                <w:rFonts w:ascii="Times New Roman" w:hAnsi="Times New Roman" w:cs="Times New Roman"/>
              </w:rPr>
            </w:pPr>
            <w:r>
              <w:rPr>
                <w:rFonts w:ascii="Times New Roman" w:hAnsi="Times New Roman" w:cs="Times New Roman"/>
                <w:b/>
                <w:bCs/>
              </w:rPr>
              <w:t>0</w:t>
            </w:r>
          </w:p>
        </w:tc>
        <w:tc>
          <w:tcPr>
            <w:tcW w:w="3060" w:type="dxa"/>
            <w:tcBorders>
              <w:top w:val="nil"/>
              <w:left w:val="outset" w:color="auto" w:sz="6" w:space="0"/>
              <w:bottom w:val="outset" w:color="auto" w:sz="6" w:space="0"/>
              <w:right w:val="nil"/>
            </w:tcBorders>
          </w:tcPr>
          <w:p>
            <w:pPr>
              <w:pStyle w:val="6"/>
              <w:jc w:val="center"/>
              <w:textAlignment w:val="baseline"/>
              <w:rPr>
                <w:rFonts w:ascii="Times New Roman" w:hAnsi="Times New Roman" w:cs="Times New Roman"/>
              </w:rPr>
            </w:pPr>
            <w:r>
              <w:rPr>
                <w:rFonts w:ascii="Times New Roman" w:hAnsi="Times New Roman" w:cs="Times New Roman"/>
              </w:rPr>
              <w:t>0</w:t>
            </w:r>
          </w:p>
        </w:tc>
        <w:tc>
          <w:tcPr>
            <w:tcW w:w="3330" w:type="dxa"/>
            <w:tcBorders>
              <w:top w:val="nil"/>
              <w:left w:val="outset" w:color="auto" w:sz="6" w:space="0"/>
              <w:bottom w:val="outset" w:color="auto" w:sz="6" w:space="0"/>
              <w:right w:val="outset" w:color="auto" w:sz="6" w:space="0"/>
            </w:tcBorders>
          </w:tcPr>
          <w:p>
            <w:pPr>
              <w:pStyle w:val="6"/>
              <w:jc w:val="center"/>
              <w:textAlignment w:val="baseline"/>
              <w:rPr>
                <w:rFonts w:ascii="Times New Roman" w:hAnsi="Times New Roman" w:cs="Times New Roman"/>
              </w:rPr>
            </w:pPr>
            <w:r>
              <w:rPr>
                <w:rFonts w:ascii="Times New Roman" w:hAnsi="Times New Roman" w:cs="Times New Roman"/>
              </w:rPr>
              <w:t>0</w:t>
            </w:r>
          </w:p>
        </w:tc>
      </w:tr>
    </w:tbl>
    <w:p>
      <w:pPr>
        <w:pStyle w:val="6"/>
        <w:spacing w:line="360" w:lineRule="auto"/>
        <w:jc w:val="both"/>
        <w:textAlignment w:val="baseline"/>
        <w:rPr>
          <w:rFonts w:ascii="Segoe UI" w:hAnsi="Segoe UI" w:cs="Segoe UI"/>
        </w:rPr>
      </w:pPr>
      <w:r>
        <w:rPr>
          <w:rFonts w:ascii="Times New Roman" w:hAnsi="Times New Roman" w:cs="Times New Roman"/>
        </w:rPr>
        <w:t xml:space="preserve">Z rozpočtovaných kapitálových príjmov 0 EUR bol skutočný príjem  </w:t>
      </w:r>
      <w:r>
        <w:rPr>
          <w:rFonts w:ascii="Times New Roman" w:hAnsi="Times New Roman" w:cs="Times New Roman"/>
        </w:rPr>
        <w:br w:type="textWrapping"/>
      </w:r>
      <w:r>
        <w:rPr>
          <w:rFonts w:ascii="Times New Roman" w:hAnsi="Times New Roman" w:cs="Times New Roman"/>
        </w:rPr>
        <w:t>k 31. 12. 2021 v sume 0 EUR, čo predstavuje  00 %  plnenie.</w:t>
      </w:r>
    </w:p>
    <w:p>
      <w:pPr>
        <w:pStyle w:val="6"/>
        <w:numPr>
          <w:ilvl w:val="0"/>
          <w:numId w:val="11"/>
        </w:numPr>
        <w:jc w:val="both"/>
        <w:textAlignment w:val="baseline"/>
        <w:rPr>
          <w:rFonts w:ascii="Times New Roman" w:hAnsi="Times New Roman" w:cs="Times New Roman"/>
        </w:rPr>
      </w:pPr>
      <w:r>
        <w:rPr>
          <w:rFonts w:ascii="Times New Roman" w:hAnsi="Times New Roman" w:cs="Times New Roman"/>
          <w:b/>
          <w:bCs/>
        </w:rPr>
        <w:t>Príjmové finančné operácie:</w:t>
      </w:r>
      <w:r>
        <w:rPr>
          <w:rFonts w:ascii="Times New Roman" w:hAnsi="Times New Roman" w:cs="Times New Roman"/>
        </w:rPr>
        <w:t xml:space="preserve">  </w:t>
      </w:r>
    </w:p>
    <w:tbl>
      <w:tblPr>
        <w:tblStyle w:val="14"/>
        <w:tblW w:w="0" w:type="auto"/>
        <w:tblInd w:w="0" w:type="dxa"/>
        <w:tblLayout w:type="autofit"/>
        <w:tblCellMar>
          <w:top w:w="15" w:type="dxa"/>
          <w:left w:w="15" w:type="dxa"/>
          <w:bottom w:w="15" w:type="dxa"/>
          <w:right w:w="15" w:type="dxa"/>
        </w:tblCellMar>
      </w:tblPr>
      <w:tblGrid>
        <w:gridCol w:w="2880"/>
        <w:gridCol w:w="2986"/>
        <w:gridCol w:w="3236"/>
      </w:tblGrid>
      <w:tr>
        <w:tblPrEx>
          <w:tblCellMar>
            <w:top w:w="15" w:type="dxa"/>
            <w:left w:w="15" w:type="dxa"/>
            <w:bottom w:w="15" w:type="dxa"/>
            <w:right w:w="15" w:type="dxa"/>
          </w:tblCellMar>
        </w:tblPrEx>
        <w:tc>
          <w:tcPr>
            <w:tcW w:w="2955" w:type="dxa"/>
            <w:tcBorders>
              <w:top w:val="outset" w:color="auto" w:sz="6" w:space="0"/>
              <w:left w:val="outset" w:color="auto" w:sz="6" w:space="0"/>
              <w:bottom w:val="outset" w:color="auto" w:sz="6" w:space="0"/>
              <w:right w:val="nil"/>
            </w:tcBorders>
            <w:shd w:val="clear" w:color="auto" w:fill="D9D9D9"/>
            <w:vAlign w:val="center"/>
          </w:tcPr>
          <w:p>
            <w:pPr>
              <w:pStyle w:val="6"/>
              <w:jc w:val="center"/>
              <w:textAlignment w:val="baseline"/>
              <w:rPr>
                <w:rFonts w:ascii="Times New Roman" w:hAnsi="Times New Roman" w:cs="Times New Roman"/>
              </w:rPr>
            </w:pPr>
            <w:r>
              <w:rPr>
                <w:rFonts w:ascii="Times New Roman" w:hAnsi="Times New Roman" w:cs="Times New Roman"/>
                <w:b/>
                <w:bCs/>
              </w:rPr>
              <w:t>Schválený rozpočet na rok 2022 po poslednej zmene</w:t>
            </w:r>
          </w:p>
        </w:tc>
        <w:tc>
          <w:tcPr>
            <w:tcW w:w="3060" w:type="dxa"/>
            <w:tcBorders>
              <w:top w:val="outset" w:color="auto" w:sz="6" w:space="0"/>
              <w:left w:val="outset" w:color="auto" w:sz="6" w:space="0"/>
              <w:bottom w:val="outset" w:color="auto" w:sz="6" w:space="0"/>
              <w:right w:val="nil"/>
            </w:tcBorders>
            <w:shd w:val="clear" w:color="auto" w:fill="D9D9D9"/>
            <w:vAlign w:val="center"/>
          </w:tcPr>
          <w:p>
            <w:pPr>
              <w:pStyle w:val="6"/>
              <w:jc w:val="center"/>
              <w:textAlignment w:val="baseline"/>
              <w:rPr>
                <w:rFonts w:ascii="Times New Roman" w:hAnsi="Times New Roman" w:cs="Times New Roman"/>
              </w:rPr>
            </w:pPr>
            <w:r>
              <w:rPr>
                <w:rFonts w:ascii="Times New Roman" w:hAnsi="Times New Roman" w:cs="Times New Roman"/>
                <w:b/>
                <w:bCs/>
              </w:rPr>
              <w:t>Skutočnosť k 31. 12. 2022</w:t>
            </w:r>
          </w:p>
        </w:tc>
        <w:tc>
          <w:tcPr>
            <w:tcW w:w="3330" w:type="dxa"/>
            <w:tcBorders>
              <w:top w:val="outset" w:color="auto" w:sz="6" w:space="0"/>
              <w:left w:val="outset" w:color="auto" w:sz="6" w:space="0"/>
              <w:bottom w:val="outset" w:color="auto" w:sz="6" w:space="0"/>
              <w:right w:val="outset" w:color="auto" w:sz="6" w:space="0"/>
            </w:tcBorders>
            <w:shd w:val="clear" w:color="auto" w:fill="D9D9D9"/>
            <w:vAlign w:val="center"/>
          </w:tcPr>
          <w:p>
            <w:pPr>
              <w:pStyle w:val="6"/>
              <w:jc w:val="center"/>
              <w:textAlignment w:val="baseline"/>
              <w:rPr>
                <w:rFonts w:ascii="Times New Roman" w:hAnsi="Times New Roman" w:cs="Times New Roman"/>
              </w:rPr>
            </w:pPr>
            <w:r>
              <w:rPr>
                <w:rFonts w:ascii="Times New Roman" w:hAnsi="Times New Roman" w:cs="Times New Roman"/>
                <w:b/>
                <w:bCs/>
              </w:rPr>
              <w:t>% plnenia</w:t>
            </w:r>
          </w:p>
        </w:tc>
      </w:tr>
      <w:tr>
        <w:tblPrEx>
          <w:tblCellMar>
            <w:top w:w="15" w:type="dxa"/>
            <w:left w:w="15" w:type="dxa"/>
            <w:bottom w:w="15" w:type="dxa"/>
            <w:right w:w="15" w:type="dxa"/>
          </w:tblCellMar>
        </w:tblPrEx>
        <w:tc>
          <w:tcPr>
            <w:tcW w:w="2955" w:type="dxa"/>
            <w:tcBorders>
              <w:top w:val="nil"/>
              <w:left w:val="outset" w:color="auto" w:sz="6" w:space="0"/>
              <w:bottom w:val="outset" w:color="auto" w:sz="6" w:space="0"/>
              <w:right w:val="nil"/>
            </w:tcBorders>
          </w:tcPr>
          <w:p>
            <w:pPr>
              <w:pStyle w:val="6"/>
              <w:jc w:val="center"/>
              <w:textAlignment w:val="baseline"/>
              <w:rPr>
                <w:rFonts w:ascii="Times New Roman" w:hAnsi="Times New Roman" w:cs="Times New Roman"/>
              </w:rPr>
            </w:pPr>
            <w:r>
              <w:rPr>
                <w:rFonts w:ascii="Times New Roman" w:hAnsi="Times New Roman" w:cs="Times New Roman"/>
                <w:b/>
                <w:bCs/>
              </w:rPr>
              <w:t>10 000</w:t>
            </w:r>
          </w:p>
        </w:tc>
        <w:tc>
          <w:tcPr>
            <w:tcW w:w="3060" w:type="dxa"/>
            <w:tcBorders>
              <w:top w:val="nil"/>
              <w:left w:val="outset" w:color="auto" w:sz="6" w:space="0"/>
              <w:bottom w:val="outset" w:color="auto" w:sz="6" w:space="0"/>
              <w:right w:val="nil"/>
            </w:tcBorders>
          </w:tcPr>
          <w:p>
            <w:pPr>
              <w:pStyle w:val="6"/>
              <w:jc w:val="center"/>
              <w:textAlignment w:val="baseline"/>
              <w:rPr>
                <w:rFonts w:ascii="Times New Roman" w:hAnsi="Times New Roman" w:cs="Times New Roman"/>
              </w:rPr>
            </w:pPr>
            <w:r>
              <w:rPr>
                <w:rFonts w:ascii="Times New Roman" w:hAnsi="Times New Roman" w:cs="Times New Roman"/>
              </w:rPr>
              <w:t>72 486,80</w:t>
            </w:r>
          </w:p>
        </w:tc>
        <w:tc>
          <w:tcPr>
            <w:tcW w:w="3330" w:type="dxa"/>
            <w:tcBorders>
              <w:top w:val="nil"/>
              <w:left w:val="outset" w:color="auto" w:sz="6" w:space="0"/>
              <w:bottom w:val="outset" w:color="auto" w:sz="6" w:space="0"/>
              <w:right w:val="outset" w:color="auto" w:sz="6" w:space="0"/>
            </w:tcBorders>
          </w:tcPr>
          <w:p>
            <w:pPr>
              <w:pStyle w:val="6"/>
              <w:jc w:val="center"/>
              <w:textAlignment w:val="baseline"/>
              <w:rPr>
                <w:rFonts w:ascii="Times New Roman" w:hAnsi="Times New Roman" w:cs="Times New Roman"/>
              </w:rPr>
            </w:pPr>
            <w:r>
              <w:rPr>
                <w:rFonts w:ascii="Times New Roman" w:hAnsi="Times New Roman" w:cs="Times New Roman"/>
              </w:rPr>
              <w:t>724,87 %</w:t>
            </w:r>
          </w:p>
        </w:tc>
      </w:tr>
    </w:tbl>
    <w:p>
      <w:pPr>
        <w:pStyle w:val="6"/>
        <w:spacing w:line="360" w:lineRule="auto"/>
        <w:jc w:val="both"/>
        <w:textAlignment w:val="baseline"/>
        <w:rPr>
          <w:rFonts w:ascii="Segoe UI" w:hAnsi="Segoe UI" w:cs="Segoe UI"/>
        </w:rPr>
      </w:pPr>
      <w:r>
        <w:rPr>
          <w:rFonts w:ascii="Times New Roman" w:hAnsi="Times New Roman" w:cs="Times New Roman"/>
        </w:rPr>
        <w:t xml:space="preserve">Z rozpočtovaných príjmových finančných operácií 10 000 EUR bol skutočný príjem  </w:t>
      </w:r>
      <w:r>
        <w:rPr>
          <w:rFonts w:ascii="Times New Roman" w:hAnsi="Times New Roman" w:cs="Times New Roman"/>
        </w:rPr>
        <w:br w:type="textWrapping"/>
      </w:r>
      <w:r>
        <w:rPr>
          <w:rFonts w:ascii="Times New Roman" w:hAnsi="Times New Roman" w:cs="Times New Roman"/>
        </w:rPr>
        <w:t>k 31. 12. 2022 v sume 72 486,80 EUR, čo predstavuje  724,87 %  plnenie. Tieto príjmy sú tvorené prijatými bankovými úvermi.</w:t>
      </w:r>
    </w:p>
    <w:p>
      <w:pPr>
        <w:pStyle w:val="6"/>
        <w:numPr>
          <w:ilvl w:val="0"/>
          <w:numId w:val="12"/>
        </w:numPr>
        <w:jc w:val="both"/>
        <w:textAlignment w:val="baseline"/>
        <w:rPr>
          <w:rFonts w:ascii="Times New Roman" w:hAnsi="Times New Roman" w:cs="Times New Roman"/>
        </w:rPr>
      </w:pPr>
      <w:r>
        <w:rPr>
          <w:rFonts w:ascii="Times New Roman" w:hAnsi="Times New Roman" w:cs="Times New Roman"/>
          <w:b/>
          <w:bCs/>
        </w:rPr>
        <w:t>Príjmy rozpočtových organizácií s právnou subjektivitou:</w:t>
      </w:r>
      <w:r>
        <w:rPr>
          <w:rFonts w:ascii="Times New Roman" w:hAnsi="Times New Roman" w:cs="Times New Roman"/>
        </w:rPr>
        <w:t xml:space="preserve"> </w:t>
      </w:r>
    </w:p>
    <w:p>
      <w:pPr>
        <w:pStyle w:val="6"/>
        <w:jc w:val="both"/>
        <w:textAlignment w:val="baseline"/>
        <w:rPr>
          <w:rFonts w:ascii="Segoe UI" w:hAnsi="Segoe UI" w:cs="Segoe UI"/>
        </w:rPr>
      </w:pPr>
      <w:r>
        <w:rPr>
          <w:rFonts w:ascii="Times New Roman" w:hAnsi="Times New Roman" w:cs="Times New Roman"/>
          <w:b/>
          <w:bCs/>
        </w:rPr>
        <w:t>Obec Hendrichovce nemá rozpočtovú organizáciu.</w:t>
      </w:r>
      <w:r>
        <w:rPr>
          <w:rFonts w:ascii="Times New Roman" w:hAnsi="Times New Roman" w:cs="Times New Roman"/>
        </w:rPr>
        <w:t xml:space="preserve"> </w:t>
      </w:r>
      <w:r>
        <w:rPr>
          <w:rFonts w:ascii="Times New Roman" w:hAnsi="Times New Roman" w:cs="Times New Roman"/>
          <w:color w:val="6600FF"/>
        </w:rPr>
        <w:t xml:space="preserve"> </w:t>
      </w:r>
    </w:p>
    <w:p>
      <w:pPr>
        <w:pStyle w:val="6"/>
        <w:jc w:val="both"/>
        <w:textAlignment w:val="baseline"/>
        <w:rPr>
          <w:rFonts w:ascii="Segoe UI" w:hAnsi="Segoe UI" w:cs="Segoe UI"/>
        </w:rPr>
      </w:pPr>
      <w:r>
        <w:rPr>
          <w:rFonts w:ascii="Times New Roman" w:hAnsi="Times New Roman" w:cs="Times New Roman"/>
          <w:b/>
          <w:bCs/>
          <w:shd w:val="clear" w:color="auto" w:fill="C0C0C0"/>
        </w:rPr>
        <w:t>6.2 Rozbor čerpania výdavkov za rok 2022</w:t>
      </w:r>
      <w:r>
        <w:rPr>
          <w:rFonts w:ascii="Times New Roman" w:hAnsi="Times New Roman" w:cs="Times New Roman"/>
        </w:rPr>
        <w:t xml:space="preserve">  </w:t>
      </w:r>
    </w:p>
    <w:tbl>
      <w:tblPr>
        <w:tblStyle w:val="14"/>
        <w:tblW w:w="0" w:type="auto"/>
        <w:tblInd w:w="0" w:type="dxa"/>
        <w:tblLayout w:type="autofit"/>
        <w:tblCellMar>
          <w:top w:w="15" w:type="dxa"/>
          <w:left w:w="15" w:type="dxa"/>
          <w:bottom w:w="15" w:type="dxa"/>
          <w:right w:w="15" w:type="dxa"/>
        </w:tblCellMar>
      </w:tblPr>
      <w:tblGrid>
        <w:gridCol w:w="2879"/>
        <w:gridCol w:w="2986"/>
        <w:gridCol w:w="3237"/>
      </w:tblGrid>
      <w:tr>
        <w:tblPrEx>
          <w:tblCellMar>
            <w:top w:w="15" w:type="dxa"/>
            <w:left w:w="15" w:type="dxa"/>
            <w:bottom w:w="15" w:type="dxa"/>
            <w:right w:w="15" w:type="dxa"/>
          </w:tblCellMar>
        </w:tblPrEx>
        <w:tc>
          <w:tcPr>
            <w:tcW w:w="2955" w:type="dxa"/>
            <w:tcBorders>
              <w:top w:val="outset" w:color="auto" w:sz="6" w:space="0"/>
              <w:left w:val="outset" w:color="auto" w:sz="6" w:space="0"/>
              <w:bottom w:val="outset" w:color="auto" w:sz="6" w:space="0"/>
              <w:right w:val="nil"/>
            </w:tcBorders>
            <w:shd w:val="clear" w:color="auto" w:fill="D9D9D9"/>
            <w:vAlign w:val="center"/>
          </w:tcPr>
          <w:p>
            <w:pPr>
              <w:pStyle w:val="6"/>
              <w:jc w:val="both"/>
              <w:textAlignment w:val="baseline"/>
              <w:rPr>
                <w:rFonts w:ascii="Times New Roman" w:hAnsi="Times New Roman" w:cs="Times New Roman"/>
              </w:rPr>
            </w:pPr>
            <w:r>
              <w:rPr>
                <w:rFonts w:ascii="Times New Roman" w:hAnsi="Times New Roman" w:cs="Times New Roman"/>
                <w:b/>
                <w:bCs/>
              </w:rPr>
              <w:t>Schválený rozpočet na rok 2022 po poslednej zmene</w:t>
            </w:r>
            <w:r>
              <w:rPr>
                <w:rFonts w:ascii="Times New Roman" w:hAnsi="Times New Roman" w:cs="Times New Roman"/>
              </w:rPr>
              <w:t> </w:t>
            </w:r>
          </w:p>
        </w:tc>
        <w:tc>
          <w:tcPr>
            <w:tcW w:w="3060" w:type="dxa"/>
            <w:tcBorders>
              <w:top w:val="outset" w:color="auto" w:sz="6" w:space="0"/>
              <w:left w:val="outset" w:color="auto" w:sz="6" w:space="0"/>
              <w:bottom w:val="outset" w:color="auto" w:sz="6" w:space="0"/>
              <w:right w:val="nil"/>
            </w:tcBorders>
            <w:shd w:val="clear" w:color="auto" w:fill="D9D9D9"/>
            <w:vAlign w:val="center"/>
          </w:tcPr>
          <w:p>
            <w:pPr>
              <w:pStyle w:val="6"/>
              <w:jc w:val="both"/>
              <w:textAlignment w:val="baseline"/>
              <w:rPr>
                <w:rFonts w:ascii="Times New Roman" w:hAnsi="Times New Roman" w:cs="Times New Roman"/>
              </w:rPr>
            </w:pPr>
            <w:r>
              <w:rPr>
                <w:rFonts w:ascii="Times New Roman" w:hAnsi="Times New Roman" w:cs="Times New Roman"/>
                <w:b/>
                <w:bCs/>
              </w:rPr>
              <w:t>Skutočnosť k 31. 12. 2022</w:t>
            </w:r>
            <w:r>
              <w:rPr>
                <w:rFonts w:ascii="Times New Roman" w:hAnsi="Times New Roman" w:cs="Times New Roman"/>
              </w:rPr>
              <w:t> </w:t>
            </w:r>
          </w:p>
        </w:tc>
        <w:tc>
          <w:tcPr>
            <w:tcW w:w="3330" w:type="dxa"/>
            <w:tcBorders>
              <w:top w:val="outset" w:color="auto" w:sz="6" w:space="0"/>
              <w:left w:val="outset" w:color="auto" w:sz="6" w:space="0"/>
              <w:bottom w:val="outset" w:color="auto" w:sz="6" w:space="0"/>
              <w:right w:val="outset" w:color="auto" w:sz="6" w:space="0"/>
            </w:tcBorders>
            <w:shd w:val="clear" w:color="auto" w:fill="D9D9D9"/>
            <w:vAlign w:val="center"/>
          </w:tcPr>
          <w:p>
            <w:pPr>
              <w:pStyle w:val="6"/>
              <w:jc w:val="both"/>
              <w:textAlignment w:val="baseline"/>
              <w:rPr>
                <w:rFonts w:ascii="Times New Roman" w:hAnsi="Times New Roman" w:cs="Times New Roman"/>
              </w:rPr>
            </w:pPr>
            <w:r>
              <w:rPr>
                <w:rFonts w:ascii="Times New Roman" w:hAnsi="Times New Roman" w:cs="Times New Roman"/>
                <w:b/>
                <w:bCs/>
              </w:rPr>
              <w:t>% čerpania</w:t>
            </w:r>
            <w:r>
              <w:rPr>
                <w:rFonts w:ascii="Times New Roman" w:hAnsi="Times New Roman" w:cs="Times New Roman"/>
              </w:rPr>
              <w:t> </w:t>
            </w:r>
          </w:p>
        </w:tc>
      </w:tr>
      <w:tr>
        <w:tblPrEx>
          <w:tblCellMar>
            <w:top w:w="15" w:type="dxa"/>
            <w:left w:w="15" w:type="dxa"/>
            <w:bottom w:w="15" w:type="dxa"/>
            <w:right w:w="15" w:type="dxa"/>
          </w:tblCellMar>
        </w:tblPrEx>
        <w:tc>
          <w:tcPr>
            <w:tcW w:w="2955" w:type="dxa"/>
            <w:tcBorders>
              <w:top w:val="nil"/>
              <w:left w:val="outset" w:color="auto" w:sz="6" w:space="0"/>
              <w:bottom w:val="outset" w:color="auto" w:sz="6" w:space="0"/>
              <w:right w:val="nil"/>
            </w:tcBorders>
          </w:tcPr>
          <w:p>
            <w:pPr>
              <w:pStyle w:val="6"/>
              <w:jc w:val="both"/>
              <w:textAlignment w:val="baseline"/>
              <w:rPr>
                <w:rFonts w:ascii="Times New Roman" w:hAnsi="Times New Roman" w:cs="Times New Roman"/>
                <w:b/>
                <w:bCs/>
              </w:rPr>
            </w:pPr>
            <w:r>
              <w:rPr>
                <w:rFonts w:ascii="Times New Roman" w:hAnsi="Times New Roman" w:cs="Times New Roman"/>
                <w:b/>
                <w:bCs/>
              </w:rPr>
              <w:t>107 310</w:t>
            </w:r>
          </w:p>
        </w:tc>
        <w:tc>
          <w:tcPr>
            <w:tcW w:w="3060" w:type="dxa"/>
            <w:tcBorders>
              <w:top w:val="nil"/>
              <w:left w:val="outset" w:color="auto" w:sz="6" w:space="0"/>
              <w:bottom w:val="outset" w:color="auto" w:sz="6" w:space="0"/>
              <w:right w:val="nil"/>
            </w:tcBorders>
          </w:tcPr>
          <w:p>
            <w:pPr>
              <w:pStyle w:val="6"/>
              <w:jc w:val="both"/>
              <w:textAlignment w:val="baseline"/>
              <w:rPr>
                <w:rFonts w:ascii="Times New Roman" w:hAnsi="Times New Roman" w:cs="Times New Roman"/>
              </w:rPr>
            </w:pPr>
            <w:r>
              <w:rPr>
                <w:rFonts w:ascii="Times New Roman" w:hAnsi="Times New Roman" w:cs="Times New Roman"/>
              </w:rPr>
              <w:t>173 020,18 </w:t>
            </w:r>
          </w:p>
        </w:tc>
        <w:tc>
          <w:tcPr>
            <w:tcW w:w="3330" w:type="dxa"/>
            <w:tcBorders>
              <w:top w:val="nil"/>
              <w:left w:val="outset" w:color="auto" w:sz="6" w:space="0"/>
              <w:bottom w:val="outset" w:color="auto" w:sz="6" w:space="0"/>
              <w:right w:val="outset" w:color="auto" w:sz="6" w:space="0"/>
            </w:tcBorders>
          </w:tcPr>
          <w:p>
            <w:pPr>
              <w:pStyle w:val="6"/>
              <w:jc w:val="both"/>
              <w:textAlignment w:val="baseline"/>
              <w:rPr>
                <w:rFonts w:ascii="Times New Roman" w:hAnsi="Times New Roman" w:cs="Times New Roman"/>
              </w:rPr>
            </w:pPr>
            <w:r>
              <w:rPr>
                <w:rFonts w:ascii="Times New Roman" w:hAnsi="Times New Roman" w:cs="Times New Roman"/>
              </w:rPr>
              <w:t>161,23 % </w:t>
            </w:r>
          </w:p>
        </w:tc>
      </w:tr>
    </w:tbl>
    <w:p>
      <w:pPr>
        <w:pStyle w:val="6"/>
        <w:spacing w:line="360" w:lineRule="auto"/>
        <w:jc w:val="both"/>
        <w:textAlignment w:val="baseline"/>
        <w:rPr>
          <w:rFonts w:ascii="Segoe UI" w:hAnsi="Segoe UI" w:cs="Segoe UI"/>
        </w:rPr>
      </w:pPr>
      <w:r>
        <w:rPr>
          <w:rFonts w:ascii="Times New Roman" w:hAnsi="Times New Roman" w:cs="Times New Roman"/>
        </w:rPr>
        <w:t xml:space="preserve">Z rozpočtovaných celkových výdavkov 107 310 EUR bolo skutočne čerpané   </w:t>
      </w:r>
      <w:r>
        <w:rPr>
          <w:rFonts w:ascii="Times New Roman" w:hAnsi="Times New Roman" w:cs="Times New Roman"/>
        </w:rPr>
        <w:br w:type="textWrapping"/>
      </w:r>
      <w:r>
        <w:rPr>
          <w:rFonts w:ascii="Times New Roman" w:hAnsi="Times New Roman" w:cs="Times New Roman"/>
        </w:rPr>
        <w:t xml:space="preserve">k 31. 12. 2022 v sume 173 020,18 EUR, čo predstavuje  161,23 %  čerpanie. </w:t>
      </w:r>
    </w:p>
    <w:p>
      <w:pPr>
        <w:pStyle w:val="6"/>
        <w:numPr>
          <w:ilvl w:val="0"/>
          <w:numId w:val="13"/>
        </w:numPr>
        <w:jc w:val="both"/>
        <w:textAlignment w:val="baseline"/>
        <w:rPr>
          <w:rFonts w:ascii="Times New Roman" w:hAnsi="Times New Roman" w:cs="Times New Roman"/>
        </w:rPr>
      </w:pPr>
      <w:r>
        <w:rPr>
          <w:rFonts w:ascii="Times New Roman" w:hAnsi="Times New Roman" w:cs="Times New Roman"/>
          <w:b/>
          <w:bCs/>
        </w:rPr>
        <w:t>Bežné výdavky</w:t>
      </w:r>
      <w:r>
        <w:rPr>
          <w:rFonts w:ascii="Times New Roman" w:hAnsi="Times New Roman" w:cs="Times New Roman"/>
        </w:rPr>
        <w:t xml:space="preserve"> </w:t>
      </w:r>
    </w:p>
    <w:tbl>
      <w:tblPr>
        <w:tblStyle w:val="14"/>
        <w:tblW w:w="0" w:type="auto"/>
        <w:tblInd w:w="0" w:type="dxa"/>
        <w:tblLayout w:type="autofit"/>
        <w:tblCellMar>
          <w:top w:w="15" w:type="dxa"/>
          <w:left w:w="15" w:type="dxa"/>
          <w:bottom w:w="15" w:type="dxa"/>
          <w:right w:w="15" w:type="dxa"/>
        </w:tblCellMar>
      </w:tblPr>
      <w:tblGrid>
        <w:gridCol w:w="2880"/>
        <w:gridCol w:w="2986"/>
        <w:gridCol w:w="3236"/>
      </w:tblGrid>
      <w:tr>
        <w:tblPrEx>
          <w:tblCellMar>
            <w:top w:w="15" w:type="dxa"/>
            <w:left w:w="15" w:type="dxa"/>
            <w:bottom w:w="15" w:type="dxa"/>
            <w:right w:w="15" w:type="dxa"/>
          </w:tblCellMar>
        </w:tblPrEx>
        <w:tc>
          <w:tcPr>
            <w:tcW w:w="2955" w:type="dxa"/>
            <w:tcBorders>
              <w:top w:val="outset" w:color="auto" w:sz="6" w:space="0"/>
              <w:left w:val="outset" w:color="auto" w:sz="6" w:space="0"/>
              <w:bottom w:val="outset" w:color="auto" w:sz="6" w:space="0"/>
              <w:right w:val="nil"/>
            </w:tcBorders>
            <w:shd w:val="clear" w:color="auto" w:fill="D9D9D9"/>
            <w:vAlign w:val="center"/>
          </w:tcPr>
          <w:p>
            <w:pPr>
              <w:pStyle w:val="6"/>
              <w:jc w:val="center"/>
              <w:textAlignment w:val="baseline"/>
              <w:rPr>
                <w:rFonts w:ascii="Times New Roman" w:hAnsi="Times New Roman" w:cs="Times New Roman"/>
              </w:rPr>
            </w:pPr>
            <w:r>
              <w:rPr>
                <w:rFonts w:ascii="Times New Roman" w:hAnsi="Times New Roman" w:cs="Times New Roman"/>
                <w:b/>
                <w:bCs/>
              </w:rPr>
              <w:t>Schválený rozpočet na rok 2022 po poslednej zmene</w:t>
            </w:r>
          </w:p>
        </w:tc>
        <w:tc>
          <w:tcPr>
            <w:tcW w:w="3060" w:type="dxa"/>
            <w:tcBorders>
              <w:top w:val="outset" w:color="auto" w:sz="6" w:space="0"/>
              <w:left w:val="outset" w:color="auto" w:sz="6" w:space="0"/>
              <w:bottom w:val="outset" w:color="auto" w:sz="6" w:space="0"/>
              <w:right w:val="nil"/>
            </w:tcBorders>
            <w:shd w:val="clear" w:color="auto" w:fill="D9D9D9"/>
            <w:vAlign w:val="center"/>
          </w:tcPr>
          <w:p>
            <w:pPr>
              <w:pStyle w:val="6"/>
              <w:jc w:val="center"/>
              <w:textAlignment w:val="baseline"/>
              <w:rPr>
                <w:rFonts w:ascii="Times New Roman" w:hAnsi="Times New Roman" w:cs="Times New Roman"/>
              </w:rPr>
            </w:pPr>
            <w:r>
              <w:rPr>
                <w:rFonts w:ascii="Times New Roman" w:hAnsi="Times New Roman" w:cs="Times New Roman"/>
                <w:b/>
                <w:bCs/>
              </w:rPr>
              <w:t>Skutočnosť k 31. 12. 2022</w:t>
            </w:r>
          </w:p>
        </w:tc>
        <w:tc>
          <w:tcPr>
            <w:tcW w:w="3330" w:type="dxa"/>
            <w:tcBorders>
              <w:top w:val="outset" w:color="auto" w:sz="6" w:space="0"/>
              <w:left w:val="outset" w:color="auto" w:sz="6" w:space="0"/>
              <w:bottom w:val="outset" w:color="auto" w:sz="6" w:space="0"/>
              <w:right w:val="outset" w:color="auto" w:sz="6" w:space="0"/>
            </w:tcBorders>
            <w:shd w:val="clear" w:color="auto" w:fill="D9D9D9"/>
            <w:vAlign w:val="center"/>
          </w:tcPr>
          <w:p>
            <w:pPr>
              <w:pStyle w:val="6"/>
              <w:jc w:val="center"/>
              <w:textAlignment w:val="baseline"/>
              <w:rPr>
                <w:rFonts w:ascii="Times New Roman" w:hAnsi="Times New Roman" w:cs="Times New Roman"/>
              </w:rPr>
            </w:pPr>
            <w:r>
              <w:rPr>
                <w:rFonts w:ascii="Times New Roman" w:hAnsi="Times New Roman" w:cs="Times New Roman"/>
                <w:b/>
                <w:bCs/>
              </w:rPr>
              <w:t>% čerpania</w:t>
            </w:r>
          </w:p>
        </w:tc>
      </w:tr>
      <w:tr>
        <w:tblPrEx>
          <w:tblCellMar>
            <w:top w:w="15" w:type="dxa"/>
            <w:left w:w="15" w:type="dxa"/>
            <w:bottom w:w="15" w:type="dxa"/>
            <w:right w:w="15" w:type="dxa"/>
          </w:tblCellMar>
        </w:tblPrEx>
        <w:tc>
          <w:tcPr>
            <w:tcW w:w="2955" w:type="dxa"/>
            <w:tcBorders>
              <w:top w:val="nil"/>
              <w:left w:val="outset" w:color="auto" w:sz="6" w:space="0"/>
              <w:bottom w:val="outset" w:color="auto" w:sz="6" w:space="0"/>
              <w:right w:val="nil"/>
            </w:tcBorders>
          </w:tcPr>
          <w:p>
            <w:pPr>
              <w:pStyle w:val="6"/>
              <w:jc w:val="center"/>
              <w:textAlignment w:val="baseline"/>
              <w:rPr>
                <w:rFonts w:ascii="Times New Roman" w:hAnsi="Times New Roman" w:cs="Times New Roman"/>
                <w:b/>
                <w:bCs/>
              </w:rPr>
            </w:pPr>
            <w:r>
              <w:rPr>
                <w:rFonts w:ascii="Times New Roman" w:hAnsi="Times New Roman" w:cs="Times New Roman"/>
                <w:b/>
                <w:bCs/>
              </w:rPr>
              <w:t>92 460</w:t>
            </w:r>
          </w:p>
        </w:tc>
        <w:tc>
          <w:tcPr>
            <w:tcW w:w="3060" w:type="dxa"/>
            <w:tcBorders>
              <w:top w:val="nil"/>
              <w:left w:val="outset" w:color="auto" w:sz="6" w:space="0"/>
              <w:bottom w:val="outset" w:color="auto" w:sz="6" w:space="0"/>
              <w:right w:val="nil"/>
            </w:tcBorders>
          </w:tcPr>
          <w:p>
            <w:pPr>
              <w:pStyle w:val="6"/>
              <w:jc w:val="center"/>
              <w:textAlignment w:val="baseline"/>
              <w:rPr>
                <w:rFonts w:ascii="Times New Roman" w:hAnsi="Times New Roman" w:cs="Times New Roman"/>
              </w:rPr>
            </w:pPr>
            <w:r>
              <w:rPr>
                <w:rFonts w:ascii="Times New Roman" w:hAnsi="Times New Roman" w:cs="Times New Roman"/>
              </w:rPr>
              <w:t>97 231,38</w:t>
            </w:r>
          </w:p>
        </w:tc>
        <w:tc>
          <w:tcPr>
            <w:tcW w:w="3330" w:type="dxa"/>
            <w:tcBorders>
              <w:top w:val="nil"/>
              <w:left w:val="outset" w:color="auto" w:sz="6" w:space="0"/>
              <w:bottom w:val="outset" w:color="auto" w:sz="6" w:space="0"/>
              <w:right w:val="outset" w:color="auto" w:sz="6" w:space="0"/>
            </w:tcBorders>
          </w:tcPr>
          <w:p>
            <w:pPr>
              <w:pStyle w:val="6"/>
              <w:jc w:val="center"/>
              <w:textAlignment w:val="baseline"/>
              <w:rPr>
                <w:rFonts w:ascii="Times New Roman" w:hAnsi="Times New Roman" w:cs="Times New Roman"/>
              </w:rPr>
            </w:pPr>
            <w:r>
              <w:rPr>
                <w:rFonts w:ascii="Times New Roman" w:hAnsi="Times New Roman" w:cs="Times New Roman"/>
                <w:b/>
                <w:bCs/>
              </w:rPr>
              <w:t>105,16 %</w:t>
            </w:r>
          </w:p>
        </w:tc>
      </w:tr>
    </w:tbl>
    <w:p>
      <w:pPr>
        <w:pStyle w:val="6"/>
        <w:spacing w:line="360" w:lineRule="auto"/>
        <w:jc w:val="both"/>
        <w:textAlignment w:val="baseline"/>
        <w:rPr>
          <w:rFonts w:ascii="Segoe UI" w:hAnsi="Segoe UI" w:cs="Segoe UI"/>
        </w:rPr>
      </w:pPr>
      <w:r>
        <w:rPr>
          <w:rFonts w:ascii="Times New Roman" w:hAnsi="Times New Roman" w:cs="Times New Roman"/>
        </w:rPr>
        <w:t xml:space="preserve"> Z rozpočtovaných bežných výdavkov 92 460 EUR bolo skutočne čerpané   </w:t>
      </w:r>
      <w:r>
        <w:rPr>
          <w:rFonts w:ascii="Times New Roman" w:hAnsi="Times New Roman" w:cs="Times New Roman"/>
        </w:rPr>
        <w:br w:type="textWrapping"/>
      </w:r>
      <w:r>
        <w:rPr>
          <w:rFonts w:ascii="Times New Roman" w:hAnsi="Times New Roman" w:cs="Times New Roman"/>
        </w:rPr>
        <w:t xml:space="preserve">k 31. 12. 2022 v sume 97 231,38 EUR, čo predstavuje  105,16 %  čerpanie. </w:t>
      </w:r>
    </w:p>
    <w:p>
      <w:pPr>
        <w:pStyle w:val="6"/>
        <w:jc w:val="both"/>
        <w:textAlignment w:val="baseline"/>
        <w:rPr>
          <w:rFonts w:ascii="Segoe UI" w:hAnsi="Segoe UI" w:cs="Segoe UI"/>
        </w:rPr>
      </w:pPr>
      <w:r>
        <w:rPr>
          <w:rFonts w:ascii="Times New Roman" w:hAnsi="Times New Roman" w:cs="Times New Roman"/>
          <w:b/>
          <w:bCs/>
        </w:rPr>
        <w:t>Rozbor významných položiek bežného rozpočtu:</w:t>
      </w:r>
      <w:r>
        <w:rPr>
          <w:rFonts w:ascii="Times New Roman" w:hAnsi="Times New Roman" w:cs="Times New Roman"/>
        </w:rPr>
        <w:t xml:space="preserve"> </w:t>
      </w:r>
    </w:p>
    <w:p>
      <w:pPr>
        <w:pStyle w:val="6"/>
        <w:jc w:val="both"/>
        <w:textAlignment w:val="baseline"/>
        <w:rPr>
          <w:rFonts w:ascii="Segoe UI" w:hAnsi="Segoe UI" w:cs="Segoe UI"/>
        </w:rPr>
      </w:pPr>
      <w:r>
        <w:rPr>
          <w:rFonts w:ascii="Times New Roman" w:hAnsi="Times New Roman" w:cs="Times New Roman"/>
          <w:b/>
          <w:bCs/>
        </w:rPr>
        <w:t>Mzdy, platy, služobné príjmy a ostatné osobné vyrovnania</w:t>
      </w:r>
      <w:r>
        <w:rPr>
          <w:rFonts w:ascii="Times New Roman" w:hAnsi="Times New Roman" w:cs="Times New Roman"/>
        </w:rPr>
        <w:t xml:space="preserve"> </w:t>
      </w:r>
    </w:p>
    <w:p>
      <w:pPr>
        <w:pStyle w:val="6"/>
        <w:spacing w:line="360" w:lineRule="auto"/>
        <w:jc w:val="both"/>
        <w:textAlignment w:val="baseline"/>
        <w:rPr>
          <w:rFonts w:ascii="Segoe UI" w:hAnsi="Segoe UI" w:cs="Segoe UI"/>
        </w:rPr>
      </w:pPr>
      <w:r>
        <w:rPr>
          <w:rFonts w:ascii="Times New Roman" w:hAnsi="Times New Roman" w:cs="Times New Roman"/>
        </w:rPr>
        <w:t xml:space="preserve">Z rozpočtovaných výdavkov 27 000 EUR bolo skutočné čerpanie k 31. 12. 2022 v sume 33 965,54  EUR, čo je 125,80 % čerpanie. </w:t>
      </w:r>
    </w:p>
    <w:p>
      <w:pPr>
        <w:pStyle w:val="6"/>
        <w:spacing w:line="360" w:lineRule="auto"/>
        <w:jc w:val="both"/>
        <w:textAlignment w:val="baseline"/>
        <w:rPr>
          <w:rFonts w:ascii="Segoe UI" w:hAnsi="Segoe UI" w:cs="Segoe UI"/>
        </w:rPr>
      </w:pPr>
      <w:r>
        <w:rPr>
          <w:rFonts w:ascii="Times New Roman" w:hAnsi="Times New Roman" w:cs="Times New Roman"/>
        </w:rPr>
        <w:t xml:space="preserve">Patria sem mzdové prostriedky pracovníkov OcÚ, mestskej polície, matriky, Spoločného stavebného úradu, Spoločného školského úradu, opatrovateľskej služby, aktivačných pracovníkov a pracovníkov školstva s výnimkou právnych subjektov. </w:t>
      </w:r>
    </w:p>
    <w:p>
      <w:pPr>
        <w:pStyle w:val="6"/>
        <w:jc w:val="both"/>
        <w:textAlignment w:val="baseline"/>
        <w:rPr>
          <w:rFonts w:ascii="Segoe UI" w:hAnsi="Segoe UI" w:cs="Segoe UI"/>
        </w:rPr>
      </w:pPr>
      <w:r>
        <w:rPr>
          <w:rFonts w:ascii="Times New Roman" w:hAnsi="Times New Roman" w:cs="Times New Roman"/>
          <w:b/>
          <w:bCs/>
        </w:rPr>
        <w:t>Poistné a príspevok do poisťovní</w:t>
      </w:r>
      <w:r>
        <w:rPr>
          <w:rFonts w:ascii="Times New Roman" w:hAnsi="Times New Roman" w:cs="Times New Roman"/>
        </w:rPr>
        <w:t xml:space="preserve"> </w:t>
      </w:r>
    </w:p>
    <w:p>
      <w:pPr>
        <w:pStyle w:val="6"/>
        <w:spacing w:line="360" w:lineRule="auto"/>
        <w:jc w:val="both"/>
        <w:textAlignment w:val="baseline"/>
        <w:rPr>
          <w:rFonts w:ascii="Segoe UI" w:hAnsi="Segoe UI" w:cs="Segoe UI"/>
        </w:rPr>
      </w:pPr>
      <w:r>
        <w:rPr>
          <w:rFonts w:ascii="Times New Roman" w:hAnsi="Times New Roman" w:cs="Times New Roman"/>
        </w:rPr>
        <w:t xml:space="preserve">Z rozpočtovaných výdavkov 8 781 EUR bolo skutočne čerpané k 31. 12. 2022 v sume 12 525,45 EUR, čo je 142,64 % čerpanie. </w:t>
      </w:r>
    </w:p>
    <w:p>
      <w:pPr>
        <w:pStyle w:val="6"/>
        <w:jc w:val="both"/>
        <w:textAlignment w:val="baseline"/>
        <w:rPr>
          <w:rFonts w:ascii="Segoe UI" w:hAnsi="Segoe UI" w:cs="Segoe UI"/>
        </w:rPr>
      </w:pPr>
      <w:r>
        <w:rPr>
          <w:rFonts w:ascii="Times New Roman" w:hAnsi="Times New Roman" w:cs="Times New Roman"/>
          <w:b/>
          <w:bCs/>
        </w:rPr>
        <w:t>Tovary a služby</w:t>
      </w:r>
      <w:r>
        <w:rPr>
          <w:rFonts w:ascii="Times New Roman" w:hAnsi="Times New Roman" w:cs="Times New Roman"/>
        </w:rPr>
        <w:t xml:space="preserve"> </w:t>
      </w:r>
    </w:p>
    <w:p>
      <w:pPr>
        <w:pStyle w:val="6"/>
        <w:spacing w:line="360" w:lineRule="auto"/>
        <w:jc w:val="both"/>
        <w:textAlignment w:val="baseline"/>
        <w:rPr>
          <w:rFonts w:ascii="Segoe UI" w:hAnsi="Segoe UI" w:cs="Segoe UI"/>
        </w:rPr>
      </w:pPr>
      <w:r>
        <w:rPr>
          <w:rFonts w:ascii="Times New Roman" w:hAnsi="Times New Roman" w:cs="Times New Roman"/>
        </w:rPr>
        <w:t xml:space="preserve">Z rozpočtovaných výdavkov 55 679 EUR bolo skutočne čerpané k 31. 12. 2022 v sume 48 202,22 EUR, čo je 86,57 % čerpanie. </w:t>
      </w:r>
    </w:p>
    <w:p>
      <w:pPr>
        <w:pStyle w:val="6"/>
        <w:spacing w:line="360" w:lineRule="auto"/>
        <w:jc w:val="both"/>
        <w:textAlignment w:val="baseline"/>
        <w:rPr>
          <w:rFonts w:ascii="Segoe UI" w:hAnsi="Segoe UI" w:cs="Segoe UI"/>
        </w:rPr>
      </w:pPr>
      <w:r>
        <w:rPr>
          <w:rFonts w:ascii="Times New Roman" w:hAnsi="Times New Roman" w:cs="Times New Roman"/>
        </w:rPr>
        <w:t xml:space="preserve">Ide o prevádzkové výdavky všetkých stredísk OcÚ, ako sú cestovné náhrady, energie, materiál, dopravné, rutinná a štandardná údržba, nájomné za nájom a ostatné tovary a služby.  </w:t>
      </w:r>
    </w:p>
    <w:p>
      <w:pPr>
        <w:pStyle w:val="6"/>
        <w:jc w:val="both"/>
        <w:textAlignment w:val="baseline"/>
        <w:rPr>
          <w:rFonts w:ascii="Segoe UI" w:hAnsi="Segoe UI" w:cs="Segoe UI"/>
        </w:rPr>
      </w:pPr>
      <w:r>
        <w:rPr>
          <w:rFonts w:ascii="Times New Roman" w:hAnsi="Times New Roman" w:cs="Times New Roman"/>
          <w:b/>
          <w:bCs/>
        </w:rPr>
        <w:t>Bežné transfery</w:t>
      </w:r>
      <w:r>
        <w:rPr>
          <w:rFonts w:ascii="Times New Roman" w:hAnsi="Times New Roman" w:cs="Times New Roman"/>
        </w:rPr>
        <w:t xml:space="preserve">  </w:t>
      </w:r>
    </w:p>
    <w:p>
      <w:pPr>
        <w:pStyle w:val="6"/>
        <w:spacing w:line="360" w:lineRule="auto"/>
        <w:jc w:val="both"/>
        <w:textAlignment w:val="baseline"/>
        <w:rPr>
          <w:rFonts w:ascii="Times New Roman" w:hAnsi="Times New Roman" w:cs="Times New Roman"/>
        </w:rPr>
      </w:pPr>
      <w:r>
        <w:rPr>
          <w:rFonts w:ascii="Times New Roman" w:hAnsi="Times New Roman" w:cs="Times New Roman"/>
        </w:rPr>
        <w:t xml:space="preserve">Z rozpočtovaných výdavkov 1 000 EUR bolo skutočne čerpané k 31. 12. 2022 v sume 2 481,04 EUR, čo predstavuje 248,10 % čerpanie. </w:t>
      </w:r>
    </w:p>
    <w:p>
      <w:pPr>
        <w:pStyle w:val="6"/>
        <w:jc w:val="both"/>
        <w:textAlignment w:val="baseline"/>
        <w:rPr>
          <w:rFonts w:ascii="Times New Roman" w:hAnsi="Times New Roman" w:cs="Times New Roman"/>
          <w:b/>
          <w:bCs/>
        </w:rPr>
      </w:pPr>
      <w:r>
        <w:rPr>
          <w:rFonts w:ascii="Times New Roman" w:hAnsi="Times New Roman" w:cs="Times New Roman"/>
          <w:b/>
          <w:bCs/>
        </w:rPr>
        <w:t>Splácanie úrokov a ostatné platby súvisiace s úvermi, pôžičkami a návratnými finančnými výpomocami:</w:t>
      </w:r>
      <w:r>
        <w:rPr>
          <w:rFonts w:ascii="Times New Roman" w:hAnsi="Times New Roman" w:cs="Times New Roman"/>
        </w:rPr>
        <w:t xml:space="preserve"> </w:t>
      </w:r>
    </w:p>
    <w:p>
      <w:pPr>
        <w:pStyle w:val="6"/>
        <w:spacing w:line="360" w:lineRule="auto"/>
        <w:jc w:val="both"/>
        <w:textAlignment w:val="baseline"/>
        <w:rPr>
          <w:rFonts w:ascii="Times New Roman" w:hAnsi="Times New Roman" w:cs="Times New Roman"/>
        </w:rPr>
      </w:pPr>
      <w:r>
        <w:rPr>
          <w:rFonts w:ascii="Times New Roman" w:hAnsi="Times New Roman" w:cs="Times New Roman"/>
        </w:rPr>
        <w:t>Tieto výdavky neboli rozpočtované. Skutočné plnenie k 31.12.2022 boli v sume 57,13 EUR.</w:t>
      </w:r>
    </w:p>
    <w:p>
      <w:pPr>
        <w:pStyle w:val="6"/>
        <w:numPr>
          <w:ilvl w:val="0"/>
          <w:numId w:val="14"/>
        </w:numPr>
        <w:jc w:val="both"/>
        <w:textAlignment w:val="baseline"/>
        <w:rPr>
          <w:rFonts w:ascii="Times New Roman" w:hAnsi="Times New Roman" w:cs="Times New Roman"/>
        </w:rPr>
      </w:pPr>
      <w:r>
        <w:rPr>
          <w:rFonts w:ascii="Times New Roman" w:hAnsi="Times New Roman" w:cs="Times New Roman"/>
          <w:b/>
          <w:bCs/>
        </w:rPr>
        <w:t>Kapitálové výdavky</w:t>
      </w:r>
      <w:r>
        <w:rPr>
          <w:rFonts w:ascii="Times New Roman" w:hAnsi="Times New Roman" w:cs="Times New Roman"/>
        </w:rPr>
        <w:t xml:space="preserve"> </w:t>
      </w:r>
    </w:p>
    <w:tbl>
      <w:tblPr>
        <w:tblStyle w:val="14"/>
        <w:tblW w:w="0" w:type="auto"/>
        <w:tblInd w:w="0" w:type="dxa"/>
        <w:tblLayout w:type="autofit"/>
        <w:tblCellMar>
          <w:top w:w="15" w:type="dxa"/>
          <w:left w:w="15" w:type="dxa"/>
          <w:bottom w:w="15" w:type="dxa"/>
          <w:right w:w="15" w:type="dxa"/>
        </w:tblCellMar>
      </w:tblPr>
      <w:tblGrid>
        <w:gridCol w:w="2880"/>
        <w:gridCol w:w="2986"/>
        <w:gridCol w:w="3236"/>
      </w:tblGrid>
      <w:tr>
        <w:tblPrEx>
          <w:tblCellMar>
            <w:top w:w="15" w:type="dxa"/>
            <w:left w:w="15" w:type="dxa"/>
            <w:bottom w:w="15" w:type="dxa"/>
            <w:right w:w="15" w:type="dxa"/>
          </w:tblCellMar>
        </w:tblPrEx>
        <w:tc>
          <w:tcPr>
            <w:tcW w:w="2955" w:type="dxa"/>
            <w:tcBorders>
              <w:top w:val="outset" w:color="auto" w:sz="6" w:space="0"/>
              <w:left w:val="outset" w:color="auto" w:sz="6" w:space="0"/>
              <w:bottom w:val="outset" w:color="auto" w:sz="6" w:space="0"/>
              <w:right w:val="nil"/>
            </w:tcBorders>
            <w:shd w:val="clear" w:color="auto" w:fill="D9D9D9"/>
            <w:vAlign w:val="center"/>
          </w:tcPr>
          <w:p>
            <w:pPr>
              <w:pStyle w:val="6"/>
              <w:jc w:val="center"/>
              <w:textAlignment w:val="baseline"/>
              <w:rPr>
                <w:rFonts w:ascii="Times New Roman" w:hAnsi="Times New Roman" w:cs="Times New Roman"/>
              </w:rPr>
            </w:pPr>
            <w:r>
              <w:rPr>
                <w:rFonts w:ascii="Times New Roman" w:hAnsi="Times New Roman" w:cs="Times New Roman"/>
                <w:b/>
                <w:bCs/>
              </w:rPr>
              <w:t>Schválený rozpočet na rok 2022 po poslednej zmene</w:t>
            </w:r>
          </w:p>
        </w:tc>
        <w:tc>
          <w:tcPr>
            <w:tcW w:w="3060" w:type="dxa"/>
            <w:tcBorders>
              <w:top w:val="outset" w:color="auto" w:sz="6" w:space="0"/>
              <w:left w:val="outset" w:color="auto" w:sz="6" w:space="0"/>
              <w:bottom w:val="outset" w:color="auto" w:sz="6" w:space="0"/>
              <w:right w:val="nil"/>
            </w:tcBorders>
            <w:shd w:val="clear" w:color="auto" w:fill="D9D9D9"/>
            <w:vAlign w:val="center"/>
          </w:tcPr>
          <w:p>
            <w:pPr>
              <w:pStyle w:val="6"/>
              <w:jc w:val="center"/>
              <w:textAlignment w:val="baseline"/>
              <w:rPr>
                <w:rFonts w:ascii="Times New Roman" w:hAnsi="Times New Roman" w:cs="Times New Roman"/>
              </w:rPr>
            </w:pPr>
            <w:r>
              <w:rPr>
                <w:rFonts w:ascii="Times New Roman" w:hAnsi="Times New Roman" w:cs="Times New Roman"/>
                <w:b/>
                <w:bCs/>
              </w:rPr>
              <w:t>Skutočnosť k 31. 12. 2022</w:t>
            </w:r>
          </w:p>
        </w:tc>
        <w:tc>
          <w:tcPr>
            <w:tcW w:w="3330" w:type="dxa"/>
            <w:tcBorders>
              <w:top w:val="outset" w:color="auto" w:sz="6" w:space="0"/>
              <w:left w:val="outset" w:color="auto" w:sz="6" w:space="0"/>
              <w:bottom w:val="outset" w:color="auto" w:sz="6" w:space="0"/>
              <w:right w:val="outset" w:color="auto" w:sz="6" w:space="0"/>
            </w:tcBorders>
            <w:shd w:val="clear" w:color="auto" w:fill="D9D9D9"/>
            <w:vAlign w:val="center"/>
          </w:tcPr>
          <w:p>
            <w:pPr>
              <w:pStyle w:val="6"/>
              <w:jc w:val="center"/>
              <w:textAlignment w:val="baseline"/>
              <w:rPr>
                <w:rFonts w:ascii="Times New Roman" w:hAnsi="Times New Roman" w:cs="Times New Roman"/>
              </w:rPr>
            </w:pPr>
            <w:r>
              <w:rPr>
                <w:rFonts w:ascii="Times New Roman" w:hAnsi="Times New Roman" w:cs="Times New Roman"/>
                <w:b/>
                <w:bCs/>
              </w:rPr>
              <w:t>% čerpania</w:t>
            </w:r>
          </w:p>
        </w:tc>
      </w:tr>
      <w:tr>
        <w:tblPrEx>
          <w:tblCellMar>
            <w:top w:w="15" w:type="dxa"/>
            <w:left w:w="15" w:type="dxa"/>
            <w:bottom w:w="15" w:type="dxa"/>
            <w:right w:w="15" w:type="dxa"/>
          </w:tblCellMar>
        </w:tblPrEx>
        <w:trPr>
          <w:trHeight w:val="175" w:hRule="atLeast"/>
        </w:trPr>
        <w:tc>
          <w:tcPr>
            <w:tcW w:w="2955" w:type="dxa"/>
            <w:tcBorders>
              <w:top w:val="nil"/>
              <w:left w:val="outset" w:color="auto" w:sz="6" w:space="0"/>
              <w:bottom w:val="outset" w:color="auto" w:sz="6" w:space="0"/>
              <w:right w:val="nil"/>
            </w:tcBorders>
          </w:tcPr>
          <w:p>
            <w:pPr>
              <w:pStyle w:val="6"/>
              <w:jc w:val="center"/>
              <w:textAlignment w:val="baseline"/>
              <w:rPr>
                <w:rFonts w:ascii="Times New Roman" w:hAnsi="Times New Roman" w:cs="Times New Roman"/>
              </w:rPr>
            </w:pPr>
            <w:r>
              <w:rPr>
                <w:rFonts w:ascii="Times New Roman" w:hAnsi="Times New Roman" w:cs="Times New Roman"/>
                <w:b/>
                <w:bCs/>
              </w:rPr>
              <w:t>14 850</w:t>
            </w:r>
          </w:p>
        </w:tc>
        <w:tc>
          <w:tcPr>
            <w:tcW w:w="3060" w:type="dxa"/>
            <w:tcBorders>
              <w:top w:val="nil"/>
              <w:left w:val="outset" w:color="auto" w:sz="6" w:space="0"/>
              <w:bottom w:val="outset" w:color="auto" w:sz="6" w:space="0"/>
              <w:right w:val="nil"/>
            </w:tcBorders>
          </w:tcPr>
          <w:p>
            <w:pPr>
              <w:pStyle w:val="6"/>
              <w:jc w:val="center"/>
              <w:textAlignment w:val="baseline"/>
              <w:rPr>
                <w:rFonts w:ascii="Times New Roman" w:hAnsi="Times New Roman" w:cs="Times New Roman"/>
              </w:rPr>
            </w:pPr>
            <w:r>
              <w:rPr>
                <w:rFonts w:ascii="Times New Roman" w:hAnsi="Times New Roman" w:cs="Times New Roman"/>
              </w:rPr>
              <w:t>75 788,80</w:t>
            </w:r>
          </w:p>
        </w:tc>
        <w:tc>
          <w:tcPr>
            <w:tcW w:w="3330" w:type="dxa"/>
            <w:tcBorders>
              <w:top w:val="nil"/>
              <w:left w:val="outset" w:color="auto" w:sz="6" w:space="0"/>
              <w:bottom w:val="outset" w:color="auto" w:sz="6" w:space="0"/>
              <w:right w:val="outset" w:color="auto" w:sz="6" w:space="0"/>
            </w:tcBorders>
          </w:tcPr>
          <w:p>
            <w:pPr>
              <w:pStyle w:val="6"/>
              <w:jc w:val="center"/>
              <w:textAlignment w:val="baseline"/>
              <w:rPr>
                <w:rFonts w:ascii="Times New Roman" w:hAnsi="Times New Roman" w:cs="Times New Roman"/>
              </w:rPr>
            </w:pPr>
            <w:r>
              <w:rPr>
                <w:rFonts w:ascii="Times New Roman" w:hAnsi="Times New Roman" w:cs="Times New Roman"/>
                <w:b/>
                <w:bCs/>
              </w:rPr>
              <w:t>510,36 %</w:t>
            </w:r>
          </w:p>
        </w:tc>
      </w:tr>
    </w:tbl>
    <w:p>
      <w:pPr>
        <w:pStyle w:val="6"/>
        <w:jc w:val="both"/>
        <w:textAlignment w:val="baseline"/>
        <w:rPr>
          <w:rFonts w:ascii="Segoe UI" w:hAnsi="Segoe UI" w:cs="Segoe UI"/>
        </w:rPr>
      </w:pPr>
      <w:r>
        <w:rPr>
          <w:rFonts w:ascii="Times New Roman" w:hAnsi="Times New Roman" w:cs="Times New Roman"/>
        </w:rPr>
        <w:t xml:space="preserve">Z rozpočtovaných kapitálových výdavkov 14 850 EUR bolo skutočne čerpané   </w:t>
      </w:r>
      <w:r>
        <w:rPr>
          <w:rFonts w:ascii="Times New Roman" w:hAnsi="Times New Roman" w:cs="Times New Roman"/>
        </w:rPr>
        <w:br w:type="textWrapping"/>
      </w:r>
      <w:r>
        <w:rPr>
          <w:rFonts w:ascii="Times New Roman" w:hAnsi="Times New Roman" w:cs="Times New Roman"/>
        </w:rPr>
        <w:t xml:space="preserve">k 31. 12. 2022 v sume 75 788,80  EUR, čo predstavuje  510,36 %  čerpanie.  </w:t>
      </w:r>
    </w:p>
    <w:p>
      <w:pPr>
        <w:pStyle w:val="6"/>
        <w:jc w:val="both"/>
        <w:textAlignment w:val="baseline"/>
        <w:rPr>
          <w:rFonts w:ascii="Times New Roman" w:hAnsi="Times New Roman" w:cs="Times New Roman"/>
          <w:b/>
          <w:bCs/>
        </w:rPr>
      </w:pPr>
      <w:r>
        <w:rPr>
          <w:rFonts w:ascii="Times New Roman" w:hAnsi="Times New Roman" w:cs="Times New Roman"/>
          <w:b/>
          <w:bCs/>
        </w:rPr>
        <w:t xml:space="preserve">Medzi významné položky kapitálového rozpočtu patrí: </w:t>
      </w:r>
    </w:p>
    <w:p>
      <w:pPr>
        <w:pStyle w:val="6"/>
        <w:spacing w:line="360" w:lineRule="auto"/>
        <w:jc w:val="both"/>
        <w:textAlignment w:val="baseline"/>
        <w:rPr>
          <w:rFonts w:ascii="Times New Roman" w:hAnsi="Times New Roman" w:cs="Times New Roman"/>
          <w:b/>
          <w:bCs/>
        </w:rPr>
      </w:pPr>
      <w:r>
        <w:rPr>
          <w:rFonts w:ascii="Times New Roman" w:hAnsi="Times New Roman" w:cs="Times New Roman"/>
        </w:rPr>
        <w:t>Obstarávanie kapitálových aktív. Z týchto finančných prostriedkov boli uhradené práce za rekonštrukciu kaštieľa a rozšírenie kamerového systému.</w:t>
      </w:r>
    </w:p>
    <w:p>
      <w:pPr>
        <w:pStyle w:val="6"/>
        <w:numPr>
          <w:ilvl w:val="0"/>
          <w:numId w:val="15"/>
        </w:numPr>
        <w:jc w:val="both"/>
        <w:textAlignment w:val="baseline"/>
        <w:rPr>
          <w:rFonts w:ascii="Times New Roman" w:hAnsi="Times New Roman" w:cs="Times New Roman"/>
        </w:rPr>
      </w:pPr>
      <w:r>
        <w:rPr>
          <w:rFonts w:ascii="Times New Roman" w:hAnsi="Times New Roman" w:cs="Times New Roman"/>
          <w:b/>
          <w:bCs/>
        </w:rPr>
        <w:t>Výdavkové finančné operácie</w:t>
      </w:r>
      <w:r>
        <w:rPr>
          <w:rFonts w:ascii="Times New Roman" w:hAnsi="Times New Roman" w:cs="Times New Roman"/>
        </w:rPr>
        <w:t xml:space="preserve"> </w:t>
      </w:r>
    </w:p>
    <w:tbl>
      <w:tblPr>
        <w:tblStyle w:val="14"/>
        <w:tblW w:w="0" w:type="auto"/>
        <w:tblInd w:w="0" w:type="dxa"/>
        <w:tblLayout w:type="autofit"/>
        <w:tblCellMar>
          <w:top w:w="15" w:type="dxa"/>
          <w:left w:w="15" w:type="dxa"/>
          <w:bottom w:w="15" w:type="dxa"/>
          <w:right w:w="15" w:type="dxa"/>
        </w:tblCellMar>
      </w:tblPr>
      <w:tblGrid>
        <w:gridCol w:w="2880"/>
        <w:gridCol w:w="2987"/>
        <w:gridCol w:w="3235"/>
      </w:tblGrid>
      <w:tr>
        <w:tblPrEx>
          <w:tblCellMar>
            <w:top w:w="15" w:type="dxa"/>
            <w:left w:w="15" w:type="dxa"/>
            <w:bottom w:w="15" w:type="dxa"/>
            <w:right w:w="15" w:type="dxa"/>
          </w:tblCellMar>
        </w:tblPrEx>
        <w:tc>
          <w:tcPr>
            <w:tcW w:w="2955" w:type="dxa"/>
            <w:tcBorders>
              <w:top w:val="outset" w:color="auto" w:sz="6" w:space="0"/>
              <w:left w:val="outset" w:color="auto" w:sz="6" w:space="0"/>
              <w:bottom w:val="outset" w:color="auto" w:sz="6" w:space="0"/>
              <w:right w:val="nil"/>
            </w:tcBorders>
            <w:shd w:val="clear" w:color="auto" w:fill="D9D9D9"/>
            <w:vAlign w:val="center"/>
          </w:tcPr>
          <w:p>
            <w:pPr>
              <w:pStyle w:val="6"/>
              <w:jc w:val="center"/>
              <w:textAlignment w:val="baseline"/>
              <w:rPr>
                <w:rFonts w:ascii="Times New Roman" w:hAnsi="Times New Roman" w:cs="Times New Roman"/>
              </w:rPr>
            </w:pPr>
            <w:r>
              <w:rPr>
                <w:rFonts w:ascii="Times New Roman" w:hAnsi="Times New Roman" w:cs="Times New Roman"/>
                <w:b/>
                <w:bCs/>
              </w:rPr>
              <w:t>Schválený rozpočet na rok 2022 po poslednej zmene</w:t>
            </w:r>
          </w:p>
        </w:tc>
        <w:tc>
          <w:tcPr>
            <w:tcW w:w="3060" w:type="dxa"/>
            <w:tcBorders>
              <w:top w:val="outset" w:color="auto" w:sz="6" w:space="0"/>
              <w:left w:val="outset" w:color="auto" w:sz="6" w:space="0"/>
              <w:bottom w:val="outset" w:color="auto" w:sz="6" w:space="0"/>
              <w:right w:val="nil"/>
            </w:tcBorders>
            <w:shd w:val="clear" w:color="auto" w:fill="D9D9D9"/>
            <w:vAlign w:val="center"/>
          </w:tcPr>
          <w:p>
            <w:pPr>
              <w:pStyle w:val="6"/>
              <w:jc w:val="center"/>
              <w:textAlignment w:val="baseline"/>
              <w:rPr>
                <w:rFonts w:ascii="Times New Roman" w:hAnsi="Times New Roman" w:cs="Times New Roman"/>
              </w:rPr>
            </w:pPr>
            <w:r>
              <w:rPr>
                <w:rFonts w:ascii="Times New Roman" w:hAnsi="Times New Roman" w:cs="Times New Roman"/>
                <w:b/>
                <w:bCs/>
              </w:rPr>
              <w:t>Skutočnosť k 31. 12. 2022</w:t>
            </w:r>
          </w:p>
        </w:tc>
        <w:tc>
          <w:tcPr>
            <w:tcW w:w="3330" w:type="dxa"/>
            <w:tcBorders>
              <w:top w:val="outset" w:color="auto" w:sz="6" w:space="0"/>
              <w:left w:val="outset" w:color="auto" w:sz="6" w:space="0"/>
              <w:bottom w:val="outset" w:color="auto" w:sz="6" w:space="0"/>
              <w:right w:val="outset" w:color="auto" w:sz="6" w:space="0"/>
            </w:tcBorders>
            <w:shd w:val="clear" w:color="auto" w:fill="D9D9D9"/>
            <w:vAlign w:val="center"/>
          </w:tcPr>
          <w:p>
            <w:pPr>
              <w:pStyle w:val="6"/>
              <w:jc w:val="center"/>
              <w:textAlignment w:val="baseline"/>
              <w:rPr>
                <w:rFonts w:ascii="Times New Roman" w:hAnsi="Times New Roman" w:cs="Times New Roman"/>
              </w:rPr>
            </w:pPr>
            <w:r>
              <w:rPr>
                <w:rFonts w:ascii="Times New Roman" w:hAnsi="Times New Roman" w:cs="Times New Roman"/>
                <w:b/>
                <w:bCs/>
              </w:rPr>
              <w:t>% čerpania</w:t>
            </w:r>
          </w:p>
        </w:tc>
      </w:tr>
      <w:tr>
        <w:tblPrEx>
          <w:tblCellMar>
            <w:top w:w="15" w:type="dxa"/>
            <w:left w:w="15" w:type="dxa"/>
            <w:bottom w:w="15" w:type="dxa"/>
            <w:right w:w="15" w:type="dxa"/>
          </w:tblCellMar>
        </w:tblPrEx>
        <w:tc>
          <w:tcPr>
            <w:tcW w:w="2955" w:type="dxa"/>
            <w:tcBorders>
              <w:top w:val="nil"/>
              <w:left w:val="outset" w:color="auto" w:sz="6" w:space="0"/>
              <w:bottom w:val="outset" w:color="auto" w:sz="6" w:space="0"/>
              <w:right w:val="nil"/>
            </w:tcBorders>
          </w:tcPr>
          <w:p>
            <w:pPr>
              <w:pStyle w:val="6"/>
              <w:jc w:val="center"/>
              <w:textAlignment w:val="baseline"/>
              <w:rPr>
                <w:rFonts w:ascii="Times New Roman" w:hAnsi="Times New Roman" w:cs="Times New Roman"/>
              </w:rPr>
            </w:pPr>
            <w:r>
              <w:rPr>
                <w:rFonts w:ascii="Times New Roman" w:hAnsi="Times New Roman" w:cs="Times New Roman"/>
                <w:b/>
                <w:bCs/>
              </w:rPr>
              <w:t>0,00</w:t>
            </w:r>
          </w:p>
        </w:tc>
        <w:tc>
          <w:tcPr>
            <w:tcW w:w="3060" w:type="dxa"/>
            <w:tcBorders>
              <w:top w:val="nil"/>
              <w:left w:val="outset" w:color="auto" w:sz="6" w:space="0"/>
              <w:bottom w:val="outset" w:color="auto" w:sz="6" w:space="0"/>
              <w:right w:val="nil"/>
            </w:tcBorders>
          </w:tcPr>
          <w:p>
            <w:pPr>
              <w:pStyle w:val="6"/>
              <w:jc w:val="center"/>
              <w:textAlignment w:val="baseline"/>
              <w:rPr>
                <w:rFonts w:ascii="Times New Roman" w:hAnsi="Times New Roman" w:cs="Times New Roman"/>
              </w:rPr>
            </w:pPr>
            <w:r>
              <w:rPr>
                <w:rFonts w:ascii="Times New Roman" w:hAnsi="Times New Roman" w:cs="Times New Roman"/>
              </w:rPr>
              <w:t>0,00</w:t>
            </w:r>
          </w:p>
        </w:tc>
        <w:tc>
          <w:tcPr>
            <w:tcW w:w="3330" w:type="dxa"/>
            <w:tcBorders>
              <w:top w:val="nil"/>
              <w:left w:val="outset" w:color="auto" w:sz="6" w:space="0"/>
              <w:bottom w:val="outset" w:color="auto" w:sz="6" w:space="0"/>
              <w:right w:val="outset" w:color="auto" w:sz="6" w:space="0"/>
            </w:tcBorders>
          </w:tcPr>
          <w:p>
            <w:pPr>
              <w:pStyle w:val="6"/>
              <w:jc w:val="center"/>
              <w:textAlignment w:val="baseline"/>
              <w:rPr>
                <w:rFonts w:ascii="Times New Roman" w:hAnsi="Times New Roman" w:cs="Times New Roman"/>
              </w:rPr>
            </w:pPr>
            <w:r>
              <w:rPr>
                <w:rFonts w:ascii="Times New Roman" w:hAnsi="Times New Roman" w:cs="Times New Roman"/>
                <w:b/>
                <w:bCs/>
                <w:i/>
                <w:iCs/>
              </w:rPr>
              <w:t>--</w:t>
            </w:r>
          </w:p>
        </w:tc>
      </w:tr>
    </w:tbl>
    <w:p>
      <w:pPr>
        <w:pStyle w:val="6"/>
        <w:spacing w:line="360" w:lineRule="auto"/>
        <w:jc w:val="both"/>
        <w:textAlignment w:val="baseline"/>
        <w:rPr>
          <w:rFonts w:ascii="Times New Roman" w:hAnsi="Times New Roman" w:cs="Times New Roman"/>
        </w:rPr>
      </w:pPr>
      <w:r>
        <w:rPr>
          <w:rFonts w:ascii="Times New Roman" w:hAnsi="Times New Roman" w:cs="Times New Roman"/>
        </w:rPr>
        <w:t>Z rozpočtovaných výdavkových finančných operácií 0,00 EUR bolo skutočne čerpané  k 31. 12. 2022 v sume 0,00 EUR, čo predstavuje  -- %  čerpanie.</w:t>
      </w:r>
    </w:p>
    <w:p>
      <w:pPr>
        <w:pStyle w:val="6"/>
        <w:spacing w:line="360" w:lineRule="auto"/>
        <w:jc w:val="both"/>
        <w:textAlignment w:val="baseline"/>
        <w:rPr>
          <w:rFonts w:ascii="Segoe UI" w:hAnsi="Segoe UI" w:cs="Segoe UI"/>
        </w:rPr>
      </w:pPr>
    </w:p>
    <w:p>
      <w:pPr>
        <w:pStyle w:val="6"/>
        <w:numPr>
          <w:ilvl w:val="0"/>
          <w:numId w:val="16"/>
        </w:numPr>
        <w:jc w:val="both"/>
        <w:textAlignment w:val="baseline"/>
        <w:rPr>
          <w:rFonts w:ascii="Times New Roman" w:hAnsi="Times New Roman" w:cs="Times New Roman"/>
        </w:rPr>
      </w:pPr>
      <w:r>
        <w:rPr>
          <w:rFonts w:ascii="Times New Roman" w:hAnsi="Times New Roman" w:cs="Times New Roman"/>
          <w:b/>
          <w:bCs/>
        </w:rPr>
        <w:t xml:space="preserve"> Výdavky rozpočtových organizácií s právnou subjektivitou:</w:t>
      </w:r>
      <w:r>
        <w:rPr>
          <w:rFonts w:ascii="Times New Roman" w:hAnsi="Times New Roman" w:cs="Times New Roman"/>
        </w:rPr>
        <w:t xml:space="preserve">  </w:t>
      </w:r>
    </w:p>
    <w:p>
      <w:pPr>
        <w:pStyle w:val="6"/>
        <w:spacing w:line="360" w:lineRule="auto"/>
        <w:jc w:val="both"/>
        <w:textAlignment w:val="baseline"/>
        <w:rPr>
          <w:rFonts w:ascii="Segoe UI" w:hAnsi="Segoe UI" w:cs="Segoe UI"/>
        </w:rPr>
      </w:pPr>
      <w:r>
        <w:rPr>
          <w:rFonts w:ascii="Times New Roman" w:hAnsi="Times New Roman" w:cs="Times New Roman"/>
        </w:rPr>
        <w:t xml:space="preserve">Obec Hendrichovce nemá rozpočtovú organizáciu. </w:t>
      </w:r>
      <w:r>
        <w:rPr>
          <w:b/>
          <w:bCs/>
        </w:rPr>
        <w:t xml:space="preserve"> </w:t>
      </w:r>
    </w:p>
    <w:p>
      <w:pPr>
        <w:pStyle w:val="6"/>
        <w:jc w:val="both"/>
        <w:rPr>
          <w:rFonts w:ascii="Times New Roman" w:hAnsi="Times New Roman" w:cs="Times New Roman"/>
          <w:b/>
          <w:bCs/>
        </w:rPr>
      </w:pPr>
      <w:r>
        <w:rPr>
          <w:rFonts w:ascii="Times New Roman" w:hAnsi="Times New Roman" w:cs="Times New Roman"/>
          <w:b/>
          <w:bCs/>
        </w:rPr>
        <w:t>6.3. Prebytok/schodok rozpočtového hospodárenia 2022</w:t>
      </w:r>
    </w:p>
    <w:tbl>
      <w:tblPr>
        <w:tblStyle w:val="14"/>
        <w:tblW w:w="0" w:type="auto"/>
        <w:tblInd w:w="0" w:type="dxa"/>
        <w:tblLayout w:type="autofit"/>
        <w:tblCellMar>
          <w:top w:w="15" w:type="dxa"/>
          <w:left w:w="15" w:type="dxa"/>
          <w:bottom w:w="15" w:type="dxa"/>
          <w:right w:w="15" w:type="dxa"/>
        </w:tblCellMar>
      </w:tblPr>
      <w:tblGrid>
        <w:gridCol w:w="5499"/>
        <w:gridCol w:w="3567"/>
        <w:gridCol w:w="36"/>
      </w:tblGrid>
      <w:tr>
        <w:tblPrEx>
          <w:tblCellMar>
            <w:top w:w="15" w:type="dxa"/>
            <w:left w:w="15" w:type="dxa"/>
            <w:bottom w:w="15" w:type="dxa"/>
            <w:right w:w="15" w:type="dxa"/>
          </w:tblCellMar>
        </w:tblPrEx>
        <w:tc>
          <w:tcPr>
            <w:tcW w:w="5670" w:type="dxa"/>
            <w:tcBorders>
              <w:top w:val="outset" w:color="auto" w:sz="6" w:space="0"/>
              <w:left w:val="outset" w:color="auto" w:sz="6" w:space="0"/>
              <w:bottom w:val="nil"/>
              <w:right w:val="nil"/>
            </w:tcBorders>
            <w:shd w:val="clear" w:color="auto" w:fill="D9D9D9"/>
            <w:vAlign w:val="center"/>
          </w:tcPr>
          <w:p>
            <w:pPr>
              <w:pStyle w:val="6"/>
              <w:textAlignment w:val="baseline"/>
              <w:rPr>
                <w:rFonts w:ascii="Times New Roman" w:hAnsi="Times New Roman" w:cs="Times New Roman"/>
              </w:rPr>
            </w:pPr>
            <w:r>
              <w:rPr>
                <w:rFonts w:ascii="Times New Roman" w:hAnsi="Times New Roman" w:cs="Times New Roman"/>
                <w:b/>
                <w:bCs/>
              </w:rPr>
              <w:t>Hospodárenie obce</w:t>
            </w:r>
          </w:p>
        </w:tc>
        <w:tc>
          <w:tcPr>
            <w:tcW w:w="3735" w:type="dxa"/>
            <w:gridSpan w:val="2"/>
            <w:tcBorders>
              <w:top w:val="outset" w:color="auto" w:sz="6" w:space="0"/>
              <w:left w:val="outset" w:color="auto" w:sz="6" w:space="0"/>
              <w:bottom w:val="outset" w:color="auto" w:sz="6" w:space="0"/>
              <w:right w:val="outset" w:color="auto" w:sz="6" w:space="0"/>
            </w:tcBorders>
            <w:shd w:val="clear" w:color="auto" w:fill="D9D9D9"/>
            <w:vAlign w:val="center"/>
          </w:tcPr>
          <w:p>
            <w:pPr>
              <w:pStyle w:val="6"/>
              <w:jc w:val="center"/>
              <w:textAlignment w:val="baseline"/>
              <w:rPr>
                <w:rFonts w:ascii="Segoe UI" w:hAnsi="Segoe UI" w:cs="Segoe UI"/>
              </w:rPr>
            </w:pPr>
            <w:r>
              <w:rPr>
                <w:rFonts w:ascii="Times New Roman" w:hAnsi="Times New Roman" w:cs="Times New Roman"/>
                <w:b/>
                <w:bCs/>
              </w:rPr>
              <w:t>Skutočnosť k 31. 12. 2022</w:t>
            </w:r>
            <w:r>
              <w:rPr>
                <w:rFonts w:ascii="Times New Roman" w:hAnsi="Times New Roman" w:cs="Times New Roman"/>
              </w:rPr>
              <w:t xml:space="preserve"> </w:t>
            </w:r>
            <w:r>
              <w:rPr>
                <w:rFonts w:ascii="Times New Roman" w:hAnsi="Times New Roman" w:cs="Times New Roman"/>
                <w:b/>
                <w:bCs/>
              </w:rPr>
              <w:t>v EUR</w:t>
            </w:r>
          </w:p>
        </w:tc>
      </w:tr>
      <w:tr>
        <w:tblPrEx>
          <w:tblCellMar>
            <w:top w:w="15" w:type="dxa"/>
            <w:left w:w="15" w:type="dxa"/>
            <w:bottom w:w="15" w:type="dxa"/>
            <w:right w:w="15" w:type="dxa"/>
          </w:tblCellMar>
        </w:tblPrEx>
        <w:tc>
          <w:tcPr>
            <w:tcW w:w="5670" w:type="dxa"/>
            <w:tcBorders>
              <w:top w:val="outset" w:color="auto" w:sz="6" w:space="0"/>
              <w:left w:val="outset" w:color="auto" w:sz="6" w:space="0"/>
              <w:bottom w:val="outset" w:color="auto" w:sz="6" w:space="0"/>
              <w:right w:val="nil"/>
            </w:tcBorders>
            <w:shd w:val="clear" w:color="auto" w:fill="DDD9C3"/>
            <w:vAlign w:val="center"/>
          </w:tcPr>
          <w:p>
            <w:pPr>
              <w:pStyle w:val="6"/>
              <w:textAlignment w:val="baseline"/>
              <w:rPr>
                <w:rFonts w:ascii="Times New Roman" w:hAnsi="Times New Roman" w:cs="Times New Roman"/>
              </w:rPr>
            </w:pPr>
            <w:r>
              <w:rPr>
                <w:rFonts w:ascii="Times New Roman" w:hAnsi="Times New Roman" w:cs="Times New Roman"/>
              </w:rPr>
              <w:t>Bežné  príjmy spolu</w:t>
            </w:r>
          </w:p>
        </w:tc>
        <w:tc>
          <w:tcPr>
            <w:tcW w:w="3735" w:type="dxa"/>
            <w:gridSpan w:val="2"/>
            <w:tcBorders>
              <w:top w:val="nil"/>
              <w:left w:val="outset" w:color="auto" w:sz="6" w:space="0"/>
              <w:bottom w:val="outset" w:color="auto" w:sz="6" w:space="0"/>
              <w:right w:val="outset" w:color="auto" w:sz="6" w:space="0"/>
            </w:tcBorders>
            <w:shd w:val="clear" w:color="auto" w:fill="FFFFFF"/>
            <w:vAlign w:val="center"/>
          </w:tcPr>
          <w:p>
            <w:pPr>
              <w:pStyle w:val="6"/>
              <w:jc w:val="center"/>
              <w:textAlignment w:val="baseline"/>
              <w:rPr>
                <w:rFonts w:ascii="Times New Roman" w:hAnsi="Times New Roman" w:cs="Times New Roman"/>
              </w:rPr>
            </w:pPr>
            <w:r>
              <w:rPr>
                <w:rFonts w:ascii="Times New Roman" w:hAnsi="Times New Roman" w:cs="Times New Roman"/>
              </w:rPr>
              <w:t>100 734,65</w:t>
            </w:r>
          </w:p>
        </w:tc>
      </w:tr>
      <w:tr>
        <w:tblPrEx>
          <w:tblCellMar>
            <w:top w:w="15" w:type="dxa"/>
            <w:left w:w="15" w:type="dxa"/>
            <w:bottom w:w="15" w:type="dxa"/>
            <w:right w:w="15" w:type="dxa"/>
          </w:tblCellMar>
        </w:tblPrEx>
        <w:tc>
          <w:tcPr>
            <w:tcW w:w="5670" w:type="dxa"/>
            <w:tcBorders>
              <w:top w:val="nil"/>
              <w:left w:val="outset" w:color="auto" w:sz="6" w:space="0"/>
              <w:bottom w:val="outset" w:color="auto" w:sz="6" w:space="0"/>
              <w:right w:val="nil"/>
            </w:tcBorders>
            <w:vAlign w:val="center"/>
          </w:tcPr>
          <w:p>
            <w:pPr>
              <w:pStyle w:val="6"/>
              <w:textAlignment w:val="baseline"/>
              <w:rPr>
                <w:rFonts w:ascii="Times New Roman" w:hAnsi="Times New Roman" w:cs="Times New Roman"/>
              </w:rPr>
            </w:pPr>
            <w:r>
              <w:rPr>
                <w:rFonts w:ascii="Times New Roman" w:hAnsi="Times New Roman" w:cs="Times New Roman"/>
              </w:rPr>
              <w:t>z toho : bežné príjmy obce</w:t>
            </w:r>
          </w:p>
        </w:tc>
        <w:tc>
          <w:tcPr>
            <w:tcW w:w="3735" w:type="dxa"/>
            <w:gridSpan w:val="2"/>
            <w:tcBorders>
              <w:top w:val="nil"/>
              <w:left w:val="outset" w:color="auto" w:sz="6" w:space="0"/>
              <w:bottom w:val="outset" w:color="auto" w:sz="6" w:space="0"/>
              <w:right w:val="outset" w:color="auto" w:sz="6" w:space="0"/>
            </w:tcBorders>
            <w:vAlign w:val="center"/>
          </w:tcPr>
          <w:p>
            <w:pPr>
              <w:pStyle w:val="6"/>
              <w:jc w:val="center"/>
              <w:textAlignment w:val="baseline"/>
              <w:rPr>
                <w:rFonts w:ascii="Times New Roman" w:hAnsi="Times New Roman" w:cs="Times New Roman"/>
              </w:rPr>
            </w:pPr>
            <w:r>
              <w:rPr>
                <w:rFonts w:ascii="Times New Roman" w:hAnsi="Times New Roman" w:cs="Times New Roman"/>
                <w:i/>
                <w:iCs/>
              </w:rPr>
              <w:t>100 734,65</w:t>
            </w:r>
          </w:p>
        </w:tc>
      </w:tr>
      <w:tr>
        <w:tblPrEx>
          <w:tblCellMar>
            <w:top w:w="15" w:type="dxa"/>
            <w:left w:w="15" w:type="dxa"/>
            <w:bottom w:w="15" w:type="dxa"/>
            <w:right w:w="15" w:type="dxa"/>
          </w:tblCellMar>
        </w:tblPrEx>
        <w:tc>
          <w:tcPr>
            <w:tcW w:w="5670" w:type="dxa"/>
            <w:tcBorders>
              <w:top w:val="nil"/>
              <w:left w:val="outset" w:color="auto" w:sz="6" w:space="0"/>
              <w:bottom w:val="outset" w:color="auto" w:sz="6" w:space="0"/>
              <w:right w:val="nil"/>
            </w:tcBorders>
            <w:vAlign w:val="center"/>
          </w:tcPr>
          <w:p>
            <w:pPr>
              <w:pStyle w:val="6"/>
              <w:textAlignment w:val="baseline"/>
              <w:rPr>
                <w:rFonts w:ascii="Times New Roman" w:hAnsi="Times New Roman" w:cs="Times New Roman"/>
              </w:rPr>
            </w:pPr>
            <w:r>
              <w:rPr>
                <w:rFonts w:ascii="Times New Roman" w:hAnsi="Times New Roman" w:cs="Times New Roman"/>
              </w:rPr>
              <w:t>bežné príjmy RO</w:t>
            </w:r>
          </w:p>
        </w:tc>
        <w:tc>
          <w:tcPr>
            <w:tcW w:w="3735" w:type="dxa"/>
            <w:gridSpan w:val="2"/>
            <w:tcBorders>
              <w:top w:val="nil"/>
              <w:left w:val="outset" w:color="auto" w:sz="6" w:space="0"/>
              <w:bottom w:val="outset" w:color="auto" w:sz="6" w:space="0"/>
              <w:right w:val="outset" w:color="auto" w:sz="6" w:space="0"/>
            </w:tcBorders>
            <w:vAlign w:val="center"/>
          </w:tcPr>
          <w:p>
            <w:pPr>
              <w:pStyle w:val="6"/>
              <w:jc w:val="center"/>
              <w:textAlignment w:val="baseline"/>
              <w:rPr>
                <w:rFonts w:ascii="Times New Roman" w:hAnsi="Times New Roman" w:cs="Times New Roman"/>
              </w:rPr>
            </w:pPr>
            <w:r>
              <w:rPr>
                <w:rFonts w:ascii="Times New Roman" w:hAnsi="Times New Roman" w:cs="Times New Roman"/>
                <w:i/>
                <w:iCs/>
              </w:rPr>
              <w:t>0,00</w:t>
            </w:r>
          </w:p>
        </w:tc>
      </w:tr>
      <w:tr>
        <w:tblPrEx>
          <w:tblCellMar>
            <w:top w:w="15" w:type="dxa"/>
            <w:left w:w="15" w:type="dxa"/>
            <w:bottom w:w="15" w:type="dxa"/>
            <w:right w:w="15" w:type="dxa"/>
          </w:tblCellMar>
        </w:tblPrEx>
        <w:tc>
          <w:tcPr>
            <w:tcW w:w="5670" w:type="dxa"/>
            <w:tcBorders>
              <w:top w:val="nil"/>
              <w:left w:val="outset" w:color="auto" w:sz="6" w:space="0"/>
              <w:bottom w:val="outset" w:color="auto" w:sz="6" w:space="0"/>
              <w:right w:val="nil"/>
            </w:tcBorders>
            <w:shd w:val="clear" w:color="auto" w:fill="DDD9C3"/>
            <w:vAlign w:val="center"/>
          </w:tcPr>
          <w:p>
            <w:pPr>
              <w:pStyle w:val="6"/>
              <w:textAlignment w:val="baseline"/>
              <w:rPr>
                <w:rFonts w:ascii="Times New Roman" w:hAnsi="Times New Roman" w:cs="Times New Roman"/>
              </w:rPr>
            </w:pPr>
            <w:r>
              <w:rPr>
                <w:rFonts w:ascii="Times New Roman" w:hAnsi="Times New Roman" w:cs="Times New Roman"/>
              </w:rPr>
              <w:t>Bežné výdavky spolu</w:t>
            </w:r>
          </w:p>
        </w:tc>
        <w:tc>
          <w:tcPr>
            <w:tcW w:w="3735" w:type="dxa"/>
            <w:gridSpan w:val="2"/>
            <w:tcBorders>
              <w:top w:val="nil"/>
              <w:left w:val="outset" w:color="auto" w:sz="6" w:space="0"/>
              <w:bottom w:val="outset" w:color="auto" w:sz="6" w:space="0"/>
              <w:right w:val="outset" w:color="auto" w:sz="6" w:space="0"/>
            </w:tcBorders>
            <w:shd w:val="clear" w:color="auto" w:fill="FFFFFF"/>
            <w:vAlign w:val="center"/>
          </w:tcPr>
          <w:p>
            <w:pPr>
              <w:pStyle w:val="6"/>
              <w:jc w:val="center"/>
              <w:textAlignment w:val="baseline"/>
              <w:rPr>
                <w:rFonts w:ascii="Times New Roman" w:hAnsi="Times New Roman" w:cs="Times New Roman"/>
              </w:rPr>
            </w:pPr>
            <w:r>
              <w:rPr>
                <w:rFonts w:ascii="Times New Roman" w:hAnsi="Times New Roman" w:cs="Times New Roman"/>
              </w:rPr>
              <w:t>97 231,38</w:t>
            </w:r>
          </w:p>
        </w:tc>
      </w:tr>
      <w:tr>
        <w:tblPrEx>
          <w:tblCellMar>
            <w:top w:w="15" w:type="dxa"/>
            <w:left w:w="15" w:type="dxa"/>
            <w:bottom w:w="15" w:type="dxa"/>
            <w:right w:w="15" w:type="dxa"/>
          </w:tblCellMar>
        </w:tblPrEx>
        <w:tc>
          <w:tcPr>
            <w:tcW w:w="5670" w:type="dxa"/>
            <w:tcBorders>
              <w:top w:val="nil"/>
              <w:left w:val="outset" w:color="auto" w:sz="6" w:space="0"/>
              <w:bottom w:val="outset" w:color="auto" w:sz="6" w:space="0"/>
              <w:right w:val="nil"/>
            </w:tcBorders>
            <w:vAlign w:val="center"/>
          </w:tcPr>
          <w:p>
            <w:pPr>
              <w:pStyle w:val="6"/>
              <w:textAlignment w:val="baseline"/>
              <w:rPr>
                <w:rFonts w:ascii="Times New Roman" w:hAnsi="Times New Roman" w:cs="Times New Roman"/>
              </w:rPr>
            </w:pPr>
            <w:r>
              <w:rPr>
                <w:rFonts w:ascii="Times New Roman" w:hAnsi="Times New Roman" w:cs="Times New Roman"/>
              </w:rPr>
              <w:t>z toho : bežné výdavky  obce</w:t>
            </w:r>
          </w:p>
        </w:tc>
        <w:tc>
          <w:tcPr>
            <w:tcW w:w="3735" w:type="dxa"/>
            <w:gridSpan w:val="2"/>
            <w:tcBorders>
              <w:top w:val="nil"/>
              <w:left w:val="outset" w:color="auto" w:sz="6" w:space="0"/>
              <w:bottom w:val="outset" w:color="auto" w:sz="6" w:space="0"/>
              <w:right w:val="outset" w:color="auto" w:sz="6" w:space="0"/>
            </w:tcBorders>
            <w:vAlign w:val="center"/>
          </w:tcPr>
          <w:p>
            <w:pPr>
              <w:pStyle w:val="6"/>
              <w:jc w:val="center"/>
              <w:textAlignment w:val="baseline"/>
              <w:rPr>
                <w:rFonts w:ascii="Times New Roman" w:hAnsi="Times New Roman" w:cs="Times New Roman"/>
              </w:rPr>
            </w:pPr>
            <w:r>
              <w:rPr>
                <w:rFonts w:ascii="Times New Roman" w:hAnsi="Times New Roman" w:cs="Times New Roman"/>
              </w:rPr>
              <w:t>97 231,38</w:t>
            </w:r>
          </w:p>
        </w:tc>
      </w:tr>
      <w:tr>
        <w:tblPrEx>
          <w:tblCellMar>
            <w:top w:w="15" w:type="dxa"/>
            <w:left w:w="15" w:type="dxa"/>
            <w:bottom w:w="15" w:type="dxa"/>
            <w:right w:w="15" w:type="dxa"/>
          </w:tblCellMar>
        </w:tblPrEx>
        <w:tc>
          <w:tcPr>
            <w:tcW w:w="5670" w:type="dxa"/>
            <w:tcBorders>
              <w:top w:val="nil"/>
              <w:left w:val="outset" w:color="auto" w:sz="6" w:space="0"/>
              <w:bottom w:val="outset" w:color="auto" w:sz="6" w:space="0"/>
              <w:right w:val="nil"/>
            </w:tcBorders>
            <w:vAlign w:val="center"/>
          </w:tcPr>
          <w:p>
            <w:pPr>
              <w:pStyle w:val="6"/>
              <w:textAlignment w:val="baseline"/>
              <w:rPr>
                <w:rFonts w:ascii="Times New Roman" w:hAnsi="Times New Roman" w:cs="Times New Roman"/>
              </w:rPr>
            </w:pPr>
            <w:r>
              <w:rPr>
                <w:rFonts w:ascii="Times New Roman" w:hAnsi="Times New Roman" w:cs="Times New Roman"/>
              </w:rPr>
              <w:t>bežné výdavky  RO</w:t>
            </w:r>
          </w:p>
        </w:tc>
        <w:tc>
          <w:tcPr>
            <w:tcW w:w="3735" w:type="dxa"/>
            <w:gridSpan w:val="2"/>
            <w:tcBorders>
              <w:top w:val="nil"/>
              <w:left w:val="outset" w:color="auto" w:sz="6" w:space="0"/>
              <w:bottom w:val="outset" w:color="auto" w:sz="6" w:space="0"/>
              <w:right w:val="outset" w:color="auto" w:sz="6" w:space="0"/>
            </w:tcBorders>
            <w:vAlign w:val="center"/>
          </w:tcPr>
          <w:p>
            <w:pPr>
              <w:pStyle w:val="6"/>
              <w:jc w:val="center"/>
              <w:textAlignment w:val="baseline"/>
              <w:rPr>
                <w:rFonts w:ascii="Times New Roman" w:hAnsi="Times New Roman" w:cs="Times New Roman"/>
              </w:rPr>
            </w:pPr>
            <w:r>
              <w:rPr>
                <w:rFonts w:ascii="Times New Roman" w:hAnsi="Times New Roman" w:cs="Times New Roman"/>
                <w:i/>
                <w:iCs/>
              </w:rPr>
              <w:t>0,00</w:t>
            </w:r>
          </w:p>
        </w:tc>
      </w:tr>
      <w:tr>
        <w:tblPrEx>
          <w:tblCellMar>
            <w:top w:w="15" w:type="dxa"/>
            <w:left w:w="15" w:type="dxa"/>
            <w:bottom w:w="15" w:type="dxa"/>
            <w:right w:w="15" w:type="dxa"/>
          </w:tblCellMar>
        </w:tblPrEx>
        <w:tc>
          <w:tcPr>
            <w:tcW w:w="5670" w:type="dxa"/>
            <w:tcBorders>
              <w:top w:val="nil"/>
              <w:left w:val="outset" w:color="auto" w:sz="6" w:space="0"/>
              <w:bottom w:val="outset" w:color="auto" w:sz="6" w:space="0"/>
              <w:right w:val="nil"/>
            </w:tcBorders>
            <w:shd w:val="clear" w:color="auto" w:fill="D9D9D9"/>
            <w:vAlign w:val="center"/>
          </w:tcPr>
          <w:p>
            <w:pPr>
              <w:pStyle w:val="6"/>
              <w:textAlignment w:val="baseline"/>
              <w:rPr>
                <w:rFonts w:ascii="Times New Roman" w:hAnsi="Times New Roman" w:cs="Times New Roman"/>
              </w:rPr>
            </w:pPr>
            <w:r>
              <w:rPr>
                <w:rFonts w:ascii="Times New Roman" w:hAnsi="Times New Roman" w:cs="Times New Roman"/>
                <w:b/>
                <w:bCs/>
                <w:i/>
                <w:iCs/>
              </w:rPr>
              <w:t>Bežný rozpočet</w:t>
            </w:r>
          </w:p>
        </w:tc>
        <w:tc>
          <w:tcPr>
            <w:tcW w:w="3735" w:type="dxa"/>
            <w:gridSpan w:val="2"/>
            <w:tcBorders>
              <w:top w:val="nil"/>
              <w:left w:val="outset" w:color="auto" w:sz="6" w:space="0"/>
              <w:bottom w:val="outset" w:color="auto" w:sz="6" w:space="0"/>
              <w:right w:val="outset" w:color="auto" w:sz="6" w:space="0"/>
            </w:tcBorders>
            <w:shd w:val="clear" w:color="auto" w:fill="D9D9D9"/>
            <w:vAlign w:val="center"/>
          </w:tcPr>
          <w:p>
            <w:pPr>
              <w:pStyle w:val="6"/>
              <w:jc w:val="center"/>
              <w:textAlignment w:val="baseline"/>
              <w:rPr>
                <w:rFonts w:ascii="Times New Roman" w:hAnsi="Times New Roman" w:cs="Times New Roman"/>
              </w:rPr>
            </w:pPr>
            <w:r>
              <w:rPr>
                <w:rFonts w:ascii="Times New Roman" w:hAnsi="Times New Roman" w:cs="Times New Roman"/>
              </w:rPr>
              <w:t>3 503,27</w:t>
            </w:r>
          </w:p>
        </w:tc>
      </w:tr>
      <w:tr>
        <w:tblPrEx>
          <w:tblCellMar>
            <w:top w:w="15" w:type="dxa"/>
            <w:left w:w="15" w:type="dxa"/>
            <w:bottom w:w="15" w:type="dxa"/>
            <w:right w:w="15" w:type="dxa"/>
          </w:tblCellMar>
        </w:tblPrEx>
        <w:tc>
          <w:tcPr>
            <w:tcW w:w="5670" w:type="dxa"/>
            <w:tcBorders>
              <w:top w:val="nil"/>
              <w:left w:val="outset" w:color="auto" w:sz="6" w:space="0"/>
              <w:bottom w:val="outset" w:color="auto" w:sz="6" w:space="0"/>
              <w:right w:val="nil"/>
            </w:tcBorders>
            <w:shd w:val="clear" w:color="auto" w:fill="DDD9C3"/>
            <w:vAlign w:val="center"/>
          </w:tcPr>
          <w:p>
            <w:pPr>
              <w:pStyle w:val="6"/>
              <w:textAlignment w:val="baseline"/>
              <w:rPr>
                <w:rFonts w:ascii="Times New Roman" w:hAnsi="Times New Roman" w:cs="Times New Roman"/>
              </w:rPr>
            </w:pPr>
            <w:r>
              <w:rPr>
                <w:rFonts w:ascii="Times New Roman" w:hAnsi="Times New Roman" w:cs="Times New Roman"/>
              </w:rPr>
              <w:t>Kapitálové  príjmy spolu</w:t>
            </w:r>
          </w:p>
        </w:tc>
        <w:tc>
          <w:tcPr>
            <w:tcW w:w="3735" w:type="dxa"/>
            <w:gridSpan w:val="2"/>
            <w:tcBorders>
              <w:top w:val="nil"/>
              <w:left w:val="outset" w:color="auto" w:sz="6" w:space="0"/>
              <w:bottom w:val="outset" w:color="auto" w:sz="6" w:space="0"/>
              <w:right w:val="outset" w:color="auto" w:sz="6" w:space="0"/>
            </w:tcBorders>
            <w:shd w:val="clear" w:color="auto" w:fill="FFFFFF"/>
            <w:vAlign w:val="center"/>
          </w:tcPr>
          <w:p>
            <w:pPr>
              <w:pStyle w:val="6"/>
              <w:jc w:val="center"/>
              <w:textAlignment w:val="baseline"/>
              <w:rPr>
                <w:rFonts w:ascii="Times New Roman" w:hAnsi="Times New Roman" w:cs="Times New Roman"/>
              </w:rPr>
            </w:pPr>
            <w:r>
              <w:rPr>
                <w:rFonts w:ascii="Times New Roman" w:hAnsi="Times New Roman" w:cs="Times New Roman"/>
              </w:rPr>
              <w:t>0</w:t>
            </w:r>
          </w:p>
        </w:tc>
      </w:tr>
      <w:tr>
        <w:tblPrEx>
          <w:tblCellMar>
            <w:top w:w="15" w:type="dxa"/>
            <w:left w:w="15" w:type="dxa"/>
            <w:bottom w:w="15" w:type="dxa"/>
            <w:right w:w="15" w:type="dxa"/>
          </w:tblCellMar>
        </w:tblPrEx>
        <w:tc>
          <w:tcPr>
            <w:tcW w:w="5670" w:type="dxa"/>
            <w:tcBorders>
              <w:top w:val="nil"/>
              <w:left w:val="outset" w:color="auto" w:sz="6" w:space="0"/>
              <w:bottom w:val="outset" w:color="auto" w:sz="6" w:space="0"/>
              <w:right w:val="nil"/>
            </w:tcBorders>
            <w:vAlign w:val="center"/>
          </w:tcPr>
          <w:p>
            <w:pPr>
              <w:pStyle w:val="6"/>
              <w:textAlignment w:val="baseline"/>
              <w:rPr>
                <w:rFonts w:ascii="Times New Roman" w:hAnsi="Times New Roman" w:cs="Times New Roman"/>
              </w:rPr>
            </w:pPr>
            <w:r>
              <w:rPr>
                <w:rFonts w:ascii="Times New Roman" w:hAnsi="Times New Roman" w:cs="Times New Roman"/>
              </w:rPr>
              <w:t>z toho : kapitálové  príjmy obce</w:t>
            </w:r>
          </w:p>
        </w:tc>
        <w:tc>
          <w:tcPr>
            <w:tcW w:w="3735" w:type="dxa"/>
            <w:gridSpan w:val="2"/>
            <w:tcBorders>
              <w:top w:val="nil"/>
              <w:left w:val="outset" w:color="auto" w:sz="6" w:space="0"/>
              <w:bottom w:val="outset" w:color="auto" w:sz="6" w:space="0"/>
              <w:right w:val="outset" w:color="auto" w:sz="6" w:space="0"/>
            </w:tcBorders>
            <w:vAlign w:val="center"/>
          </w:tcPr>
          <w:p>
            <w:pPr>
              <w:pStyle w:val="6"/>
              <w:jc w:val="center"/>
              <w:textAlignment w:val="baseline"/>
              <w:rPr>
                <w:rFonts w:ascii="Times New Roman" w:hAnsi="Times New Roman" w:cs="Times New Roman"/>
              </w:rPr>
            </w:pPr>
            <w:r>
              <w:rPr>
                <w:rFonts w:ascii="Times New Roman" w:hAnsi="Times New Roman" w:cs="Times New Roman"/>
              </w:rPr>
              <w:t>0</w:t>
            </w:r>
          </w:p>
        </w:tc>
      </w:tr>
      <w:tr>
        <w:tblPrEx>
          <w:tblCellMar>
            <w:top w:w="15" w:type="dxa"/>
            <w:left w:w="15" w:type="dxa"/>
            <w:bottom w:w="15" w:type="dxa"/>
            <w:right w:w="15" w:type="dxa"/>
          </w:tblCellMar>
        </w:tblPrEx>
        <w:tc>
          <w:tcPr>
            <w:tcW w:w="5670" w:type="dxa"/>
            <w:tcBorders>
              <w:top w:val="nil"/>
              <w:left w:val="outset" w:color="auto" w:sz="6" w:space="0"/>
              <w:bottom w:val="outset" w:color="auto" w:sz="6" w:space="0"/>
              <w:right w:val="nil"/>
            </w:tcBorders>
            <w:vAlign w:val="center"/>
          </w:tcPr>
          <w:p>
            <w:pPr>
              <w:pStyle w:val="6"/>
              <w:textAlignment w:val="baseline"/>
              <w:rPr>
                <w:rFonts w:ascii="Times New Roman" w:hAnsi="Times New Roman" w:cs="Times New Roman"/>
              </w:rPr>
            </w:pPr>
            <w:r>
              <w:rPr>
                <w:rFonts w:ascii="Times New Roman" w:hAnsi="Times New Roman" w:cs="Times New Roman"/>
              </w:rPr>
              <w:t>kapitálové  príjmy RO</w:t>
            </w:r>
          </w:p>
        </w:tc>
        <w:tc>
          <w:tcPr>
            <w:tcW w:w="3735" w:type="dxa"/>
            <w:gridSpan w:val="2"/>
            <w:tcBorders>
              <w:top w:val="nil"/>
              <w:left w:val="outset" w:color="auto" w:sz="6" w:space="0"/>
              <w:bottom w:val="outset" w:color="auto" w:sz="6" w:space="0"/>
              <w:right w:val="outset" w:color="auto" w:sz="6" w:space="0"/>
            </w:tcBorders>
            <w:vAlign w:val="center"/>
          </w:tcPr>
          <w:p>
            <w:pPr>
              <w:pStyle w:val="6"/>
              <w:jc w:val="center"/>
              <w:textAlignment w:val="baseline"/>
              <w:rPr>
                <w:rFonts w:ascii="Times New Roman" w:hAnsi="Times New Roman" w:cs="Times New Roman"/>
              </w:rPr>
            </w:pPr>
            <w:r>
              <w:rPr>
                <w:rFonts w:ascii="Times New Roman" w:hAnsi="Times New Roman" w:cs="Times New Roman"/>
                <w:i/>
                <w:iCs/>
              </w:rPr>
              <w:t>0,00</w:t>
            </w:r>
          </w:p>
        </w:tc>
      </w:tr>
      <w:tr>
        <w:tblPrEx>
          <w:tblCellMar>
            <w:top w:w="15" w:type="dxa"/>
            <w:left w:w="15" w:type="dxa"/>
            <w:bottom w:w="15" w:type="dxa"/>
            <w:right w:w="15" w:type="dxa"/>
          </w:tblCellMar>
        </w:tblPrEx>
        <w:tc>
          <w:tcPr>
            <w:tcW w:w="5670" w:type="dxa"/>
            <w:tcBorders>
              <w:top w:val="nil"/>
              <w:left w:val="outset" w:color="auto" w:sz="6" w:space="0"/>
              <w:bottom w:val="outset" w:color="auto" w:sz="6" w:space="0"/>
              <w:right w:val="nil"/>
            </w:tcBorders>
            <w:shd w:val="clear" w:color="auto" w:fill="DDD9C3"/>
            <w:vAlign w:val="center"/>
          </w:tcPr>
          <w:p>
            <w:pPr>
              <w:pStyle w:val="6"/>
              <w:textAlignment w:val="baseline"/>
              <w:rPr>
                <w:rFonts w:ascii="Times New Roman" w:hAnsi="Times New Roman" w:cs="Times New Roman"/>
              </w:rPr>
            </w:pPr>
            <w:r>
              <w:rPr>
                <w:rFonts w:ascii="Times New Roman" w:hAnsi="Times New Roman" w:cs="Times New Roman"/>
              </w:rPr>
              <w:t>Kapitálové  výdavky spolu</w:t>
            </w:r>
          </w:p>
        </w:tc>
        <w:tc>
          <w:tcPr>
            <w:tcW w:w="3735" w:type="dxa"/>
            <w:gridSpan w:val="2"/>
            <w:tcBorders>
              <w:top w:val="nil"/>
              <w:left w:val="outset" w:color="auto" w:sz="6" w:space="0"/>
              <w:bottom w:val="outset" w:color="auto" w:sz="6" w:space="0"/>
              <w:right w:val="outset" w:color="auto" w:sz="6" w:space="0"/>
            </w:tcBorders>
            <w:shd w:val="clear" w:color="auto" w:fill="FFFFFF"/>
            <w:vAlign w:val="center"/>
          </w:tcPr>
          <w:p>
            <w:pPr>
              <w:pStyle w:val="6"/>
              <w:jc w:val="center"/>
              <w:textAlignment w:val="baseline"/>
              <w:rPr>
                <w:rFonts w:ascii="Times New Roman" w:hAnsi="Times New Roman" w:cs="Times New Roman"/>
              </w:rPr>
            </w:pPr>
            <w:r>
              <w:rPr>
                <w:rFonts w:ascii="Times New Roman" w:hAnsi="Times New Roman" w:cs="Times New Roman"/>
              </w:rPr>
              <w:t>75 788,80</w:t>
            </w:r>
          </w:p>
        </w:tc>
      </w:tr>
      <w:tr>
        <w:tblPrEx>
          <w:tblCellMar>
            <w:top w:w="15" w:type="dxa"/>
            <w:left w:w="15" w:type="dxa"/>
            <w:bottom w:w="15" w:type="dxa"/>
            <w:right w:w="15" w:type="dxa"/>
          </w:tblCellMar>
        </w:tblPrEx>
        <w:tc>
          <w:tcPr>
            <w:tcW w:w="5670" w:type="dxa"/>
            <w:tcBorders>
              <w:top w:val="nil"/>
              <w:left w:val="outset" w:color="auto" w:sz="6" w:space="0"/>
              <w:bottom w:val="outset" w:color="auto" w:sz="6" w:space="0"/>
              <w:right w:val="nil"/>
            </w:tcBorders>
            <w:vAlign w:val="center"/>
          </w:tcPr>
          <w:p>
            <w:pPr>
              <w:pStyle w:val="6"/>
              <w:textAlignment w:val="baseline"/>
              <w:rPr>
                <w:rFonts w:ascii="Times New Roman" w:hAnsi="Times New Roman" w:cs="Times New Roman"/>
              </w:rPr>
            </w:pPr>
            <w:r>
              <w:rPr>
                <w:rFonts w:ascii="Times New Roman" w:hAnsi="Times New Roman" w:cs="Times New Roman"/>
              </w:rPr>
              <w:t>z toho : kapitálové  výdavky  obce</w:t>
            </w:r>
          </w:p>
        </w:tc>
        <w:tc>
          <w:tcPr>
            <w:tcW w:w="3705" w:type="dxa"/>
            <w:tcBorders>
              <w:top w:val="nil"/>
              <w:left w:val="outset" w:color="auto" w:sz="6" w:space="0"/>
              <w:bottom w:val="outset" w:color="auto" w:sz="6" w:space="0"/>
              <w:right w:val="outset" w:color="auto" w:sz="6" w:space="0"/>
            </w:tcBorders>
            <w:vAlign w:val="center"/>
          </w:tcPr>
          <w:p>
            <w:pPr>
              <w:pStyle w:val="6"/>
              <w:jc w:val="center"/>
              <w:textAlignment w:val="baseline"/>
              <w:rPr>
                <w:rFonts w:ascii="Times New Roman" w:hAnsi="Times New Roman" w:cs="Times New Roman"/>
              </w:rPr>
            </w:pPr>
            <w:r>
              <w:rPr>
                <w:rFonts w:ascii="Times New Roman" w:hAnsi="Times New Roman" w:cs="Times New Roman"/>
              </w:rPr>
              <w:t>75 788,80</w:t>
            </w:r>
          </w:p>
        </w:tc>
        <w:tc>
          <w:tcPr>
            <w:tcW w:w="15" w:type="dxa"/>
            <w:tcBorders>
              <w:top w:val="nil"/>
              <w:left w:val="nil"/>
              <w:bottom w:val="nil"/>
              <w:right w:val="nil"/>
            </w:tcBorders>
          </w:tcPr>
          <w:p>
            <w:pPr>
              <w:pStyle w:val="6"/>
              <w:jc w:val="center"/>
              <w:textAlignment w:val="baseline"/>
              <w:rPr>
                <w:rFonts w:ascii="Times New Roman" w:hAnsi="Times New Roman" w:cs="Times New Roman"/>
              </w:rPr>
            </w:pPr>
          </w:p>
        </w:tc>
      </w:tr>
      <w:tr>
        <w:tblPrEx>
          <w:tblCellMar>
            <w:top w:w="15" w:type="dxa"/>
            <w:left w:w="15" w:type="dxa"/>
            <w:bottom w:w="15" w:type="dxa"/>
            <w:right w:w="15" w:type="dxa"/>
          </w:tblCellMar>
        </w:tblPrEx>
        <w:tc>
          <w:tcPr>
            <w:tcW w:w="5670" w:type="dxa"/>
            <w:tcBorders>
              <w:top w:val="nil"/>
              <w:left w:val="outset" w:color="auto" w:sz="6" w:space="0"/>
              <w:bottom w:val="outset" w:color="auto" w:sz="6" w:space="0"/>
              <w:right w:val="nil"/>
            </w:tcBorders>
            <w:vAlign w:val="center"/>
          </w:tcPr>
          <w:p>
            <w:pPr>
              <w:pStyle w:val="6"/>
              <w:textAlignment w:val="baseline"/>
              <w:rPr>
                <w:rFonts w:ascii="Times New Roman" w:hAnsi="Times New Roman" w:cs="Times New Roman"/>
              </w:rPr>
            </w:pPr>
            <w:r>
              <w:rPr>
                <w:rFonts w:ascii="Times New Roman" w:hAnsi="Times New Roman" w:cs="Times New Roman"/>
              </w:rPr>
              <w:t>kapitálové  výdavky  RO</w:t>
            </w:r>
          </w:p>
        </w:tc>
        <w:tc>
          <w:tcPr>
            <w:tcW w:w="3735" w:type="dxa"/>
            <w:gridSpan w:val="2"/>
            <w:tcBorders>
              <w:top w:val="nil"/>
              <w:left w:val="outset" w:color="auto" w:sz="6" w:space="0"/>
              <w:bottom w:val="outset" w:color="auto" w:sz="6" w:space="0"/>
              <w:right w:val="outset" w:color="auto" w:sz="6" w:space="0"/>
            </w:tcBorders>
            <w:vAlign w:val="center"/>
          </w:tcPr>
          <w:p>
            <w:pPr>
              <w:pStyle w:val="6"/>
              <w:jc w:val="center"/>
              <w:textAlignment w:val="baseline"/>
              <w:rPr>
                <w:rFonts w:ascii="Times New Roman" w:hAnsi="Times New Roman" w:cs="Times New Roman"/>
              </w:rPr>
            </w:pPr>
            <w:r>
              <w:rPr>
                <w:rFonts w:ascii="Times New Roman" w:hAnsi="Times New Roman" w:cs="Times New Roman"/>
                <w:i/>
                <w:iCs/>
              </w:rPr>
              <w:t>0,00</w:t>
            </w:r>
          </w:p>
        </w:tc>
      </w:tr>
      <w:tr>
        <w:tblPrEx>
          <w:tblCellMar>
            <w:top w:w="15" w:type="dxa"/>
            <w:left w:w="15" w:type="dxa"/>
            <w:bottom w:w="15" w:type="dxa"/>
            <w:right w:w="15" w:type="dxa"/>
          </w:tblCellMar>
        </w:tblPrEx>
        <w:tc>
          <w:tcPr>
            <w:tcW w:w="5670" w:type="dxa"/>
            <w:tcBorders>
              <w:top w:val="nil"/>
              <w:left w:val="outset" w:color="auto" w:sz="6" w:space="0"/>
              <w:bottom w:val="outset" w:color="auto" w:sz="6" w:space="0"/>
              <w:right w:val="nil"/>
            </w:tcBorders>
            <w:shd w:val="clear" w:color="auto" w:fill="D9D9D9"/>
            <w:vAlign w:val="center"/>
          </w:tcPr>
          <w:p>
            <w:pPr>
              <w:pStyle w:val="6"/>
              <w:textAlignment w:val="baseline"/>
              <w:rPr>
                <w:rFonts w:ascii="Times New Roman" w:hAnsi="Times New Roman" w:cs="Times New Roman"/>
              </w:rPr>
            </w:pPr>
            <w:r>
              <w:rPr>
                <w:rFonts w:ascii="Times New Roman" w:hAnsi="Times New Roman" w:cs="Times New Roman"/>
                <w:b/>
                <w:bCs/>
                <w:i/>
                <w:iCs/>
              </w:rPr>
              <w:t>Kapitálový rozpočet</w:t>
            </w:r>
          </w:p>
        </w:tc>
        <w:tc>
          <w:tcPr>
            <w:tcW w:w="3735" w:type="dxa"/>
            <w:gridSpan w:val="2"/>
            <w:tcBorders>
              <w:top w:val="nil"/>
              <w:left w:val="outset" w:color="auto" w:sz="6" w:space="0"/>
              <w:bottom w:val="outset" w:color="auto" w:sz="6" w:space="0"/>
              <w:right w:val="outset" w:color="auto" w:sz="6" w:space="0"/>
            </w:tcBorders>
            <w:shd w:val="clear" w:color="auto" w:fill="D9D9D9"/>
            <w:vAlign w:val="center"/>
          </w:tcPr>
          <w:p>
            <w:pPr>
              <w:pStyle w:val="6"/>
              <w:jc w:val="center"/>
              <w:textAlignment w:val="baseline"/>
              <w:rPr>
                <w:rFonts w:ascii="Times New Roman" w:hAnsi="Times New Roman" w:cs="Times New Roman"/>
              </w:rPr>
            </w:pPr>
            <w:r>
              <w:rPr>
                <w:rFonts w:ascii="Times New Roman" w:hAnsi="Times New Roman" w:cs="Times New Roman"/>
              </w:rPr>
              <w:t>-75 788,80</w:t>
            </w:r>
          </w:p>
        </w:tc>
      </w:tr>
      <w:tr>
        <w:tblPrEx>
          <w:tblCellMar>
            <w:top w:w="15" w:type="dxa"/>
            <w:left w:w="15" w:type="dxa"/>
            <w:bottom w:w="15" w:type="dxa"/>
            <w:right w:w="15" w:type="dxa"/>
          </w:tblCellMar>
        </w:tblPrEx>
        <w:tc>
          <w:tcPr>
            <w:tcW w:w="5670" w:type="dxa"/>
            <w:tcBorders>
              <w:top w:val="nil"/>
              <w:left w:val="outset" w:color="auto" w:sz="6" w:space="0"/>
              <w:bottom w:val="outset" w:color="auto" w:sz="6" w:space="0"/>
              <w:right w:val="nil"/>
            </w:tcBorders>
            <w:shd w:val="clear" w:color="auto" w:fill="DDD9C3"/>
            <w:vAlign w:val="center"/>
          </w:tcPr>
          <w:p>
            <w:pPr>
              <w:pStyle w:val="6"/>
              <w:textAlignment w:val="baseline"/>
              <w:rPr>
                <w:rFonts w:ascii="Times New Roman" w:hAnsi="Times New Roman" w:cs="Times New Roman"/>
              </w:rPr>
            </w:pPr>
            <w:r>
              <w:rPr>
                <w:rFonts w:ascii="Times New Roman" w:hAnsi="Times New Roman" w:cs="Times New Roman"/>
                <w:b/>
                <w:bCs/>
                <w:i/>
                <w:iCs/>
              </w:rPr>
              <w:t>Schodok bežného a kapitálového rozpočtu</w:t>
            </w:r>
          </w:p>
        </w:tc>
        <w:tc>
          <w:tcPr>
            <w:tcW w:w="3735" w:type="dxa"/>
            <w:gridSpan w:val="2"/>
            <w:tcBorders>
              <w:top w:val="nil"/>
              <w:left w:val="outset" w:color="auto" w:sz="6" w:space="0"/>
              <w:bottom w:val="outset" w:color="auto" w:sz="6" w:space="0"/>
              <w:right w:val="outset" w:color="auto" w:sz="6" w:space="0"/>
            </w:tcBorders>
            <w:shd w:val="clear" w:color="auto" w:fill="DDD9C3"/>
            <w:vAlign w:val="center"/>
          </w:tcPr>
          <w:p>
            <w:pPr>
              <w:pStyle w:val="6"/>
              <w:jc w:val="center"/>
              <w:textAlignment w:val="baseline"/>
              <w:rPr>
                <w:rFonts w:ascii="Times New Roman" w:hAnsi="Times New Roman" w:cs="Times New Roman"/>
              </w:rPr>
            </w:pPr>
            <w:r>
              <w:rPr>
                <w:rFonts w:ascii="Times New Roman" w:hAnsi="Times New Roman" w:cs="Times New Roman"/>
                <w:b/>
                <w:bCs/>
              </w:rPr>
              <w:t>-72 285,53</w:t>
            </w:r>
          </w:p>
        </w:tc>
      </w:tr>
      <w:tr>
        <w:tblPrEx>
          <w:tblCellMar>
            <w:top w:w="15" w:type="dxa"/>
            <w:left w:w="15" w:type="dxa"/>
            <w:bottom w:w="15" w:type="dxa"/>
            <w:right w:w="15" w:type="dxa"/>
          </w:tblCellMar>
        </w:tblPrEx>
        <w:tc>
          <w:tcPr>
            <w:tcW w:w="5670" w:type="dxa"/>
            <w:tcBorders>
              <w:top w:val="nil"/>
              <w:left w:val="outset" w:color="auto" w:sz="6" w:space="0"/>
              <w:bottom w:val="outset" w:color="auto" w:sz="6" w:space="0"/>
              <w:right w:val="nil"/>
            </w:tcBorders>
            <w:shd w:val="clear" w:color="auto" w:fill="FFFFFF"/>
            <w:vAlign w:val="center"/>
          </w:tcPr>
          <w:p>
            <w:pPr>
              <w:pStyle w:val="6"/>
              <w:textAlignment w:val="baseline"/>
              <w:rPr>
                <w:rFonts w:ascii="Times New Roman" w:hAnsi="Times New Roman" w:cs="Times New Roman"/>
              </w:rPr>
            </w:pPr>
            <w:r>
              <w:rPr>
                <w:rFonts w:ascii="Times New Roman" w:hAnsi="Times New Roman" w:cs="Times New Roman"/>
                <w:b/>
                <w:bCs/>
                <w:i/>
                <w:iCs/>
              </w:rPr>
              <w:t>Úprava schodku</w:t>
            </w:r>
          </w:p>
        </w:tc>
        <w:tc>
          <w:tcPr>
            <w:tcW w:w="3735" w:type="dxa"/>
            <w:gridSpan w:val="2"/>
            <w:tcBorders>
              <w:top w:val="nil"/>
              <w:left w:val="outset" w:color="auto" w:sz="6" w:space="0"/>
              <w:bottom w:val="outset" w:color="auto" w:sz="6" w:space="0"/>
              <w:right w:val="outset" w:color="auto" w:sz="6" w:space="0"/>
            </w:tcBorders>
            <w:shd w:val="clear" w:color="auto" w:fill="FFFFFF"/>
            <w:vAlign w:val="center"/>
          </w:tcPr>
          <w:p>
            <w:pPr>
              <w:pStyle w:val="6"/>
              <w:jc w:val="center"/>
              <w:textAlignment w:val="baseline"/>
              <w:rPr>
                <w:rFonts w:ascii="Times New Roman" w:hAnsi="Times New Roman" w:cs="Times New Roman"/>
              </w:rPr>
            </w:pPr>
            <w:r>
              <w:rPr>
                <w:rFonts w:ascii="Times New Roman" w:hAnsi="Times New Roman" w:cs="Times New Roman"/>
              </w:rPr>
              <w:t>0,00</w:t>
            </w:r>
          </w:p>
        </w:tc>
      </w:tr>
      <w:tr>
        <w:tblPrEx>
          <w:tblCellMar>
            <w:top w:w="15" w:type="dxa"/>
            <w:left w:w="15" w:type="dxa"/>
            <w:bottom w:w="15" w:type="dxa"/>
            <w:right w:w="15" w:type="dxa"/>
          </w:tblCellMar>
        </w:tblPrEx>
        <w:tc>
          <w:tcPr>
            <w:tcW w:w="5670" w:type="dxa"/>
            <w:tcBorders>
              <w:top w:val="nil"/>
              <w:left w:val="outset" w:color="auto" w:sz="6" w:space="0"/>
              <w:bottom w:val="outset" w:color="auto" w:sz="6" w:space="0"/>
              <w:right w:val="nil"/>
            </w:tcBorders>
            <w:shd w:val="clear" w:color="auto" w:fill="DDD9C3"/>
            <w:vAlign w:val="center"/>
          </w:tcPr>
          <w:p>
            <w:pPr>
              <w:pStyle w:val="6"/>
              <w:textAlignment w:val="baseline"/>
              <w:rPr>
                <w:rFonts w:ascii="Times New Roman" w:hAnsi="Times New Roman" w:cs="Times New Roman"/>
              </w:rPr>
            </w:pPr>
            <w:r>
              <w:rPr>
                <w:rFonts w:ascii="Times New Roman" w:hAnsi="Times New Roman" w:cs="Times New Roman"/>
                <w:b/>
                <w:bCs/>
                <w:i/>
                <w:iCs/>
              </w:rPr>
              <w:t>Upravený prebytok/schodok bežného a kapitálového rozpočtu</w:t>
            </w:r>
          </w:p>
        </w:tc>
        <w:tc>
          <w:tcPr>
            <w:tcW w:w="3735" w:type="dxa"/>
            <w:gridSpan w:val="2"/>
            <w:tcBorders>
              <w:top w:val="nil"/>
              <w:left w:val="outset" w:color="auto" w:sz="6" w:space="0"/>
              <w:bottom w:val="outset" w:color="auto" w:sz="6" w:space="0"/>
              <w:right w:val="outset" w:color="auto" w:sz="6" w:space="0"/>
            </w:tcBorders>
            <w:shd w:val="clear" w:color="auto" w:fill="DDD9C3"/>
            <w:vAlign w:val="center"/>
          </w:tcPr>
          <w:p>
            <w:pPr>
              <w:pStyle w:val="6"/>
              <w:jc w:val="center"/>
              <w:textAlignment w:val="baseline"/>
              <w:rPr>
                <w:rFonts w:ascii="Times New Roman" w:hAnsi="Times New Roman" w:cs="Times New Roman"/>
              </w:rPr>
            </w:pPr>
            <w:r>
              <w:rPr>
                <w:rFonts w:ascii="Times New Roman" w:hAnsi="Times New Roman" w:cs="Times New Roman"/>
              </w:rPr>
              <w:t>-72 285,53</w:t>
            </w:r>
          </w:p>
        </w:tc>
      </w:tr>
      <w:tr>
        <w:tblPrEx>
          <w:tblCellMar>
            <w:top w:w="15" w:type="dxa"/>
            <w:left w:w="15" w:type="dxa"/>
            <w:bottom w:w="15" w:type="dxa"/>
            <w:right w:w="15" w:type="dxa"/>
          </w:tblCellMar>
        </w:tblPrEx>
        <w:tc>
          <w:tcPr>
            <w:tcW w:w="5670" w:type="dxa"/>
            <w:tcBorders>
              <w:top w:val="nil"/>
              <w:left w:val="outset" w:color="auto" w:sz="6" w:space="0"/>
              <w:bottom w:val="outset" w:color="auto" w:sz="6" w:space="0"/>
              <w:right w:val="nil"/>
            </w:tcBorders>
            <w:vAlign w:val="center"/>
          </w:tcPr>
          <w:p>
            <w:pPr>
              <w:pStyle w:val="6"/>
              <w:textAlignment w:val="baseline"/>
              <w:rPr>
                <w:rFonts w:ascii="Times New Roman" w:hAnsi="Times New Roman" w:cs="Times New Roman"/>
              </w:rPr>
            </w:pPr>
            <w:r>
              <w:rPr>
                <w:rFonts w:ascii="Times New Roman" w:hAnsi="Times New Roman" w:cs="Times New Roman"/>
              </w:rPr>
              <w:t>Príjmové finančné operácie</w:t>
            </w:r>
          </w:p>
        </w:tc>
        <w:tc>
          <w:tcPr>
            <w:tcW w:w="3735" w:type="dxa"/>
            <w:gridSpan w:val="2"/>
            <w:tcBorders>
              <w:top w:val="nil"/>
              <w:left w:val="outset" w:color="auto" w:sz="6" w:space="0"/>
              <w:bottom w:val="outset" w:color="auto" w:sz="6" w:space="0"/>
              <w:right w:val="outset" w:color="auto" w:sz="6" w:space="0"/>
            </w:tcBorders>
            <w:vAlign w:val="center"/>
          </w:tcPr>
          <w:p>
            <w:pPr>
              <w:pStyle w:val="6"/>
              <w:jc w:val="center"/>
              <w:textAlignment w:val="baseline"/>
              <w:rPr>
                <w:rFonts w:ascii="Times New Roman" w:hAnsi="Times New Roman" w:cs="Times New Roman"/>
              </w:rPr>
            </w:pPr>
            <w:r>
              <w:rPr>
                <w:rFonts w:ascii="Times New Roman" w:hAnsi="Times New Roman" w:cs="Times New Roman"/>
              </w:rPr>
              <w:t>72 486,80</w:t>
            </w:r>
          </w:p>
        </w:tc>
      </w:tr>
      <w:tr>
        <w:tblPrEx>
          <w:tblCellMar>
            <w:top w:w="15" w:type="dxa"/>
            <w:left w:w="15" w:type="dxa"/>
            <w:bottom w:w="15" w:type="dxa"/>
            <w:right w:w="15" w:type="dxa"/>
          </w:tblCellMar>
        </w:tblPrEx>
        <w:tc>
          <w:tcPr>
            <w:tcW w:w="5670" w:type="dxa"/>
            <w:tcBorders>
              <w:top w:val="nil"/>
              <w:left w:val="outset" w:color="auto" w:sz="6" w:space="0"/>
              <w:bottom w:val="outset" w:color="auto" w:sz="6" w:space="0"/>
              <w:right w:val="nil"/>
            </w:tcBorders>
            <w:vAlign w:val="center"/>
          </w:tcPr>
          <w:p>
            <w:pPr>
              <w:pStyle w:val="6"/>
              <w:textAlignment w:val="baseline"/>
              <w:rPr>
                <w:rFonts w:ascii="Times New Roman" w:hAnsi="Times New Roman" w:cs="Times New Roman"/>
              </w:rPr>
            </w:pPr>
            <w:r>
              <w:rPr>
                <w:rFonts w:ascii="Times New Roman" w:hAnsi="Times New Roman" w:cs="Times New Roman"/>
              </w:rPr>
              <w:t>Výdavkové finančné operácie</w:t>
            </w:r>
          </w:p>
        </w:tc>
        <w:tc>
          <w:tcPr>
            <w:tcW w:w="3735" w:type="dxa"/>
            <w:gridSpan w:val="2"/>
            <w:tcBorders>
              <w:top w:val="nil"/>
              <w:left w:val="outset" w:color="auto" w:sz="6" w:space="0"/>
              <w:bottom w:val="outset" w:color="auto" w:sz="6" w:space="0"/>
              <w:right w:val="outset" w:color="auto" w:sz="6" w:space="0"/>
            </w:tcBorders>
            <w:vAlign w:val="center"/>
          </w:tcPr>
          <w:p>
            <w:pPr>
              <w:pStyle w:val="6"/>
              <w:jc w:val="center"/>
              <w:textAlignment w:val="baseline"/>
              <w:rPr>
                <w:rFonts w:ascii="Times New Roman" w:hAnsi="Times New Roman" w:cs="Times New Roman"/>
              </w:rPr>
            </w:pPr>
            <w:r>
              <w:rPr>
                <w:rFonts w:ascii="Times New Roman" w:hAnsi="Times New Roman" w:cs="Times New Roman"/>
                <w:i/>
                <w:iCs/>
              </w:rPr>
              <w:t>0,00</w:t>
            </w:r>
          </w:p>
        </w:tc>
      </w:tr>
      <w:tr>
        <w:tblPrEx>
          <w:tblCellMar>
            <w:top w:w="15" w:type="dxa"/>
            <w:left w:w="15" w:type="dxa"/>
            <w:bottom w:w="15" w:type="dxa"/>
            <w:right w:w="15" w:type="dxa"/>
          </w:tblCellMar>
        </w:tblPrEx>
        <w:tc>
          <w:tcPr>
            <w:tcW w:w="5670" w:type="dxa"/>
            <w:tcBorders>
              <w:top w:val="nil"/>
              <w:left w:val="outset" w:color="auto" w:sz="6" w:space="0"/>
              <w:bottom w:val="single" w:color="auto" w:sz="4" w:space="0"/>
              <w:right w:val="nil"/>
            </w:tcBorders>
            <w:shd w:val="clear" w:color="auto" w:fill="D9D9D9"/>
            <w:vAlign w:val="center"/>
          </w:tcPr>
          <w:p>
            <w:pPr>
              <w:pStyle w:val="6"/>
              <w:textAlignment w:val="baseline"/>
              <w:rPr>
                <w:rFonts w:ascii="Times New Roman" w:hAnsi="Times New Roman" w:cs="Times New Roman"/>
              </w:rPr>
            </w:pPr>
            <w:r>
              <w:rPr>
                <w:rFonts w:ascii="Times New Roman" w:hAnsi="Times New Roman" w:cs="Times New Roman"/>
                <w:b/>
                <w:bCs/>
                <w:i/>
                <w:iCs/>
              </w:rPr>
              <w:t>Rozdiel finančných operácií</w:t>
            </w:r>
          </w:p>
        </w:tc>
        <w:tc>
          <w:tcPr>
            <w:tcW w:w="3735" w:type="dxa"/>
            <w:gridSpan w:val="2"/>
            <w:tcBorders>
              <w:top w:val="nil"/>
              <w:left w:val="outset" w:color="auto" w:sz="6" w:space="0"/>
              <w:bottom w:val="single" w:color="auto" w:sz="4" w:space="0"/>
              <w:right w:val="outset" w:color="auto" w:sz="6" w:space="0"/>
            </w:tcBorders>
            <w:shd w:val="clear" w:color="auto" w:fill="D9D9D9"/>
            <w:vAlign w:val="center"/>
          </w:tcPr>
          <w:p>
            <w:pPr>
              <w:pStyle w:val="6"/>
              <w:jc w:val="center"/>
              <w:textAlignment w:val="baseline"/>
              <w:rPr>
                <w:rFonts w:ascii="Times New Roman" w:hAnsi="Times New Roman" w:cs="Times New Roman"/>
              </w:rPr>
            </w:pPr>
            <w:r>
              <w:rPr>
                <w:rFonts w:ascii="Times New Roman" w:hAnsi="Times New Roman" w:cs="Times New Roman"/>
                <w:b/>
                <w:bCs/>
              </w:rPr>
              <w:t>72 486,80</w:t>
            </w:r>
          </w:p>
        </w:tc>
      </w:tr>
      <w:tr>
        <w:tblPrEx>
          <w:tblCellMar>
            <w:top w:w="15" w:type="dxa"/>
            <w:left w:w="15" w:type="dxa"/>
            <w:bottom w:w="15" w:type="dxa"/>
            <w:right w:w="15" w:type="dxa"/>
          </w:tblCellMar>
        </w:tblPrEx>
        <w:tc>
          <w:tcPr>
            <w:tcW w:w="5670" w:type="dxa"/>
            <w:tcBorders>
              <w:top w:val="single" w:color="auto" w:sz="4" w:space="0"/>
              <w:left w:val="single" w:color="auto" w:sz="4" w:space="0"/>
              <w:bottom w:val="single" w:color="auto" w:sz="4" w:space="0"/>
              <w:right w:val="single" w:color="auto" w:sz="4" w:space="0"/>
            </w:tcBorders>
            <w:vAlign w:val="center"/>
          </w:tcPr>
          <w:p>
            <w:pPr>
              <w:pStyle w:val="6"/>
              <w:textAlignment w:val="baseline"/>
              <w:rPr>
                <w:rFonts w:ascii="Times New Roman" w:hAnsi="Times New Roman" w:cs="Times New Roman"/>
              </w:rPr>
            </w:pPr>
            <w:r>
              <w:rPr>
                <w:rFonts w:ascii="Times New Roman" w:hAnsi="Times New Roman" w:cs="Times New Roman"/>
                <w:caps/>
              </w:rPr>
              <w:t>PRÍJMY SPOLU</w:t>
            </w:r>
          </w:p>
        </w:tc>
        <w:tc>
          <w:tcPr>
            <w:tcW w:w="3735" w:type="dxa"/>
            <w:gridSpan w:val="2"/>
            <w:tcBorders>
              <w:top w:val="single" w:color="auto" w:sz="4" w:space="0"/>
              <w:left w:val="single" w:color="auto" w:sz="4" w:space="0"/>
              <w:bottom w:val="single" w:color="auto" w:sz="4" w:space="0"/>
              <w:right w:val="single" w:color="auto" w:sz="4" w:space="0"/>
            </w:tcBorders>
            <w:vAlign w:val="center"/>
          </w:tcPr>
          <w:p>
            <w:pPr>
              <w:pStyle w:val="6"/>
              <w:jc w:val="center"/>
              <w:textAlignment w:val="baseline"/>
              <w:rPr>
                <w:rFonts w:ascii="Times New Roman" w:hAnsi="Times New Roman" w:cs="Times New Roman"/>
              </w:rPr>
            </w:pPr>
            <w:r>
              <w:rPr>
                <w:rFonts w:ascii="Times New Roman" w:hAnsi="Times New Roman" w:cs="Times New Roman"/>
              </w:rPr>
              <w:t>173 221,45</w:t>
            </w:r>
          </w:p>
        </w:tc>
      </w:tr>
      <w:tr>
        <w:tblPrEx>
          <w:tblCellMar>
            <w:top w:w="15" w:type="dxa"/>
            <w:left w:w="15" w:type="dxa"/>
            <w:bottom w:w="15" w:type="dxa"/>
            <w:right w:w="15" w:type="dxa"/>
          </w:tblCellMar>
        </w:tblPrEx>
        <w:tc>
          <w:tcPr>
            <w:tcW w:w="5670" w:type="dxa"/>
            <w:tcBorders>
              <w:top w:val="single" w:color="auto" w:sz="4" w:space="0"/>
              <w:left w:val="single" w:color="auto" w:sz="4" w:space="0"/>
              <w:bottom w:val="single" w:color="auto" w:sz="4" w:space="0"/>
              <w:right w:val="single" w:color="auto" w:sz="4" w:space="0"/>
            </w:tcBorders>
            <w:vAlign w:val="center"/>
          </w:tcPr>
          <w:p>
            <w:pPr>
              <w:pStyle w:val="6"/>
              <w:textAlignment w:val="baseline"/>
              <w:rPr>
                <w:rFonts w:ascii="Times New Roman" w:hAnsi="Times New Roman" w:cs="Times New Roman"/>
              </w:rPr>
            </w:pPr>
            <w:r>
              <w:rPr>
                <w:rFonts w:ascii="Times New Roman" w:hAnsi="Times New Roman" w:cs="Times New Roman"/>
                <w:caps/>
              </w:rPr>
              <w:t>VÝDAVKY</w:t>
            </w:r>
            <w:r>
              <w:rPr>
                <w:rFonts w:ascii="Times New Roman" w:hAnsi="Times New Roman" w:cs="Times New Roman"/>
              </w:rPr>
              <w:t xml:space="preserve"> SPOLU</w:t>
            </w:r>
          </w:p>
        </w:tc>
        <w:tc>
          <w:tcPr>
            <w:tcW w:w="3735" w:type="dxa"/>
            <w:gridSpan w:val="2"/>
            <w:tcBorders>
              <w:top w:val="single" w:color="auto" w:sz="4" w:space="0"/>
              <w:left w:val="single" w:color="auto" w:sz="4" w:space="0"/>
              <w:bottom w:val="single" w:color="auto" w:sz="4" w:space="0"/>
              <w:right w:val="single" w:color="auto" w:sz="4" w:space="0"/>
            </w:tcBorders>
            <w:vAlign w:val="center"/>
          </w:tcPr>
          <w:p>
            <w:pPr>
              <w:pStyle w:val="6"/>
              <w:jc w:val="center"/>
              <w:textAlignment w:val="baseline"/>
              <w:rPr>
                <w:rFonts w:ascii="Times New Roman" w:hAnsi="Times New Roman" w:cs="Times New Roman"/>
              </w:rPr>
            </w:pPr>
            <w:r>
              <w:rPr>
                <w:rFonts w:ascii="Times New Roman" w:hAnsi="Times New Roman" w:cs="Times New Roman"/>
              </w:rPr>
              <w:t>173 02018</w:t>
            </w:r>
          </w:p>
        </w:tc>
      </w:tr>
      <w:tr>
        <w:tblPrEx>
          <w:tblCellMar>
            <w:top w:w="15" w:type="dxa"/>
            <w:left w:w="15" w:type="dxa"/>
            <w:bottom w:w="15" w:type="dxa"/>
            <w:right w:w="15" w:type="dxa"/>
          </w:tblCellMar>
        </w:tblPrEx>
        <w:tc>
          <w:tcPr>
            <w:tcW w:w="5670" w:type="dxa"/>
            <w:tcBorders>
              <w:top w:val="single" w:color="auto" w:sz="4" w:space="0"/>
              <w:left w:val="single" w:color="auto" w:sz="4" w:space="0"/>
              <w:bottom w:val="single" w:color="auto" w:sz="4" w:space="0"/>
              <w:right w:val="single" w:color="auto" w:sz="4" w:space="0"/>
            </w:tcBorders>
            <w:shd w:val="clear" w:color="auto" w:fill="DDD9C3"/>
            <w:vAlign w:val="center"/>
          </w:tcPr>
          <w:p>
            <w:pPr>
              <w:pStyle w:val="6"/>
              <w:textAlignment w:val="baseline"/>
              <w:rPr>
                <w:rFonts w:ascii="Times New Roman" w:hAnsi="Times New Roman" w:cs="Times New Roman"/>
              </w:rPr>
            </w:pPr>
            <w:r>
              <w:rPr>
                <w:rFonts w:ascii="Times New Roman" w:hAnsi="Times New Roman" w:cs="Times New Roman"/>
                <w:b/>
                <w:bCs/>
                <w:i/>
                <w:iCs/>
              </w:rPr>
              <w:t>Hospodárenie obce</w:t>
            </w:r>
          </w:p>
        </w:tc>
        <w:tc>
          <w:tcPr>
            <w:tcW w:w="3735" w:type="dxa"/>
            <w:gridSpan w:val="2"/>
            <w:tcBorders>
              <w:top w:val="single" w:color="auto" w:sz="4" w:space="0"/>
              <w:left w:val="single" w:color="auto" w:sz="4" w:space="0"/>
              <w:bottom w:val="single" w:color="auto" w:sz="4" w:space="0"/>
              <w:right w:val="single" w:color="auto" w:sz="4" w:space="0"/>
            </w:tcBorders>
            <w:shd w:val="clear" w:color="auto" w:fill="DDD9C3"/>
            <w:vAlign w:val="center"/>
          </w:tcPr>
          <w:p>
            <w:pPr>
              <w:pStyle w:val="6"/>
              <w:jc w:val="center"/>
              <w:textAlignment w:val="baseline"/>
              <w:rPr>
                <w:rFonts w:ascii="Times New Roman" w:hAnsi="Times New Roman" w:cs="Times New Roman"/>
              </w:rPr>
            </w:pPr>
            <w:r>
              <w:rPr>
                <w:rFonts w:ascii="Times New Roman" w:hAnsi="Times New Roman" w:cs="Times New Roman"/>
              </w:rPr>
              <w:t>201,27</w:t>
            </w:r>
          </w:p>
        </w:tc>
      </w:tr>
      <w:tr>
        <w:tblPrEx>
          <w:tblCellMar>
            <w:top w:w="15" w:type="dxa"/>
            <w:left w:w="15" w:type="dxa"/>
            <w:bottom w:w="15" w:type="dxa"/>
            <w:right w:w="15" w:type="dxa"/>
          </w:tblCellMar>
        </w:tblPrEx>
        <w:tc>
          <w:tcPr>
            <w:tcW w:w="5670" w:type="dxa"/>
            <w:tcBorders>
              <w:top w:val="single" w:color="auto" w:sz="4" w:space="0"/>
              <w:left w:val="single" w:color="auto" w:sz="4" w:space="0"/>
              <w:bottom w:val="single" w:color="auto" w:sz="4" w:space="0"/>
              <w:right w:val="single" w:color="auto" w:sz="4" w:space="0"/>
            </w:tcBorders>
            <w:vAlign w:val="center"/>
          </w:tcPr>
          <w:p>
            <w:pPr>
              <w:pStyle w:val="6"/>
              <w:textAlignment w:val="baseline"/>
              <w:rPr>
                <w:rFonts w:ascii="Times New Roman" w:hAnsi="Times New Roman" w:cs="Times New Roman"/>
              </w:rPr>
            </w:pPr>
            <w:r>
              <w:rPr>
                <w:rFonts w:ascii="Times New Roman" w:hAnsi="Times New Roman" w:cs="Times New Roman"/>
                <w:b/>
                <w:bCs/>
                <w:i/>
                <w:iCs/>
              </w:rPr>
              <w:t>Vylúčenie z prebytku</w:t>
            </w:r>
          </w:p>
        </w:tc>
        <w:tc>
          <w:tcPr>
            <w:tcW w:w="3735" w:type="dxa"/>
            <w:gridSpan w:val="2"/>
            <w:tcBorders>
              <w:top w:val="single" w:color="auto" w:sz="4" w:space="0"/>
              <w:left w:val="single" w:color="auto" w:sz="4" w:space="0"/>
              <w:bottom w:val="single" w:color="auto" w:sz="4" w:space="0"/>
              <w:right w:val="single" w:color="auto" w:sz="4" w:space="0"/>
            </w:tcBorders>
            <w:vAlign w:val="center"/>
          </w:tcPr>
          <w:p>
            <w:pPr>
              <w:pStyle w:val="6"/>
              <w:jc w:val="center"/>
              <w:textAlignment w:val="baseline"/>
              <w:rPr>
                <w:rFonts w:ascii="Times New Roman" w:hAnsi="Times New Roman" w:cs="Times New Roman"/>
              </w:rPr>
            </w:pPr>
            <w:r>
              <w:rPr>
                <w:rFonts w:ascii="Times New Roman" w:hAnsi="Times New Roman" w:cs="Times New Roman"/>
              </w:rPr>
              <w:t>0,00</w:t>
            </w:r>
          </w:p>
        </w:tc>
      </w:tr>
      <w:tr>
        <w:tblPrEx>
          <w:tblCellMar>
            <w:top w:w="15" w:type="dxa"/>
            <w:left w:w="15" w:type="dxa"/>
            <w:bottom w:w="15" w:type="dxa"/>
            <w:right w:w="15" w:type="dxa"/>
          </w:tblCellMar>
        </w:tblPrEx>
        <w:tc>
          <w:tcPr>
            <w:tcW w:w="5670" w:type="dxa"/>
            <w:tcBorders>
              <w:top w:val="single" w:color="auto" w:sz="4" w:space="0"/>
              <w:left w:val="single" w:color="auto" w:sz="4" w:space="0"/>
              <w:bottom w:val="single" w:color="auto" w:sz="4" w:space="0"/>
              <w:right w:val="single" w:color="auto" w:sz="4" w:space="0"/>
            </w:tcBorders>
            <w:shd w:val="clear" w:color="auto" w:fill="D9D9D9"/>
            <w:vAlign w:val="center"/>
          </w:tcPr>
          <w:p>
            <w:pPr>
              <w:pStyle w:val="6"/>
              <w:textAlignment w:val="baseline"/>
              <w:rPr>
                <w:rFonts w:ascii="Segoe UI" w:hAnsi="Segoe UI" w:cs="Segoe UI"/>
              </w:rPr>
            </w:pPr>
            <w:r>
              <w:rPr>
                <w:rFonts w:ascii="Times New Roman" w:hAnsi="Times New Roman" w:cs="Times New Roman"/>
                <w:b/>
                <w:bCs/>
                <w:i/>
                <w:iCs/>
              </w:rPr>
              <w:t>Upravené hospodárenie obce</w:t>
            </w:r>
          </w:p>
        </w:tc>
        <w:tc>
          <w:tcPr>
            <w:tcW w:w="3735" w:type="dxa"/>
            <w:gridSpan w:val="2"/>
            <w:tcBorders>
              <w:top w:val="single" w:color="auto" w:sz="4" w:space="0"/>
              <w:left w:val="single" w:color="auto" w:sz="4" w:space="0"/>
              <w:bottom w:val="single" w:color="auto" w:sz="4" w:space="0"/>
              <w:right w:val="single" w:color="auto" w:sz="4" w:space="0"/>
            </w:tcBorders>
            <w:shd w:val="clear" w:color="auto" w:fill="D9D9D9"/>
            <w:vAlign w:val="center"/>
          </w:tcPr>
          <w:p>
            <w:pPr>
              <w:pStyle w:val="6"/>
              <w:jc w:val="center"/>
              <w:textAlignment w:val="baseline"/>
              <w:rPr>
                <w:rFonts w:ascii="Times New Roman" w:hAnsi="Times New Roman" w:cs="Times New Roman"/>
              </w:rPr>
            </w:pPr>
            <w:r>
              <w:rPr>
                <w:rFonts w:ascii="Times New Roman" w:hAnsi="Times New Roman" w:cs="Times New Roman"/>
              </w:rPr>
              <w:t>201,27</w:t>
            </w:r>
          </w:p>
        </w:tc>
      </w:tr>
    </w:tbl>
    <w:p>
      <w:pPr>
        <w:pStyle w:val="6"/>
        <w:spacing w:line="360" w:lineRule="auto"/>
        <w:jc w:val="both"/>
        <w:rPr>
          <w:b/>
          <w:bCs/>
        </w:rPr>
      </w:pPr>
      <w:r>
        <w:rPr>
          <w:rStyle w:val="11"/>
          <w:rFonts w:ascii="Times New Roman" w:hAnsi="Times New Roman" w:cs="Times New Roman"/>
        </w:rPr>
        <w:t xml:space="preserve">Bežný rozpočet skončil s prebytkom vo výške 3 503,27 EU. Celkový rozpočet zistený podľa ustanovenia § 10 ods. 3 písm. a) a b) zákona č. 583/2004 </w:t>
      </w:r>
      <w:r>
        <w:rPr>
          <w:rStyle w:val="12"/>
          <w:rFonts w:ascii="Times New Roman" w:hAnsi="Times New Roman" w:cs="Times New Roman"/>
        </w:rPr>
        <w:t>Z.z</w:t>
      </w:r>
      <w:r>
        <w:rPr>
          <w:rStyle w:val="11"/>
          <w:rFonts w:ascii="Times New Roman" w:hAnsi="Times New Roman" w:cs="Times New Roman"/>
        </w:rPr>
        <w:t>. o rozpočtových pravidlách územnej samosprávy a o zmene a doplnení niektorých zákonov v znení neskorších predpisov, po vykrytí vyšších kapitálových výdavkoch, skončil so schodkom vo výške 72 285,53 EUR. Schodok bol vyrovnaný cez finančné operácie. Do rozpočtu boli zapojené cez finančné operácie, úvery vo výške 72 486,80 EUR. Na základe týchto skutočností neodporúčame tvorbu rezervného fondu.</w:t>
      </w:r>
    </w:p>
    <w:p>
      <w:pPr>
        <w:pStyle w:val="6"/>
        <w:jc w:val="both"/>
        <w:rPr>
          <w:rFonts w:ascii="Times New Roman" w:hAnsi="Times New Roman" w:eastAsia="Calibri" w:cs="Times New Roman"/>
          <w:b/>
          <w:bCs/>
        </w:rPr>
      </w:pPr>
      <w:r>
        <w:rPr>
          <w:rFonts w:ascii="Times New Roman" w:hAnsi="Times New Roman" w:eastAsia="Calibri" w:cs="Times New Roman"/>
          <w:b/>
          <w:bCs/>
        </w:rPr>
        <w:t>7.Informácie o vývoji obce z pohľadu účtovníctva</w:t>
      </w:r>
    </w:p>
    <w:p>
      <w:pPr>
        <w:pStyle w:val="6"/>
        <w:jc w:val="both"/>
        <w:rPr>
          <w:b/>
          <w:bCs/>
        </w:rPr>
      </w:pPr>
      <w:r>
        <w:rPr>
          <w:b/>
          <w:bCs/>
        </w:rPr>
        <w:t>7.1</w:t>
      </w:r>
      <w:r>
        <w:rPr>
          <w:rFonts w:ascii="Times New Roman" w:hAnsi="Times New Roman" w:eastAsia="Calibri" w:cs="Times New Roman"/>
          <w:b/>
          <w:bCs/>
        </w:rPr>
        <w:t>.Majetok</w:t>
      </w:r>
    </w:p>
    <w:tbl>
      <w:tblPr>
        <w:tblStyle w:val="14"/>
        <w:tblW w:w="0" w:type="auto"/>
        <w:tblInd w:w="0" w:type="dxa"/>
        <w:tblLayout w:type="autofit"/>
        <w:tblCellMar>
          <w:top w:w="15" w:type="dxa"/>
          <w:left w:w="15" w:type="dxa"/>
          <w:bottom w:w="15" w:type="dxa"/>
          <w:right w:w="15" w:type="dxa"/>
        </w:tblCellMar>
      </w:tblPr>
      <w:tblGrid>
        <w:gridCol w:w="3360"/>
        <w:gridCol w:w="2835"/>
        <w:gridCol w:w="2835"/>
      </w:tblGrid>
      <w:tr>
        <w:tblPrEx>
          <w:tblCellMar>
            <w:top w:w="15" w:type="dxa"/>
            <w:left w:w="15" w:type="dxa"/>
            <w:bottom w:w="15" w:type="dxa"/>
            <w:right w:w="15" w:type="dxa"/>
          </w:tblCellMar>
        </w:tblPrEx>
        <w:tc>
          <w:tcPr>
            <w:tcW w:w="3360" w:type="dxa"/>
            <w:tcBorders>
              <w:top w:val="outset" w:color="auto" w:sz="6" w:space="0"/>
              <w:left w:val="outset" w:color="auto" w:sz="6" w:space="0"/>
              <w:bottom w:val="outset" w:color="auto" w:sz="6" w:space="0"/>
              <w:right w:val="outset" w:color="auto" w:sz="6" w:space="0"/>
            </w:tcBorders>
            <w:shd w:val="clear" w:color="auto" w:fill="BFBFBF"/>
          </w:tcPr>
          <w:p>
            <w:pPr>
              <w:pStyle w:val="6"/>
              <w:jc w:val="both"/>
              <w:rPr>
                <w:rFonts w:ascii="Times New Roman" w:hAnsi="Times New Roman" w:eastAsia="Calibri" w:cs="Times New Roman"/>
                <w:b/>
                <w:bCs/>
              </w:rPr>
            </w:pPr>
            <w:r>
              <w:rPr>
                <w:rFonts w:ascii="Times New Roman" w:hAnsi="Times New Roman" w:eastAsia="Calibri" w:cs="Times New Roman"/>
                <w:b/>
                <w:bCs/>
              </w:rPr>
              <w:t>Názov</w:t>
            </w:r>
          </w:p>
        </w:tc>
        <w:tc>
          <w:tcPr>
            <w:tcW w:w="2835" w:type="dxa"/>
            <w:tcBorders>
              <w:top w:val="outset" w:color="auto" w:sz="6" w:space="0"/>
              <w:left w:val="outset" w:color="auto" w:sz="6" w:space="0"/>
              <w:bottom w:val="outset" w:color="auto" w:sz="6" w:space="0"/>
              <w:right w:val="outset" w:color="auto" w:sz="6" w:space="0"/>
            </w:tcBorders>
            <w:shd w:val="clear" w:color="auto" w:fill="BFBFBF"/>
          </w:tcPr>
          <w:p>
            <w:pPr>
              <w:pStyle w:val="6"/>
              <w:jc w:val="center"/>
              <w:rPr>
                <w:rFonts w:ascii="Times New Roman" w:hAnsi="Times New Roman" w:eastAsia="Calibri" w:cs="Times New Roman"/>
                <w:b/>
                <w:bCs/>
              </w:rPr>
            </w:pPr>
            <w:r>
              <w:rPr>
                <w:rFonts w:ascii="Times New Roman" w:hAnsi="Times New Roman" w:eastAsia="Calibri" w:cs="Times New Roman"/>
                <w:b/>
                <w:bCs/>
              </w:rPr>
              <w:t>Skutočnosť k 31.12.2021</w:t>
            </w:r>
          </w:p>
        </w:tc>
        <w:tc>
          <w:tcPr>
            <w:tcW w:w="2835" w:type="dxa"/>
            <w:tcBorders>
              <w:top w:val="outset" w:color="auto" w:sz="6" w:space="0"/>
              <w:left w:val="outset" w:color="auto" w:sz="6" w:space="0"/>
              <w:bottom w:val="outset" w:color="auto" w:sz="6" w:space="0"/>
              <w:right w:val="outset" w:color="auto" w:sz="6" w:space="0"/>
            </w:tcBorders>
            <w:shd w:val="clear" w:color="auto" w:fill="BFBFBF"/>
          </w:tcPr>
          <w:p>
            <w:pPr>
              <w:pStyle w:val="6"/>
              <w:jc w:val="center"/>
              <w:rPr>
                <w:rFonts w:ascii="Times New Roman" w:hAnsi="Times New Roman" w:eastAsia="Calibri" w:cs="Times New Roman"/>
                <w:b/>
                <w:bCs/>
              </w:rPr>
            </w:pPr>
            <w:r>
              <w:rPr>
                <w:rFonts w:ascii="Times New Roman" w:hAnsi="Times New Roman" w:eastAsia="Calibri" w:cs="Times New Roman"/>
                <w:b/>
                <w:bCs/>
              </w:rPr>
              <w:t>Skutočnosť k 31.12.2022</w:t>
            </w:r>
          </w:p>
        </w:tc>
      </w:tr>
      <w:tr>
        <w:tblPrEx>
          <w:tblCellMar>
            <w:top w:w="15" w:type="dxa"/>
            <w:left w:w="15" w:type="dxa"/>
            <w:bottom w:w="15" w:type="dxa"/>
            <w:right w:w="15" w:type="dxa"/>
          </w:tblCellMar>
        </w:tblPrEx>
        <w:tc>
          <w:tcPr>
            <w:tcW w:w="3360" w:type="dxa"/>
            <w:tcBorders>
              <w:top w:val="nil"/>
              <w:left w:val="outset" w:color="auto" w:sz="6" w:space="0"/>
              <w:bottom w:val="outset" w:color="auto" w:sz="6" w:space="0"/>
              <w:right w:val="outset" w:color="auto" w:sz="6" w:space="0"/>
            </w:tcBorders>
            <w:shd w:val="clear" w:color="auto" w:fill="BFBFBF"/>
          </w:tcPr>
          <w:p>
            <w:pPr>
              <w:pStyle w:val="6"/>
              <w:jc w:val="both"/>
              <w:rPr>
                <w:rFonts w:ascii="Times New Roman" w:hAnsi="Times New Roman" w:eastAsia="Calibri" w:cs="Times New Roman"/>
                <w:b/>
                <w:bCs/>
              </w:rPr>
            </w:pPr>
            <w:r>
              <w:rPr>
                <w:rFonts w:ascii="Times New Roman" w:hAnsi="Times New Roman" w:eastAsia="Calibri" w:cs="Times New Roman"/>
                <w:b/>
                <w:bCs/>
              </w:rPr>
              <w:t>Majetok spolu</w:t>
            </w:r>
          </w:p>
        </w:tc>
        <w:tc>
          <w:tcPr>
            <w:tcW w:w="2835" w:type="dxa"/>
            <w:tcBorders>
              <w:top w:val="nil"/>
              <w:left w:val="outset" w:color="auto" w:sz="6" w:space="0"/>
              <w:bottom w:val="outset" w:color="auto" w:sz="6" w:space="0"/>
              <w:right w:val="outset" w:color="auto" w:sz="6" w:space="0"/>
            </w:tcBorders>
            <w:shd w:val="clear" w:color="auto" w:fill="BFBFBF"/>
          </w:tcPr>
          <w:p>
            <w:pPr>
              <w:pStyle w:val="6"/>
              <w:jc w:val="center"/>
              <w:rPr>
                <w:rFonts w:ascii="Times New Roman" w:hAnsi="Times New Roman" w:eastAsia="Calibri" w:cs="Times New Roman"/>
              </w:rPr>
            </w:pPr>
            <w:r>
              <w:rPr>
                <w:rFonts w:ascii="Times New Roman" w:hAnsi="Times New Roman" w:eastAsia="Calibri" w:cs="Times New Roman"/>
              </w:rPr>
              <w:t>976 026,93</w:t>
            </w:r>
          </w:p>
        </w:tc>
        <w:tc>
          <w:tcPr>
            <w:tcW w:w="2835" w:type="dxa"/>
            <w:tcBorders>
              <w:top w:val="nil"/>
              <w:left w:val="outset" w:color="auto" w:sz="6" w:space="0"/>
              <w:bottom w:val="outset" w:color="auto" w:sz="6" w:space="0"/>
              <w:right w:val="outset" w:color="auto" w:sz="6" w:space="0"/>
            </w:tcBorders>
            <w:shd w:val="clear" w:color="auto" w:fill="BFBFBF"/>
          </w:tcPr>
          <w:p>
            <w:pPr>
              <w:pStyle w:val="6"/>
              <w:jc w:val="center"/>
              <w:rPr>
                <w:rFonts w:ascii="Times New Roman" w:hAnsi="Times New Roman" w:eastAsia="Calibri" w:cs="Times New Roman"/>
              </w:rPr>
            </w:pPr>
            <w:r>
              <w:rPr>
                <w:rFonts w:ascii="Times New Roman" w:hAnsi="Times New Roman" w:eastAsia="Calibri" w:cs="Times New Roman"/>
              </w:rPr>
              <w:t>1 086 787,53</w:t>
            </w:r>
          </w:p>
        </w:tc>
      </w:tr>
      <w:tr>
        <w:tblPrEx>
          <w:tblCellMar>
            <w:top w:w="15" w:type="dxa"/>
            <w:left w:w="15" w:type="dxa"/>
            <w:bottom w:w="15" w:type="dxa"/>
            <w:right w:w="15" w:type="dxa"/>
          </w:tblCellMar>
        </w:tblPrEx>
        <w:tc>
          <w:tcPr>
            <w:tcW w:w="3360" w:type="dxa"/>
            <w:tcBorders>
              <w:top w:val="nil"/>
              <w:left w:val="outset" w:color="auto" w:sz="6" w:space="0"/>
              <w:bottom w:val="outset" w:color="auto" w:sz="6" w:space="0"/>
              <w:right w:val="outset" w:color="auto" w:sz="6" w:space="0"/>
            </w:tcBorders>
          </w:tcPr>
          <w:p>
            <w:pPr>
              <w:pStyle w:val="6"/>
              <w:jc w:val="both"/>
              <w:rPr>
                <w:rFonts w:ascii="Times New Roman" w:hAnsi="Times New Roman" w:eastAsia="Calibri" w:cs="Times New Roman"/>
                <w:b/>
                <w:bCs/>
              </w:rPr>
            </w:pPr>
            <w:r>
              <w:rPr>
                <w:rFonts w:ascii="Times New Roman" w:hAnsi="Times New Roman" w:eastAsia="Calibri" w:cs="Times New Roman"/>
                <w:b/>
                <w:bCs/>
              </w:rPr>
              <w:t>Neobežný majetok spolu</w:t>
            </w:r>
          </w:p>
        </w:tc>
        <w:tc>
          <w:tcPr>
            <w:tcW w:w="2835"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rPr>
            </w:pPr>
            <w:r>
              <w:rPr>
                <w:rFonts w:ascii="Times New Roman" w:hAnsi="Times New Roman" w:eastAsia="Calibri" w:cs="Times New Roman"/>
              </w:rPr>
              <w:t>943 285,30</w:t>
            </w:r>
          </w:p>
        </w:tc>
        <w:tc>
          <w:tcPr>
            <w:tcW w:w="2835"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rPr>
            </w:pPr>
            <w:r>
              <w:rPr>
                <w:rFonts w:ascii="Times New Roman" w:hAnsi="Times New Roman" w:eastAsia="Calibri" w:cs="Times New Roman"/>
              </w:rPr>
              <w:t>1 054 335,51</w:t>
            </w:r>
          </w:p>
        </w:tc>
      </w:tr>
      <w:tr>
        <w:tblPrEx>
          <w:tblCellMar>
            <w:top w:w="15" w:type="dxa"/>
            <w:left w:w="15" w:type="dxa"/>
            <w:bottom w:w="15" w:type="dxa"/>
            <w:right w:w="15" w:type="dxa"/>
          </w:tblCellMar>
        </w:tblPrEx>
        <w:tc>
          <w:tcPr>
            <w:tcW w:w="3360" w:type="dxa"/>
            <w:tcBorders>
              <w:top w:val="nil"/>
              <w:left w:val="outset" w:color="auto" w:sz="6" w:space="0"/>
              <w:bottom w:val="outset" w:color="auto" w:sz="6" w:space="0"/>
              <w:right w:val="outset" w:color="auto" w:sz="6" w:space="0"/>
            </w:tcBorders>
          </w:tcPr>
          <w:p>
            <w:pPr>
              <w:pStyle w:val="6"/>
              <w:jc w:val="both"/>
              <w:rPr>
                <w:rFonts w:ascii="Times New Roman" w:hAnsi="Times New Roman" w:eastAsia="Calibri" w:cs="Times New Roman"/>
              </w:rPr>
            </w:pPr>
            <w:r>
              <w:rPr>
                <w:rFonts w:ascii="Times New Roman" w:hAnsi="Times New Roman" w:eastAsia="Calibri" w:cs="Times New Roman"/>
              </w:rPr>
              <w:t>Z toho</w:t>
            </w:r>
          </w:p>
        </w:tc>
        <w:tc>
          <w:tcPr>
            <w:tcW w:w="2835"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rPr>
            </w:pPr>
          </w:p>
        </w:tc>
        <w:tc>
          <w:tcPr>
            <w:tcW w:w="2835"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rPr>
            </w:pPr>
          </w:p>
        </w:tc>
      </w:tr>
      <w:tr>
        <w:tc>
          <w:tcPr>
            <w:tcW w:w="3360" w:type="dxa"/>
            <w:tcBorders>
              <w:top w:val="nil"/>
              <w:left w:val="outset" w:color="auto" w:sz="6" w:space="0"/>
              <w:bottom w:val="outset" w:color="auto" w:sz="6" w:space="0"/>
              <w:right w:val="outset" w:color="auto" w:sz="6" w:space="0"/>
            </w:tcBorders>
          </w:tcPr>
          <w:p>
            <w:pPr>
              <w:pStyle w:val="6"/>
              <w:jc w:val="both"/>
              <w:rPr>
                <w:rFonts w:ascii="Times New Roman" w:hAnsi="Times New Roman" w:eastAsia="Calibri" w:cs="Times New Roman"/>
              </w:rPr>
            </w:pPr>
            <w:r>
              <w:rPr>
                <w:rFonts w:ascii="Times New Roman" w:hAnsi="Times New Roman" w:eastAsia="Calibri" w:cs="Times New Roman"/>
              </w:rPr>
              <w:t>Dlhodobý nehmotný majetok</w:t>
            </w:r>
          </w:p>
        </w:tc>
        <w:tc>
          <w:tcPr>
            <w:tcW w:w="2835"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rPr>
            </w:pPr>
            <w:r>
              <w:rPr>
                <w:rFonts w:ascii="Times New Roman" w:hAnsi="Times New Roman" w:eastAsia="Calibri" w:cs="Times New Roman"/>
              </w:rPr>
              <w:t>0,00</w:t>
            </w:r>
          </w:p>
        </w:tc>
        <w:tc>
          <w:tcPr>
            <w:tcW w:w="2835"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rPr>
            </w:pPr>
            <w:r>
              <w:rPr>
                <w:rFonts w:ascii="Times New Roman" w:hAnsi="Times New Roman" w:eastAsia="Calibri" w:cs="Times New Roman"/>
              </w:rPr>
              <w:t>0,00</w:t>
            </w:r>
          </w:p>
        </w:tc>
      </w:tr>
      <w:tr>
        <w:tblPrEx>
          <w:tblCellMar>
            <w:top w:w="15" w:type="dxa"/>
            <w:left w:w="15" w:type="dxa"/>
            <w:bottom w:w="15" w:type="dxa"/>
            <w:right w:w="15" w:type="dxa"/>
          </w:tblCellMar>
        </w:tblPrEx>
        <w:tc>
          <w:tcPr>
            <w:tcW w:w="3360" w:type="dxa"/>
            <w:tcBorders>
              <w:top w:val="nil"/>
              <w:left w:val="outset" w:color="auto" w:sz="6" w:space="0"/>
              <w:bottom w:val="outset" w:color="auto" w:sz="6" w:space="0"/>
              <w:right w:val="outset" w:color="auto" w:sz="6" w:space="0"/>
            </w:tcBorders>
          </w:tcPr>
          <w:p>
            <w:pPr>
              <w:pStyle w:val="6"/>
              <w:jc w:val="both"/>
              <w:rPr>
                <w:rFonts w:ascii="Times New Roman" w:hAnsi="Times New Roman" w:eastAsia="Calibri" w:cs="Times New Roman"/>
              </w:rPr>
            </w:pPr>
            <w:r>
              <w:rPr>
                <w:rFonts w:ascii="Times New Roman" w:hAnsi="Times New Roman" w:eastAsia="Calibri" w:cs="Times New Roman"/>
              </w:rPr>
              <w:t>Dlhodobý hmotný majetok</w:t>
            </w:r>
          </w:p>
        </w:tc>
        <w:tc>
          <w:tcPr>
            <w:tcW w:w="2835"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rPr>
            </w:pPr>
            <w:r>
              <w:rPr>
                <w:rFonts w:ascii="Times New Roman" w:hAnsi="Times New Roman" w:eastAsia="Calibri" w:cs="Times New Roman"/>
              </w:rPr>
              <w:t>894 490,24</w:t>
            </w:r>
          </w:p>
        </w:tc>
        <w:tc>
          <w:tcPr>
            <w:tcW w:w="2835"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rPr>
            </w:pPr>
            <w:r>
              <w:rPr>
                <w:rFonts w:ascii="Times New Roman" w:hAnsi="Times New Roman" w:eastAsia="Calibri" w:cs="Times New Roman"/>
              </w:rPr>
              <w:t>1 005 540,45</w:t>
            </w:r>
          </w:p>
        </w:tc>
      </w:tr>
      <w:tr>
        <w:tblPrEx>
          <w:tblCellMar>
            <w:top w:w="15" w:type="dxa"/>
            <w:left w:w="15" w:type="dxa"/>
            <w:bottom w:w="15" w:type="dxa"/>
            <w:right w:w="15" w:type="dxa"/>
          </w:tblCellMar>
        </w:tblPrEx>
        <w:tc>
          <w:tcPr>
            <w:tcW w:w="3360" w:type="dxa"/>
            <w:tcBorders>
              <w:top w:val="nil"/>
              <w:left w:val="outset" w:color="auto" w:sz="6" w:space="0"/>
              <w:bottom w:val="outset" w:color="auto" w:sz="6" w:space="0"/>
              <w:right w:val="outset" w:color="auto" w:sz="6" w:space="0"/>
            </w:tcBorders>
          </w:tcPr>
          <w:p>
            <w:pPr>
              <w:pStyle w:val="6"/>
              <w:jc w:val="both"/>
              <w:rPr>
                <w:rFonts w:ascii="Times New Roman" w:hAnsi="Times New Roman" w:eastAsia="Calibri" w:cs="Times New Roman"/>
              </w:rPr>
            </w:pPr>
            <w:r>
              <w:rPr>
                <w:rFonts w:ascii="Times New Roman" w:hAnsi="Times New Roman" w:eastAsia="Calibri" w:cs="Times New Roman"/>
              </w:rPr>
              <w:t>Dlhodobý finančný majetok</w:t>
            </w:r>
          </w:p>
        </w:tc>
        <w:tc>
          <w:tcPr>
            <w:tcW w:w="2835"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rPr>
            </w:pPr>
            <w:r>
              <w:rPr>
                <w:rFonts w:ascii="Times New Roman" w:hAnsi="Times New Roman" w:eastAsia="Calibri" w:cs="Times New Roman"/>
              </w:rPr>
              <w:t>48 795,06</w:t>
            </w:r>
          </w:p>
        </w:tc>
        <w:tc>
          <w:tcPr>
            <w:tcW w:w="2835"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rPr>
            </w:pPr>
            <w:r>
              <w:rPr>
                <w:rFonts w:ascii="Times New Roman" w:hAnsi="Times New Roman" w:eastAsia="Calibri" w:cs="Times New Roman"/>
              </w:rPr>
              <w:t>48 795,06</w:t>
            </w:r>
          </w:p>
        </w:tc>
      </w:tr>
      <w:tr>
        <w:tblPrEx>
          <w:tblCellMar>
            <w:top w:w="15" w:type="dxa"/>
            <w:left w:w="15" w:type="dxa"/>
            <w:bottom w:w="15" w:type="dxa"/>
            <w:right w:w="15" w:type="dxa"/>
          </w:tblCellMar>
        </w:tblPrEx>
        <w:tc>
          <w:tcPr>
            <w:tcW w:w="3360" w:type="dxa"/>
            <w:tcBorders>
              <w:top w:val="nil"/>
              <w:left w:val="outset" w:color="auto" w:sz="6" w:space="0"/>
              <w:bottom w:val="outset" w:color="auto" w:sz="6" w:space="0"/>
              <w:right w:val="outset" w:color="auto" w:sz="6" w:space="0"/>
            </w:tcBorders>
            <w:shd w:val="clear" w:color="auto" w:fill="BFBFBF"/>
          </w:tcPr>
          <w:p>
            <w:pPr>
              <w:pStyle w:val="6"/>
              <w:jc w:val="both"/>
              <w:rPr>
                <w:rFonts w:ascii="Times New Roman" w:hAnsi="Times New Roman" w:eastAsia="Calibri" w:cs="Times New Roman"/>
                <w:b/>
                <w:bCs/>
              </w:rPr>
            </w:pPr>
            <w:r>
              <w:rPr>
                <w:rFonts w:ascii="Times New Roman" w:hAnsi="Times New Roman" w:eastAsia="Calibri" w:cs="Times New Roman"/>
                <w:b/>
                <w:bCs/>
              </w:rPr>
              <w:t>Obežný majetok spolu</w:t>
            </w:r>
          </w:p>
        </w:tc>
        <w:tc>
          <w:tcPr>
            <w:tcW w:w="2835" w:type="dxa"/>
            <w:tcBorders>
              <w:top w:val="nil"/>
              <w:left w:val="outset" w:color="auto" w:sz="6" w:space="0"/>
              <w:bottom w:val="outset" w:color="auto" w:sz="6" w:space="0"/>
              <w:right w:val="outset" w:color="auto" w:sz="6" w:space="0"/>
            </w:tcBorders>
            <w:shd w:val="clear" w:color="auto" w:fill="BFBFBF"/>
          </w:tcPr>
          <w:p>
            <w:pPr>
              <w:pStyle w:val="6"/>
              <w:jc w:val="center"/>
              <w:rPr>
                <w:rFonts w:ascii="Times New Roman" w:hAnsi="Times New Roman" w:eastAsia="Calibri" w:cs="Times New Roman"/>
              </w:rPr>
            </w:pPr>
            <w:r>
              <w:rPr>
                <w:rFonts w:ascii="Times New Roman" w:hAnsi="Times New Roman" w:eastAsia="Calibri" w:cs="Times New Roman"/>
              </w:rPr>
              <w:t>32 475,53</w:t>
            </w:r>
          </w:p>
        </w:tc>
        <w:tc>
          <w:tcPr>
            <w:tcW w:w="2835" w:type="dxa"/>
            <w:tcBorders>
              <w:top w:val="nil"/>
              <w:left w:val="outset" w:color="auto" w:sz="6" w:space="0"/>
              <w:bottom w:val="outset" w:color="auto" w:sz="6" w:space="0"/>
              <w:right w:val="outset" w:color="auto" w:sz="6" w:space="0"/>
            </w:tcBorders>
            <w:shd w:val="clear" w:color="auto" w:fill="BFBFBF"/>
          </w:tcPr>
          <w:p>
            <w:pPr>
              <w:pStyle w:val="6"/>
              <w:jc w:val="center"/>
              <w:rPr>
                <w:rFonts w:ascii="Times New Roman" w:hAnsi="Times New Roman" w:eastAsia="Calibri" w:cs="Times New Roman"/>
              </w:rPr>
            </w:pPr>
            <w:r>
              <w:rPr>
                <w:rFonts w:ascii="Times New Roman" w:hAnsi="Times New Roman" w:eastAsia="Calibri" w:cs="Times New Roman"/>
              </w:rPr>
              <w:t>32 220,08</w:t>
            </w:r>
          </w:p>
        </w:tc>
      </w:tr>
      <w:tr>
        <w:tblPrEx>
          <w:tblCellMar>
            <w:top w:w="15" w:type="dxa"/>
            <w:left w:w="15" w:type="dxa"/>
            <w:bottom w:w="15" w:type="dxa"/>
            <w:right w:w="15" w:type="dxa"/>
          </w:tblCellMar>
        </w:tblPrEx>
        <w:tc>
          <w:tcPr>
            <w:tcW w:w="3360" w:type="dxa"/>
            <w:tcBorders>
              <w:top w:val="nil"/>
              <w:left w:val="outset" w:color="auto" w:sz="6" w:space="0"/>
              <w:bottom w:val="outset" w:color="auto" w:sz="6" w:space="0"/>
              <w:right w:val="outset" w:color="auto" w:sz="6" w:space="0"/>
            </w:tcBorders>
          </w:tcPr>
          <w:p>
            <w:pPr>
              <w:pStyle w:val="6"/>
              <w:jc w:val="both"/>
              <w:rPr>
                <w:rFonts w:ascii="Times New Roman" w:hAnsi="Times New Roman" w:eastAsia="Calibri" w:cs="Times New Roman"/>
              </w:rPr>
            </w:pPr>
            <w:r>
              <w:rPr>
                <w:rFonts w:ascii="Times New Roman" w:hAnsi="Times New Roman" w:eastAsia="Calibri" w:cs="Times New Roman"/>
              </w:rPr>
              <w:t>Zásoby</w:t>
            </w:r>
          </w:p>
        </w:tc>
        <w:tc>
          <w:tcPr>
            <w:tcW w:w="2835"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rPr>
            </w:pPr>
            <w:r>
              <w:rPr>
                <w:rFonts w:ascii="Times New Roman" w:hAnsi="Times New Roman" w:eastAsia="Calibri" w:cs="Times New Roman"/>
              </w:rPr>
              <w:t>0,00</w:t>
            </w:r>
          </w:p>
        </w:tc>
        <w:tc>
          <w:tcPr>
            <w:tcW w:w="2835"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rPr>
            </w:pPr>
            <w:r>
              <w:rPr>
                <w:rFonts w:ascii="Times New Roman" w:hAnsi="Times New Roman" w:eastAsia="Calibri" w:cs="Times New Roman"/>
              </w:rPr>
              <w:t>0,00</w:t>
            </w:r>
          </w:p>
        </w:tc>
      </w:tr>
      <w:tr>
        <w:tblPrEx>
          <w:tblCellMar>
            <w:top w:w="15" w:type="dxa"/>
            <w:left w:w="15" w:type="dxa"/>
            <w:bottom w:w="15" w:type="dxa"/>
            <w:right w:w="15" w:type="dxa"/>
          </w:tblCellMar>
        </w:tblPrEx>
        <w:tc>
          <w:tcPr>
            <w:tcW w:w="3360" w:type="dxa"/>
            <w:tcBorders>
              <w:top w:val="nil"/>
              <w:left w:val="outset" w:color="auto" w:sz="6" w:space="0"/>
              <w:bottom w:val="outset" w:color="auto" w:sz="6" w:space="0"/>
              <w:right w:val="outset" w:color="auto" w:sz="6" w:space="0"/>
            </w:tcBorders>
          </w:tcPr>
          <w:p>
            <w:pPr>
              <w:pStyle w:val="6"/>
              <w:jc w:val="both"/>
              <w:rPr>
                <w:rFonts w:ascii="Times New Roman" w:hAnsi="Times New Roman" w:eastAsia="Calibri" w:cs="Times New Roman"/>
              </w:rPr>
            </w:pPr>
            <w:r>
              <w:rPr>
                <w:rFonts w:ascii="Times New Roman" w:hAnsi="Times New Roman" w:eastAsia="Calibri" w:cs="Times New Roman"/>
              </w:rPr>
              <w:t>Zúčtovanie medzi sub. VS</w:t>
            </w:r>
          </w:p>
        </w:tc>
        <w:tc>
          <w:tcPr>
            <w:tcW w:w="2835"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rPr>
            </w:pPr>
            <w:r>
              <w:rPr>
                <w:rFonts w:ascii="Times New Roman" w:hAnsi="Times New Roman" w:eastAsia="Calibri" w:cs="Times New Roman"/>
              </w:rPr>
              <w:t>0,00</w:t>
            </w:r>
          </w:p>
        </w:tc>
        <w:tc>
          <w:tcPr>
            <w:tcW w:w="2835"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rPr>
            </w:pPr>
            <w:r>
              <w:rPr>
                <w:rFonts w:ascii="Times New Roman" w:hAnsi="Times New Roman" w:eastAsia="Calibri" w:cs="Times New Roman"/>
              </w:rPr>
              <w:t>0,00</w:t>
            </w:r>
          </w:p>
        </w:tc>
      </w:tr>
      <w:tr>
        <w:tblPrEx>
          <w:tblCellMar>
            <w:top w:w="15" w:type="dxa"/>
            <w:left w:w="15" w:type="dxa"/>
            <w:bottom w:w="15" w:type="dxa"/>
            <w:right w:w="15" w:type="dxa"/>
          </w:tblCellMar>
        </w:tblPrEx>
        <w:tc>
          <w:tcPr>
            <w:tcW w:w="3360" w:type="dxa"/>
            <w:tcBorders>
              <w:top w:val="nil"/>
              <w:left w:val="outset" w:color="auto" w:sz="6" w:space="0"/>
              <w:bottom w:val="outset" w:color="auto" w:sz="6" w:space="0"/>
              <w:right w:val="outset" w:color="auto" w:sz="6" w:space="0"/>
            </w:tcBorders>
          </w:tcPr>
          <w:p>
            <w:pPr>
              <w:pStyle w:val="6"/>
              <w:jc w:val="both"/>
              <w:rPr>
                <w:rFonts w:ascii="Times New Roman" w:hAnsi="Times New Roman" w:eastAsia="Calibri" w:cs="Times New Roman"/>
              </w:rPr>
            </w:pPr>
            <w:r>
              <w:rPr>
                <w:rFonts w:ascii="Times New Roman" w:hAnsi="Times New Roman" w:eastAsia="Calibri" w:cs="Times New Roman"/>
              </w:rPr>
              <w:t>Dlhodobé pohľadávky</w:t>
            </w:r>
          </w:p>
        </w:tc>
        <w:tc>
          <w:tcPr>
            <w:tcW w:w="2835"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rPr>
            </w:pPr>
            <w:r>
              <w:rPr>
                <w:rFonts w:ascii="Times New Roman" w:hAnsi="Times New Roman" w:eastAsia="Calibri" w:cs="Times New Roman"/>
              </w:rPr>
              <w:t>0,00</w:t>
            </w:r>
          </w:p>
        </w:tc>
        <w:tc>
          <w:tcPr>
            <w:tcW w:w="2835"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rPr>
            </w:pPr>
            <w:r>
              <w:rPr>
                <w:rFonts w:ascii="Times New Roman" w:hAnsi="Times New Roman" w:eastAsia="Calibri" w:cs="Times New Roman"/>
              </w:rPr>
              <w:t>0,00</w:t>
            </w:r>
          </w:p>
        </w:tc>
      </w:tr>
      <w:tr>
        <w:tblPrEx>
          <w:tblCellMar>
            <w:top w:w="15" w:type="dxa"/>
            <w:left w:w="15" w:type="dxa"/>
            <w:bottom w:w="15" w:type="dxa"/>
            <w:right w:w="15" w:type="dxa"/>
          </w:tblCellMar>
        </w:tblPrEx>
        <w:tc>
          <w:tcPr>
            <w:tcW w:w="3360" w:type="dxa"/>
            <w:tcBorders>
              <w:top w:val="nil"/>
              <w:left w:val="outset" w:color="auto" w:sz="6" w:space="0"/>
              <w:bottom w:val="outset" w:color="auto" w:sz="6" w:space="0"/>
              <w:right w:val="outset" w:color="auto" w:sz="6" w:space="0"/>
            </w:tcBorders>
          </w:tcPr>
          <w:p>
            <w:pPr>
              <w:pStyle w:val="6"/>
              <w:jc w:val="both"/>
              <w:rPr>
                <w:rFonts w:ascii="Times New Roman" w:hAnsi="Times New Roman" w:eastAsia="Calibri" w:cs="Times New Roman"/>
              </w:rPr>
            </w:pPr>
            <w:r>
              <w:rPr>
                <w:rFonts w:ascii="Times New Roman" w:hAnsi="Times New Roman" w:eastAsia="Calibri" w:cs="Times New Roman"/>
              </w:rPr>
              <w:t>Krátkodobé pohľadávky</w:t>
            </w:r>
          </w:p>
        </w:tc>
        <w:tc>
          <w:tcPr>
            <w:tcW w:w="2835"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rPr>
            </w:pPr>
            <w:r>
              <w:rPr>
                <w:rFonts w:ascii="Times New Roman" w:hAnsi="Times New Roman" w:eastAsia="Calibri" w:cs="Times New Roman"/>
              </w:rPr>
              <w:t>655,33</w:t>
            </w:r>
          </w:p>
        </w:tc>
        <w:tc>
          <w:tcPr>
            <w:tcW w:w="2835"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rPr>
            </w:pPr>
            <w:r>
              <w:rPr>
                <w:rFonts w:ascii="Times New Roman" w:hAnsi="Times New Roman" w:eastAsia="Calibri" w:cs="Times New Roman"/>
              </w:rPr>
              <w:t>711,63</w:t>
            </w:r>
          </w:p>
        </w:tc>
      </w:tr>
      <w:tr>
        <w:tblPrEx>
          <w:tblCellMar>
            <w:top w:w="15" w:type="dxa"/>
            <w:left w:w="15" w:type="dxa"/>
            <w:bottom w:w="15" w:type="dxa"/>
            <w:right w:w="15" w:type="dxa"/>
          </w:tblCellMar>
        </w:tblPrEx>
        <w:tc>
          <w:tcPr>
            <w:tcW w:w="3360" w:type="dxa"/>
            <w:tcBorders>
              <w:top w:val="nil"/>
              <w:left w:val="outset" w:color="auto" w:sz="6" w:space="0"/>
              <w:bottom w:val="outset" w:color="auto" w:sz="6" w:space="0"/>
              <w:right w:val="outset" w:color="auto" w:sz="6" w:space="0"/>
            </w:tcBorders>
          </w:tcPr>
          <w:p>
            <w:pPr>
              <w:pStyle w:val="6"/>
              <w:jc w:val="both"/>
              <w:rPr>
                <w:rFonts w:ascii="Times New Roman" w:hAnsi="Times New Roman" w:eastAsia="Calibri" w:cs="Times New Roman"/>
              </w:rPr>
            </w:pPr>
            <w:r>
              <w:rPr>
                <w:rFonts w:ascii="Times New Roman" w:hAnsi="Times New Roman" w:eastAsia="Calibri" w:cs="Times New Roman"/>
              </w:rPr>
              <w:t>Finančné účty</w:t>
            </w:r>
          </w:p>
        </w:tc>
        <w:tc>
          <w:tcPr>
            <w:tcW w:w="2835"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rPr>
            </w:pPr>
            <w:r>
              <w:rPr>
                <w:rFonts w:ascii="Times New Roman" w:hAnsi="Times New Roman" w:eastAsia="Calibri" w:cs="Times New Roman"/>
              </w:rPr>
              <w:t>31 820,20</w:t>
            </w:r>
          </w:p>
        </w:tc>
        <w:tc>
          <w:tcPr>
            <w:tcW w:w="2835"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rPr>
            </w:pPr>
            <w:r>
              <w:rPr>
                <w:rFonts w:ascii="Times New Roman" w:hAnsi="Times New Roman" w:eastAsia="Calibri" w:cs="Times New Roman"/>
              </w:rPr>
              <w:t>31 508,45</w:t>
            </w:r>
          </w:p>
        </w:tc>
      </w:tr>
      <w:tr>
        <w:tblPrEx>
          <w:tblCellMar>
            <w:top w:w="15" w:type="dxa"/>
            <w:left w:w="15" w:type="dxa"/>
            <w:bottom w:w="15" w:type="dxa"/>
            <w:right w:w="15" w:type="dxa"/>
          </w:tblCellMar>
        </w:tblPrEx>
        <w:tc>
          <w:tcPr>
            <w:tcW w:w="3360" w:type="dxa"/>
            <w:tcBorders>
              <w:top w:val="nil"/>
              <w:left w:val="outset" w:color="auto" w:sz="6" w:space="0"/>
              <w:bottom w:val="outset" w:color="auto" w:sz="6" w:space="0"/>
              <w:right w:val="outset" w:color="auto" w:sz="6" w:space="0"/>
            </w:tcBorders>
          </w:tcPr>
          <w:p>
            <w:pPr>
              <w:pStyle w:val="6"/>
              <w:jc w:val="both"/>
              <w:rPr>
                <w:rFonts w:ascii="Times New Roman" w:hAnsi="Times New Roman" w:eastAsia="Calibri" w:cs="Times New Roman"/>
              </w:rPr>
            </w:pPr>
            <w:r>
              <w:rPr>
                <w:rFonts w:ascii="Times New Roman" w:hAnsi="Times New Roman" w:eastAsia="Calibri" w:cs="Times New Roman"/>
              </w:rPr>
              <w:t>Poskytnuté návrat.fin.výpom.dlhod.</w:t>
            </w:r>
          </w:p>
        </w:tc>
        <w:tc>
          <w:tcPr>
            <w:tcW w:w="2835"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rPr>
            </w:pPr>
            <w:r>
              <w:rPr>
                <w:rFonts w:ascii="Times New Roman" w:hAnsi="Times New Roman" w:eastAsia="Calibri" w:cs="Times New Roman"/>
              </w:rPr>
              <w:t>0,00</w:t>
            </w:r>
          </w:p>
        </w:tc>
        <w:tc>
          <w:tcPr>
            <w:tcW w:w="2835"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rPr>
            </w:pPr>
            <w:r>
              <w:rPr>
                <w:rFonts w:ascii="Times New Roman" w:hAnsi="Times New Roman" w:eastAsia="Calibri" w:cs="Times New Roman"/>
              </w:rPr>
              <w:t>0,00</w:t>
            </w:r>
          </w:p>
        </w:tc>
      </w:tr>
      <w:tr>
        <w:tblPrEx>
          <w:tblCellMar>
            <w:top w:w="15" w:type="dxa"/>
            <w:left w:w="15" w:type="dxa"/>
            <w:bottom w:w="15" w:type="dxa"/>
            <w:right w:w="15" w:type="dxa"/>
          </w:tblCellMar>
        </w:tblPrEx>
        <w:tc>
          <w:tcPr>
            <w:tcW w:w="3360" w:type="dxa"/>
            <w:tcBorders>
              <w:top w:val="nil"/>
              <w:left w:val="outset" w:color="auto" w:sz="6" w:space="0"/>
              <w:bottom w:val="outset" w:color="auto" w:sz="6" w:space="0"/>
              <w:right w:val="outset" w:color="auto" w:sz="6" w:space="0"/>
            </w:tcBorders>
          </w:tcPr>
          <w:p>
            <w:pPr>
              <w:pStyle w:val="6"/>
              <w:jc w:val="both"/>
              <w:rPr>
                <w:rFonts w:ascii="Times New Roman" w:hAnsi="Times New Roman" w:eastAsia="Calibri" w:cs="Times New Roman"/>
              </w:rPr>
            </w:pPr>
            <w:r>
              <w:rPr>
                <w:rFonts w:ascii="Times New Roman" w:hAnsi="Times New Roman" w:eastAsia="Calibri" w:cs="Times New Roman"/>
              </w:rPr>
              <w:t>Poskytnuté návrat.fin.výpom.krát.</w:t>
            </w:r>
          </w:p>
        </w:tc>
        <w:tc>
          <w:tcPr>
            <w:tcW w:w="2835"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rPr>
            </w:pPr>
            <w:r>
              <w:rPr>
                <w:rFonts w:ascii="Times New Roman" w:hAnsi="Times New Roman" w:eastAsia="Calibri" w:cs="Times New Roman"/>
              </w:rPr>
              <w:t>0,00</w:t>
            </w:r>
          </w:p>
        </w:tc>
        <w:tc>
          <w:tcPr>
            <w:tcW w:w="2835"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rPr>
            </w:pPr>
            <w:r>
              <w:rPr>
                <w:rFonts w:ascii="Times New Roman" w:hAnsi="Times New Roman" w:eastAsia="Calibri" w:cs="Times New Roman"/>
              </w:rPr>
              <w:t>0,00</w:t>
            </w:r>
          </w:p>
        </w:tc>
      </w:tr>
      <w:tr>
        <w:tblPrEx>
          <w:tblCellMar>
            <w:top w:w="15" w:type="dxa"/>
            <w:left w:w="15" w:type="dxa"/>
            <w:bottom w:w="15" w:type="dxa"/>
            <w:right w:w="15" w:type="dxa"/>
          </w:tblCellMar>
        </w:tblPrEx>
        <w:tc>
          <w:tcPr>
            <w:tcW w:w="3360" w:type="dxa"/>
            <w:tcBorders>
              <w:top w:val="nil"/>
              <w:left w:val="outset" w:color="auto" w:sz="6" w:space="0"/>
              <w:bottom w:val="outset" w:color="auto" w:sz="6" w:space="0"/>
              <w:right w:val="outset" w:color="auto" w:sz="6" w:space="0"/>
            </w:tcBorders>
            <w:shd w:val="clear" w:color="auto" w:fill="BFBFBF"/>
          </w:tcPr>
          <w:p>
            <w:pPr>
              <w:pStyle w:val="6"/>
              <w:jc w:val="both"/>
              <w:rPr>
                <w:rFonts w:ascii="Times New Roman" w:hAnsi="Times New Roman" w:eastAsia="Calibri" w:cs="Times New Roman"/>
                <w:b/>
                <w:bCs/>
              </w:rPr>
            </w:pPr>
            <w:r>
              <w:rPr>
                <w:rFonts w:ascii="Times New Roman" w:hAnsi="Times New Roman" w:eastAsia="Calibri" w:cs="Times New Roman"/>
                <w:b/>
                <w:bCs/>
              </w:rPr>
              <w:t>Časové rozlíšenie</w:t>
            </w:r>
          </w:p>
        </w:tc>
        <w:tc>
          <w:tcPr>
            <w:tcW w:w="2835" w:type="dxa"/>
            <w:tcBorders>
              <w:top w:val="nil"/>
              <w:left w:val="outset" w:color="auto" w:sz="6" w:space="0"/>
              <w:bottom w:val="outset" w:color="auto" w:sz="6" w:space="0"/>
              <w:right w:val="outset" w:color="auto" w:sz="6" w:space="0"/>
            </w:tcBorders>
            <w:shd w:val="clear" w:color="auto" w:fill="BFBFBF"/>
          </w:tcPr>
          <w:p>
            <w:pPr>
              <w:pStyle w:val="6"/>
              <w:jc w:val="center"/>
              <w:rPr>
                <w:rFonts w:ascii="Times New Roman" w:hAnsi="Times New Roman" w:eastAsia="Calibri" w:cs="Times New Roman"/>
              </w:rPr>
            </w:pPr>
            <w:r>
              <w:rPr>
                <w:rFonts w:ascii="Times New Roman" w:hAnsi="Times New Roman" w:eastAsia="Calibri" w:cs="Times New Roman"/>
              </w:rPr>
              <w:t>266,10</w:t>
            </w:r>
          </w:p>
        </w:tc>
        <w:tc>
          <w:tcPr>
            <w:tcW w:w="2835" w:type="dxa"/>
            <w:tcBorders>
              <w:top w:val="nil"/>
              <w:left w:val="outset" w:color="auto" w:sz="6" w:space="0"/>
              <w:bottom w:val="outset" w:color="auto" w:sz="6" w:space="0"/>
              <w:right w:val="outset" w:color="auto" w:sz="6" w:space="0"/>
            </w:tcBorders>
            <w:shd w:val="clear" w:color="auto" w:fill="BFBFBF"/>
          </w:tcPr>
          <w:p>
            <w:pPr>
              <w:pStyle w:val="6"/>
              <w:jc w:val="center"/>
              <w:rPr>
                <w:rFonts w:ascii="Times New Roman" w:hAnsi="Times New Roman" w:eastAsia="Calibri" w:cs="Times New Roman"/>
              </w:rPr>
            </w:pPr>
            <w:r>
              <w:rPr>
                <w:rFonts w:ascii="Times New Roman" w:hAnsi="Times New Roman" w:eastAsia="Calibri" w:cs="Times New Roman"/>
              </w:rPr>
              <w:t>231,94</w:t>
            </w:r>
          </w:p>
        </w:tc>
      </w:tr>
    </w:tbl>
    <w:p>
      <w:pPr>
        <w:pStyle w:val="6"/>
        <w:jc w:val="both"/>
        <w:rPr>
          <w:rFonts w:ascii="Times New Roman" w:hAnsi="Times New Roman" w:eastAsia="Calibri" w:cs="Times New Roman"/>
          <w:b/>
          <w:bCs/>
        </w:rPr>
      </w:pPr>
      <w:r>
        <w:rPr>
          <w:rFonts w:ascii="Times New Roman" w:hAnsi="Times New Roman" w:eastAsia="Calibri" w:cs="Times New Roman"/>
          <w:b/>
          <w:bCs/>
        </w:rPr>
        <w:t>7.2.Zdroje krytia</w:t>
      </w:r>
    </w:p>
    <w:tbl>
      <w:tblPr>
        <w:tblStyle w:val="14"/>
        <w:tblW w:w="0" w:type="auto"/>
        <w:tblInd w:w="0" w:type="dxa"/>
        <w:tblLayout w:type="fixed"/>
        <w:tblCellMar>
          <w:top w:w="15" w:type="dxa"/>
          <w:left w:w="15" w:type="dxa"/>
          <w:bottom w:w="15" w:type="dxa"/>
          <w:right w:w="15" w:type="dxa"/>
        </w:tblCellMar>
      </w:tblPr>
      <w:tblGrid>
        <w:gridCol w:w="3495"/>
        <w:gridCol w:w="2685"/>
        <w:gridCol w:w="2835"/>
      </w:tblGrid>
      <w:tr>
        <w:tblPrEx>
          <w:tblCellMar>
            <w:top w:w="15" w:type="dxa"/>
            <w:left w:w="15" w:type="dxa"/>
            <w:bottom w:w="15" w:type="dxa"/>
            <w:right w:w="15" w:type="dxa"/>
          </w:tblCellMar>
        </w:tblPrEx>
        <w:tc>
          <w:tcPr>
            <w:tcW w:w="3495" w:type="dxa"/>
            <w:tcBorders>
              <w:top w:val="outset" w:color="auto" w:sz="6" w:space="0"/>
              <w:left w:val="outset" w:color="auto" w:sz="6" w:space="0"/>
              <w:bottom w:val="outset" w:color="auto" w:sz="6" w:space="0"/>
              <w:right w:val="outset" w:color="auto" w:sz="6" w:space="0"/>
            </w:tcBorders>
            <w:shd w:val="clear" w:color="auto" w:fill="BFBFBF"/>
          </w:tcPr>
          <w:p>
            <w:pPr>
              <w:pStyle w:val="6"/>
              <w:jc w:val="both"/>
              <w:rPr>
                <w:rFonts w:ascii="Times New Roman" w:hAnsi="Times New Roman" w:eastAsia="Calibri" w:cs="Times New Roman"/>
                <w:b/>
                <w:bCs/>
              </w:rPr>
            </w:pPr>
            <w:r>
              <w:rPr>
                <w:rFonts w:ascii="Times New Roman" w:hAnsi="Times New Roman" w:eastAsia="Calibri" w:cs="Times New Roman"/>
                <w:b/>
                <w:bCs/>
              </w:rPr>
              <w:t>Názov</w:t>
            </w:r>
          </w:p>
        </w:tc>
        <w:tc>
          <w:tcPr>
            <w:tcW w:w="2685" w:type="dxa"/>
            <w:tcBorders>
              <w:top w:val="outset" w:color="auto" w:sz="6" w:space="0"/>
              <w:left w:val="outset" w:color="auto" w:sz="6" w:space="0"/>
              <w:bottom w:val="outset" w:color="auto" w:sz="6" w:space="0"/>
              <w:right w:val="outset" w:color="auto" w:sz="6" w:space="0"/>
            </w:tcBorders>
            <w:shd w:val="clear" w:color="auto" w:fill="BFBFBF"/>
          </w:tcPr>
          <w:p>
            <w:pPr>
              <w:pStyle w:val="6"/>
              <w:jc w:val="center"/>
              <w:rPr>
                <w:rFonts w:ascii="Times New Roman" w:hAnsi="Times New Roman" w:eastAsia="Calibri" w:cs="Times New Roman"/>
                <w:b/>
                <w:bCs/>
              </w:rPr>
            </w:pPr>
            <w:r>
              <w:rPr>
                <w:rFonts w:ascii="Times New Roman" w:hAnsi="Times New Roman" w:eastAsia="Calibri" w:cs="Times New Roman"/>
                <w:b/>
                <w:bCs/>
              </w:rPr>
              <w:t>Skutočnosť k 31.12.2021</w:t>
            </w:r>
          </w:p>
        </w:tc>
        <w:tc>
          <w:tcPr>
            <w:tcW w:w="2835" w:type="dxa"/>
            <w:tcBorders>
              <w:top w:val="outset" w:color="auto" w:sz="6" w:space="0"/>
              <w:left w:val="outset" w:color="auto" w:sz="6" w:space="0"/>
              <w:bottom w:val="outset" w:color="auto" w:sz="6" w:space="0"/>
              <w:right w:val="outset" w:color="auto" w:sz="6" w:space="0"/>
            </w:tcBorders>
            <w:shd w:val="clear" w:color="auto" w:fill="BFBFBF"/>
          </w:tcPr>
          <w:p>
            <w:pPr>
              <w:pStyle w:val="6"/>
              <w:jc w:val="center"/>
              <w:rPr>
                <w:rFonts w:ascii="Times New Roman" w:hAnsi="Times New Roman" w:eastAsia="Calibri" w:cs="Times New Roman"/>
                <w:b/>
                <w:bCs/>
              </w:rPr>
            </w:pPr>
            <w:r>
              <w:rPr>
                <w:rFonts w:ascii="Times New Roman" w:hAnsi="Times New Roman" w:eastAsia="Calibri" w:cs="Times New Roman"/>
                <w:b/>
                <w:bCs/>
              </w:rPr>
              <w:t>Skutočnosť k 31.12.2022</w:t>
            </w:r>
          </w:p>
        </w:tc>
      </w:tr>
      <w:tr>
        <w:tblPrEx>
          <w:tblCellMar>
            <w:top w:w="15" w:type="dxa"/>
            <w:left w:w="15" w:type="dxa"/>
            <w:bottom w:w="15" w:type="dxa"/>
            <w:right w:w="15" w:type="dxa"/>
          </w:tblCellMar>
        </w:tblPrEx>
        <w:tc>
          <w:tcPr>
            <w:tcW w:w="3495" w:type="dxa"/>
            <w:tcBorders>
              <w:top w:val="nil"/>
              <w:left w:val="outset" w:color="auto" w:sz="6" w:space="0"/>
              <w:bottom w:val="outset" w:color="auto" w:sz="6" w:space="0"/>
              <w:right w:val="outset" w:color="auto" w:sz="6" w:space="0"/>
            </w:tcBorders>
            <w:shd w:val="clear" w:color="auto" w:fill="BFBFBF"/>
          </w:tcPr>
          <w:p>
            <w:pPr>
              <w:pStyle w:val="6"/>
              <w:jc w:val="both"/>
              <w:rPr>
                <w:rFonts w:ascii="Times New Roman" w:hAnsi="Times New Roman" w:eastAsia="Calibri" w:cs="Times New Roman"/>
              </w:rPr>
            </w:pPr>
            <w:r>
              <w:rPr>
                <w:rFonts w:ascii="Times New Roman" w:hAnsi="Times New Roman" w:eastAsia="Calibri" w:cs="Times New Roman"/>
              </w:rPr>
              <w:t>Vlastné imanie a záväzky spolu</w:t>
            </w:r>
          </w:p>
        </w:tc>
        <w:tc>
          <w:tcPr>
            <w:tcW w:w="2685" w:type="dxa"/>
            <w:tcBorders>
              <w:top w:val="nil"/>
              <w:left w:val="outset" w:color="auto" w:sz="6" w:space="0"/>
              <w:bottom w:val="outset" w:color="auto" w:sz="6" w:space="0"/>
              <w:right w:val="outset" w:color="auto" w:sz="6" w:space="0"/>
            </w:tcBorders>
            <w:shd w:val="clear" w:color="auto" w:fill="BFBFBF"/>
          </w:tcPr>
          <w:p>
            <w:pPr>
              <w:pStyle w:val="6"/>
              <w:jc w:val="center"/>
              <w:rPr>
                <w:rFonts w:ascii="Times New Roman" w:hAnsi="Times New Roman" w:eastAsia="Calibri" w:cs="Times New Roman"/>
              </w:rPr>
            </w:pPr>
            <w:r>
              <w:rPr>
                <w:rFonts w:ascii="Times New Roman" w:hAnsi="Times New Roman" w:eastAsia="Calibri" w:cs="Times New Roman"/>
              </w:rPr>
              <w:t>976 026,93</w:t>
            </w:r>
          </w:p>
        </w:tc>
        <w:tc>
          <w:tcPr>
            <w:tcW w:w="2835" w:type="dxa"/>
            <w:tcBorders>
              <w:top w:val="nil"/>
              <w:left w:val="outset" w:color="auto" w:sz="6" w:space="0"/>
              <w:bottom w:val="outset" w:color="auto" w:sz="6" w:space="0"/>
              <w:right w:val="outset" w:color="auto" w:sz="6" w:space="0"/>
            </w:tcBorders>
            <w:shd w:val="clear" w:color="auto" w:fill="BFBFBF"/>
          </w:tcPr>
          <w:p>
            <w:pPr>
              <w:pStyle w:val="6"/>
              <w:jc w:val="center"/>
              <w:rPr>
                <w:rFonts w:ascii="Times New Roman" w:hAnsi="Times New Roman" w:eastAsia="Calibri" w:cs="Times New Roman"/>
              </w:rPr>
            </w:pPr>
            <w:r>
              <w:rPr>
                <w:rFonts w:ascii="Times New Roman" w:hAnsi="Times New Roman" w:eastAsia="Calibri" w:cs="Times New Roman"/>
              </w:rPr>
              <w:t>1 086 787,53</w:t>
            </w:r>
          </w:p>
        </w:tc>
      </w:tr>
      <w:tr>
        <w:tblPrEx>
          <w:tblCellMar>
            <w:top w:w="15" w:type="dxa"/>
            <w:left w:w="15" w:type="dxa"/>
            <w:bottom w:w="15" w:type="dxa"/>
            <w:right w:w="15" w:type="dxa"/>
          </w:tblCellMar>
        </w:tblPrEx>
        <w:tc>
          <w:tcPr>
            <w:tcW w:w="3495" w:type="dxa"/>
            <w:tcBorders>
              <w:top w:val="nil"/>
              <w:left w:val="outset" w:color="auto" w:sz="6" w:space="0"/>
              <w:bottom w:val="outset" w:color="auto" w:sz="6" w:space="0"/>
              <w:right w:val="outset" w:color="auto" w:sz="6" w:space="0"/>
            </w:tcBorders>
          </w:tcPr>
          <w:p>
            <w:pPr>
              <w:pStyle w:val="6"/>
              <w:jc w:val="both"/>
              <w:rPr>
                <w:rFonts w:ascii="Times New Roman" w:hAnsi="Times New Roman" w:eastAsia="Calibri" w:cs="Times New Roman"/>
              </w:rPr>
            </w:pPr>
            <w:r>
              <w:rPr>
                <w:rFonts w:ascii="Times New Roman" w:hAnsi="Times New Roman" w:eastAsia="Calibri" w:cs="Times New Roman"/>
              </w:rPr>
              <w:t>Vlastné imanie</w:t>
            </w:r>
          </w:p>
        </w:tc>
        <w:tc>
          <w:tcPr>
            <w:tcW w:w="2685"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rPr>
            </w:pPr>
            <w:r>
              <w:rPr>
                <w:rFonts w:ascii="Times New Roman" w:hAnsi="Times New Roman" w:eastAsia="Calibri" w:cs="Times New Roman"/>
              </w:rPr>
              <w:t>341 343,37</w:t>
            </w:r>
          </w:p>
        </w:tc>
        <w:tc>
          <w:tcPr>
            <w:tcW w:w="2835"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rPr>
            </w:pPr>
            <w:r>
              <w:rPr>
                <w:rFonts w:ascii="Times New Roman" w:hAnsi="Times New Roman" w:eastAsia="Calibri" w:cs="Times New Roman"/>
              </w:rPr>
              <w:t>333 378,10</w:t>
            </w:r>
          </w:p>
        </w:tc>
      </w:tr>
      <w:tr>
        <w:tblPrEx>
          <w:tblCellMar>
            <w:top w:w="15" w:type="dxa"/>
            <w:left w:w="15" w:type="dxa"/>
            <w:bottom w:w="15" w:type="dxa"/>
            <w:right w:w="15" w:type="dxa"/>
          </w:tblCellMar>
        </w:tblPrEx>
        <w:tc>
          <w:tcPr>
            <w:tcW w:w="3495" w:type="dxa"/>
            <w:tcBorders>
              <w:top w:val="nil"/>
              <w:left w:val="outset" w:color="auto" w:sz="6" w:space="0"/>
              <w:bottom w:val="outset" w:color="auto" w:sz="6" w:space="0"/>
              <w:right w:val="outset" w:color="auto" w:sz="6" w:space="0"/>
            </w:tcBorders>
          </w:tcPr>
          <w:p>
            <w:pPr>
              <w:pStyle w:val="6"/>
              <w:jc w:val="both"/>
              <w:rPr>
                <w:rFonts w:ascii="Times New Roman" w:hAnsi="Times New Roman" w:eastAsia="Calibri" w:cs="Times New Roman"/>
              </w:rPr>
            </w:pPr>
            <w:r>
              <w:rPr>
                <w:rFonts w:ascii="Times New Roman" w:hAnsi="Times New Roman" w:eastAsia="Calibri" w:cs="Times New Roman"/>
              </w:rPr>
              <w:t>Z toho:</w:t>
            </w:r>
          </w:p>
        </w:tc>
        <w:tc>
          <w:tcPr>
            <w:tcW w:w="2685"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rPr>
            </w:pPr>
          </w:p>
        </w:tc>
        <w:tc>
          <w:tcPr>
            <w:tcW w:w="2835"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rPr>
            </w:pPr>
          </w:p>
        </w:tc>
      </w:tr>
      <w:tr>
        <w:tblPrEx>
          <w:tblCellMar>
            <w:top w:w="15" w:type="dxa"/>
            <w:left w:w="15" w:type="dxa"/>
            <w:bottom w:w="15" w:type="dxa"/>
            <w:right w:w="15" w:type="dxa"/>
          </w:tblCellMar>
        </w:tblPrEx>
        <w:tc>
          <w:tcPr>
            <w:tcW w:w="3495" w:type="dxa"/>
            <w:tcBorders>
              <w:top w:val="nil"/>
              <w:left w:val="outset" w:color="auto" w:sz="6" w:space="0"/>
              <w:bottom w:val="outset" w:color="auto" w:sz="6" w:space="0"/>
              <w:right w:val="outset" w:color="auto" w:sz="6" w:space="0"/>
            </w:tcBorders>
          </w:tcPr>
          <w:p>
            <w:pPr>
              <w:pStyle w:val="6"/>
              <w:jc w:val="both"/>
              <w:rPr>
                <w:rFonts w:ascii="Times New Roman" w:hAnsi="Times New Roman" w:eastAsia="Calibri" w:cs="Times New Roman"/>
              </w:rPr>
            </w:pPr>
            <w:r>
              <w:rPr>
                <w:rFonts w:ascii="Times New Roman" w:hAnsi="Times New Roman" w:eastAsia="Calibri" w:cs="Times New Roman"/>
              </w:rPr>
              <w:t>Oceňovacie rozdiely</w:t>
            </w:r>
          </w:p>
        </w:tc>
        <w:tc>
          <w:tcPr>
            <w:tcW w:w="2685"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rPr>
            </w:pPr>
            <w:r>
              <w:rPr>
                <w:rFonts w:ascii="Times New Roman" w:hAnsi="Times New Roman" w:eastAsia="Calibri" w:cs="Times New Roman"/>
              </w:rPr>
              <w:t>0,00</w:t>
            </w:r>
          </w:p>
        </w:tc>
        <w:tc>
          <w:tcPr>
            <w:tcW w:w="2835"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rPr>
            </w:pPr>
            <w:r>
              <w:rPr>
                <w:rFonts w:ascii="Times New Roman" w:hAnsi="Times New Roman" w:eastAsia="Calibri" w:cs="Times New Roman"/>
              </w:rPr>
              <w:t>0,00</w:t>
            </w:r>
          </w:p>
        </w:tc>
      </w:tr>
      <w:tr>
        <w:tblPrEx>
          <w:tblCellMar>
            <w:top w:w="15" w:type="dxa"/>
            <w:left w:w="15" w:type="dxa"/>
            <w:bottom w:w="15" w:type="dxa"/>
            <w:right w:w="15" w:type="dxa"/>
          </w:tblCellMar>
        </w:tblPrEx>
        <w:tc>
          <w:tcPr>
            <w:tcW w:w="3495" w:type="dxa"/>
            <w:tcBorders>
              <w:top w:val="nil"/>
              <w:left w:val="outset" w:color="auto" w:sz="6" w:space="0"/>
              <w:bottom w:val="outset" w:color="auto" w:sz="6" w:space="0"/>
              <w:right w:val="outset" w:color="auto" w:sz="6" w:space="0"/>
            </w:tcBorders>
          </w:tcPr>
          <w:p>
            <w:pPr>
              <w:pStyle w:val="6"/>
              <w:jc w:val="both"/>
              <w:rPr>
                <w:rFonts w:ascii="Times New Roman" w:hAnsi="Times New Roman" w:eastAsia="Calibri" w:cs="Times New Roman"/>
              </w:rPr>
            </w:pPr>
            <w:r>
              <w:rPr>
                <w:rFonts w:ascii="Times New Roman" w:hAnsi="Times New Roman" w:eastAsia="Calibri" w:cs="Times New Roman"/>
              </w:rPr>
              <w:t>Fondy</w:t>
            </w:r>
          </w:p>
        </w:tc>
        <w:tc>
          <w:tcPr>
            <w:tcW w:w="2685"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rPr>
            </w:pPr>
            <w:r>
              <w:rPr>
                <w:rFonts w:ascii="Times New Roman" w:hAnsi="Times New Roman" w:eastAsia="Calibri" w:cs="Times New Roman"/>
              </w:rPr>
              <w:t>0,00</w:t>
            </w:r>
          </w:p>
        </w:tc>
        <w:tc>
          <w:tcPr>
            <w:tcW w:w="2835"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rPr>
            </w:pPr>
            <w:r>
              <w:rPr>
                <w:rFonts w:ascii="Times New Roman" w:hAnsi="Times New Roman" w:eastAsia="Calibri" w:cs="Times New Roman"/>
              </w:rPr>
              <w:t>0,00</w:t>
            </w:r>
          </w:p>
        </w:tc>
      </w:tr>
      <w:tr>
        <w:tblPrEx>
          <w:tblCellMar>
            <w:top w:w="15" w:type="dxa"/>
            <w:left w:w="15" w:type="dxa"/>
            <w:bottom w:w="15" w:type="dxa"/>
            <w:right w:w="15" w:type="dxa"/>
          </w:tblCellMar>
        </w:tblPrEx>
        <w:tc>
          <w:tcPr>
            <w:tcW w:w="3495" w:type="dxa"/>
            <w:tcBorders>
              <w:top w:val="nil"/>
              <w:left w:val="outset" w:color="auto" w:sz="6" w:space="0"/>
              <w:bottom w:val="outset" w:color="auto" w:sz="6" w:space="0"/>
              <w:right w:val="outset" w:color="auto" w:sz="6" w:space="0"/>
            </w:tcBorders>
          </w:tcPr>
          <w:p>
            <w:pPr>
              <w:pStyle w:val="6"/>
              <w:jc w:val="both"/>
              <w:rPr>
                <w:rFonts w:ascii="Times New Roman" w:hAnsi="Times New Roman" w:eastAsia="Calibri" w:cs="Times New Roman"/>
              </w:rPr>
            </w:pPr>
            <w:r>
              <w:rPr>
                <w:rFonts w:ascii="Times New Roman" w:hAnsi="Times New Roman" w:eastAsia="Calibri" w:cs="Times New Roman"/>
              </w:rPr>
              <w:t xml:space="preserve">Výsledok hospodárenia </w:t>
            </w:r>
          </w:p>
        </w:tc>
        <w:tc>
          <w:tcPr>
            <w:tcW w:w="2685"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rPr>
            </w:pPr>
            <w:r>
              <w:rPr>
                <w:rFonts w:ascii="Times New Roman" w:hAnsi="Times New Roman" w:eastAsia="Calibri" w:cs="Times New Roman"/>
              </w:rPr>
              <w:t>341 434,37</w:t>
            </w:r>
          </w:p>
        </w:tc>
        <w:tc>
          <w:tcPr>
            <w:tcW w:w="2835"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rPr>
            </w:pPr>
            <w:r>
              <w:rPr>
                <w:rFonts w:ascii="Times New Roman" w:hAnsi="Times New Roman" w:eastAsia="Calibri" w:cs="Times New Roman"/>
              </w:rPr>
              <w:t>333 378,10</w:t>
            </w:r>
          </w:p>
        </w:tc>
      </w:tr>
      <w:tr>
        <w:tblPrEx>
          <w:tblCellMar>
            <w:top w:w="15" w:type="dxa"/>
            <w:left w:w="15" w:type="dxa"/>
            <w:bottom w:w="15" w:type="dxa"/>
            <w:right w:w="15" w:type="dxa"/>
          </w:tblCellMar>
        </w:tblPrEx>
        <w:tc>
          <w:tcPr>
            <w:tcW w:w="3495" w:type="dxa"/>
            <w:tcBorders>
              <w:top w:val="nil"/>
              <w:left w:val="outset" w:color="auto" w:sz="6" w:space="0"/>
              <w:bottom w:val="outset" w:color="auto" w:sz="6" w:space="0"/>
              <w:right w:val="outset" w:color="auto" w:sz="6" w:space="0"/>
            </w:tcBorders>
          </w:tcPr>
          <w:p>
            <w:pPr>
              <w:pStyle w:val="6"/>
              <w:jc w:val="both"/>
              <w:rPr>
                <w:rFonts w:ascii="Times New Roman" w:hAnsi="Times New Roman" w:eastAsia="Calibri" w:cs="Times New Roman"/>
              </w:rPr>
            </w:pPr>
            <w:r>
              <w:rPr>
                <w:rFonts w:ascii="Times New Roman" w:hAnsi="Times New Roman" w:eastAsia="Calibri" w:cs="Times New Roman"/>
              </w:rPr>
              <w:t xml:space="preserve">Záväzky </w:t>
            </w:r>
          </w:p>
        </w:tc>
        <w:tc>
          <w:tcPr>
            <w:tcW w:w="2685"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rPr>
            </w:pPr>
            <w:r>
              <w:rPr>
                <w:rFonts w:ascii="Times New Roman" w:hAnsi="Times New Roman" w:eastAsia="Calibri" w:cs="Times New Roman"/>
              </w:rPr>
              <w:t>5 716,74</w:t>
            </w:r>
          </w:p>
        </w:tc>
        <w:tc>
          <w:tcPr>
            <w:tcW w:w="2835"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rPr>
            </w:pPr>
            <w:r>
              <w:rPr>
                <w:rFonts w:ascii="Times New Roman" w:hAnsi="Times New Roman" w:eastAsia="Calibri" w:cs="Times New Roman"/>
              </w:rPr>
              <w:t>138 835,21</w:t>
            </w:r>
          </w:p>
        </w:tc>
      </w:tr>
      <w:tr>
        <w:tblPrEx>
          <w:tblCellMar>
            <w:top w:w="15" w:type="dxa"/>
            <w:left w:w="15" w:type="dxa"/>
            <w:bottom w:w="15" w:type="dxa"/>
            <w:right w:w="15" w:type="dxa"/>
          </w:tblCellMar>
        </w:tblPrEx>
        <w:tc>
          <w:tcPr>
            <w:tcW w:w="3495" w:type="dxa"/>
            <w:tcBorders>
              <w:top w:val="nil"/>
              <w:left w:val="outset" w:color="auto" w:sz="6" w:space="0"/>
              <w:bottom w:val="outset" w:color="auto" w:sz="6" w:space="0"/>
              <w:right w:val="outset" w:color="auto" w:sz="6" w:space="0"/>
            </w:tcBorders>
          </w:tcPr>
          <w:p>
            <w:pPr>
              <w:pStyle w:val="6"/>
              <w:jc w:val="both"/>
              <w:rPr>
                <w:rFonts w:ascii="Times New Roman" w:hAnsi="Times New Roman" w:eastAsia="Calibri" w:cs="Times New Roman"/>
              </w:rPr>
            </w:pPr>
            <w:r>
              <w:rPr>
                <w:rFonts w:ascii="Times New Roman" w:hAnsi="Times New Roman" w:eastAsia="Calibri" w:cs="Times New Roman"/>
              </w:rPr>
              <w:t>Z toho:</w:t>
            </w:r>
          </w:p>
        </w:tc>
        <w:tc>
          <w:tcPr>
            <w:tcW w:w="2685"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rPr>
            </w:pPr>
          </w:p>
        </w:tc>
        <w:tc>
          <w:tcPr>
            <w:tcW w:w="2835"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rPr>
            </w:pPr>
          </w:p>
        </w:tc>
      </w:tr>
      <w:tr>
        <w:tblPrEx>
          <w:tblCellMar>
            <w:top w:w="15" w:type="dxa"/>
            <w:left w:w="15" w:type="dxa"/>
            <w:bottom w:w="15" w:type="dxa"/>
            <w:right w:w="15" w:type="dxa"/>
          </w:tblCellMar>
        </w:tblPrEx>
        <w:tc>
          <w:tcPr>
            <w:tcW w:w="3495" w:type="dxa"/>
            <w:tcBorders>
              <w:top w:val="nil"/>
              <w:left w:val="outset" w:color="auto" w:sz="6" w:space="0"/>
              <w:bottom w:val="outset" w:color="auto" w:sz="6" w:space="0"/>
              <w:right w:val="outset" w:color="auto" w:sz="6" w:space="0"/>
            </w:tcBorders>
          </w:tcPr>
          <w:p>
            <w:pPr>
              <w:pStyle w:val="6"/>
              <w:jc w:val="both"/>
              <w:rPr>
                <w:rFonts w:ascii="Times New Roman" w:hAnsi="Times New Roman" w:eastAsia="Calibri" w:cs="Times New Roman"/>
              </w:rPr>
            </w:pPr>
            <w:r>
              <w:rPr>
                <w:rFonts w:ascii="Times New Roman" w:hAnsi="Times New Roman" w:eastAsia="Calibri" w:cs="Times New Roman"/>
              </w:rPr>
              <w:t xml:space="preserve">Rezervy </w:t>
            </w:r>
          </w:p>
        </w:tc>
        <w:tc>
          <w:tcPr>
            <w:tcW w:w="2685"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rPr>
            </w:pPr>
            <w:r>
              <w:rPr>
                <w:rFonts w:ascii="Times New Roman" w:hAnsi="Times New Roman" w:eastAsia="Calibri" w:cs="Times New Roman"/>
              </w:rPr>
              <w:t>500</w:t>
            </w:r>
          </w:p>
        </w:tc>
        <w:tc>
          <w:tcPr>
            <w:tcW w:w="2835"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rPr>
            </w:pPr>
            <w:r>
              <w:rPr>
                <w:rFonts w:ascii="Times New Roman" w:hAnsi="Times New Roman" w:eastAsia="Calibri" w:cs="Times New Roman"/>
              </w:rPr>
              <w:t>500</w:t>
            </w:r>
          </w:p>
        </w:tc>
      </w:tr>
      <w:tr>
        <w:tblPrEx>
          <w:tblCellMar>
            <w:top w:w="15" w:type="dxa"/>
            <w:left w:w="15" w:type="dxa"/>
            <w:bottom w:w="15" w:type="dxa"/>
            <w:right w:w="15" w:type="dxa"/>
          </w:tblCellMar>
        </w:tblPrEx>
        <w:tc>
          <w:tcPr>
            <w:tcW w:w="3495" w:type="dxa"/>
            <w:tcBorders>
              <w:top w:val="nil"/>
              <w:left w:val="outset" w:color="auto" w:sz="6" w:space="0"/>
              <w:bottom w:val="outset" w:color="auto" w:sz="6" w:space="0"/>
              <w:right w:val="outset" w:color="auto" w:sz="6" w:space="0"/>
            </w:tcBorders>
          </w:tcPr>
          <w:p>
            <w:pPr>
              <w:pStyle w:val="6"/>
              <w:jc w:val="both"/>
              <w:rPr>
                <w:rFonts w:ascii="Times New Roman" w:hAnsi="Times New Roman" w:eastAsia="Calibri" w:cs="Times New Roman"/>
              </w:rPr>
            </w:pPr>
            <w:r>
              <w:rPr>
                <w:rFonts w:ascii="Times New Roman" w:hAnsi="Times New Roman" w:eastAsia="Calibri" w:cs="Times New Roman"/>
              </w:rPr>
              <w:t>Zúčtovanie medzi sub.VS</w:t>
            </w:r>
          </w:p>
        </w:tc>
        <w:tc>
          <w:tcPr>
            <w:tcW w:w="2685"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rPr>
            </w:pPr>
            <w:r>
              <w:rPr>
                <w:rFonts w:ascii="Times New Roman" w:hAnsi="Times New Roman" w:eastAsia="Calibri" w:cs="Times New Roman"/>
              </w:rPr>
              <w:t>0,00</w:t>
            </w:r>
          </w:p>
        </w:tc>
        <w:tc>
          <w:tcPr>
            <w:tcW w:w="2835"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rPr>
            </w:pPr>
            <w:r>
              <w:rPr>
                <w:rFonts w:ascii="Times New Roman" w:hAnsi="Times New Roman" w:eastAsia="Calibri" w:cs="Times New Roman"/>
              </w:rPr>
              <w:t>663,87</w:t>
            </w:r>
          </w:p>
        </w:tc>
      </w:tr>
      <w:tr>
        <w:tblPrEx>
          <w:tblCellMar>
            <w:top w:w="15" w:type="dxa"/>
            <w:left w:w="15" w:type="dxa"/>
            <w:bottom w:w="15" w:type="dxa"/>
            <w:right w:w="15" w:type="dxa"/>
          </w:tblCellMar>
        </w:tblPrEx>
        <w:tc>
          <w:tcPr>
            <w:tcW w:w="3495" w:type="dxa"/>
            <w:tcBorders>
              <w:top w:val="nil"/>
              <w:left w:val="outset" w:color="auto" w:sz="6" w:space="0"/>
              <w:bottom w:val="outset" w:color="auto" w:sz="6" w:space="0"/>
              <w:right w:val="outset" w:color="auto" w:sz="6" w:space="0"/>
            </w:tcBorders>
          </w:tcPr>
          <w:p>
            <w:pPr>
              <w:pStyle w:val="6"/>
              <w:jc w:val="both"/>
              <w:rPr>
                <w:rFonts w:ascii="Times New Roman" w:hAnsi="Times New Roman" w:eastAsia="Calibri" w:cs="Times New Roman"/>
              </w:rPr>
            </w:pPr>
            <w:r>
              <w:rPr>
                <w:rFonts w:ascii="Times New Roman" w:hAnsi="Times New Roman" w:eastAsia="Calibri" w:cs="Times New Roman"/>
              </w:rPr>
              <w:t>Dlhodobé záväzky</w:t>
            </w:r>
          </w:p>
        </w:tc>
        <w:tc>
          <w:tcPr>
            <w:tcW w:w="2685"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rPr>
            </w:pPr>
            <w:r>
              <w:rPr>
                <w:rFonts w:ascii="Times New Roman" w:hAnsi="Times New Roman" w:eastAsia="Calibri" w:cs="Times New Roman"/>
              </w:rPr>
              <w:t>580,34</w:t>
            </w:r>
          </w:p>
        </w:tc>
        <w:tc>
          <w:tcPr>
            <w:tcW w:w="2835"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rPr>
            </w:pPr>
            <w:r>
              <w:rPr>
                <w:rFonts w:ascii="Times New Roman" w:hAnsi="Times New Roman" w:eastAsia="Calibri" w:cs="Times New Roman"/>
              </w:rPr>
              <w:t>853,19</w:t>
            </w:r>
          </w:p>
        </w:tc>
      </w:tr>
      <w:tr>
        <w:tblPrEx>
          <w:tblCellMar>
            <w:top w:w="15" w:type="dxa"/>
            <w:left w:w="15" w:type="dxa"/>
            <w:bottom w:w="15" w:type="dxa"/>
            <w:right w:w="15" w:type="dxa"/>
          </w:tblCellMar>
        </w:tblPrEx>
        <w:tc>
          <w:tcPr>
            <w:tcW w:w="3495" w:type="dxa"/>
            <w:tcBorders>
              <w:top w:val="nil"/>
              <w:left w:val="outset" w:color="auto" w:sz="6" w:space="0"/>
              <w:bottom w:val="outset" w:color="auto" w:sz="6" w:space="0"/>
              <w:right w:val="outset" w:color="auto" w:sz="6" w:space="0"/>
            </w:tcBorders>
          </w:tcPr>
          <w:p>
            <w:pPr>
              <w:pStyle w:val="6"/>
              <w:jc w:val="both"/>
              <w:rPr>
                <w:rFonts w:ascii="Times New Roman" w:hAnsi="Times New Roman" w:eastAsia="Calibri" w:cs="Times New Roman"/>
              </w:rPr>
            </w:pPr>
            <w:r>
              <w:rPr>
                <w:rFonts w:ascii="Times New Roman" w:hAnsi="Times New Roman" w:eastAsia="Calibri" w:cs="Times New Roman"/>
              </w:rPr>
              <w:t>Krátkodobé záväzky</w:t>
            </w:r>
          </w:p>
        </w:tc>
        <w:tc>
          <w:tcPr>
            <w:tcW w:w="2685"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rPr>
            </w:pPr>
            <w:r>
              <w:rPr>
                <w:rFonts w:ascii="Times New Roman" w:hAnsi="Times New Roman" w:eastAsia="Calibri" w:cs="Times New Roman"/>
              </w:rPr>
              <w:t>4 636,40</w:t>
            </w:r>
          </w:p>
        </w:tc>
        <w:tc>
          <w:tcPr>
            <w:tcW w:w="2835"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rPr>
            </w:pPr>
            <w:r>
              <w:rPr>
                <w:rFonts w:ascii="Times New Roman" w:hAnsi="Times New Roman" w:eastAsia="Calibri" w:cs="Times New Roman"/>
              </w:rPr>
              <w:t>64 331,35</w:t>
            </w:r>
          </w:p>
        </w:tc>
      </w:tr>
      <w:tr>
        <w:tblPrEx>
          <w:tblCellMar>
            <w:top w:w="15" w:type="dxa"/>
            <w:left w:w="15" w:type="dxa"/>
            <w:bottom w:w="15" w:type="dxa"/>
            <w:right w:w="15" w:type="dxa"/>
          </w:tblCellMar>
        </w:tblPrEx>
        <w:tc>
          <w:tcPr>
            <w:tcW w:w="3495" w:type="dxa"/>
            <w:tcBorders>
              <w:top w:val="nil"/>
              <w:left w:val="outset" w:color="auto" w:sz="6" w:space="0"/>
              <w:bottom w:val="outset" w:color="auto" w:sz="6" w:space="0"/>
              <w:right w:val="outset" w:color="auto" w:sz="6" w:space="0"/>
            </w:tcBorders>
          </w:tcPr>
          <w:p>
            <w:pPr>
              <w:pStyle w:val="6"/>
              <w:jc w:val="both"/>
              <w:rPr>
                <w:rFonts w:ascii="Times New Roman" w:hAnsi="Times New Roman" w:eastAsia="Calibri" w:cs="Times New Roman"/>
              </w:rPr>
            </w:pPr>
            <w:r>
              <w:rPr>
                <w:rFonts w:ascii="Times New Roman" w:hAnsi="Times New Roman" w:eastAsia="Calibri" w:cs="Times New Roman"/>
              </w:rPr>
              <w:t>Bankové úvery</w:t>
            </w:r>
          </w:p>
        </w:tc>
        <w:tc>
          <w:tcPr>
            <w:tcW w:w="2685"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rPr>
            </w:pPr>
            <w:r>
              <w:rPr>
                <w:rFonts w:ascii="Times New Roman" w:hAnsi="Times New Roman" w:eastAsia="Calibri" w:cs="Times New Roman"/>
              </w:rPr>
              <w:t>0,00</w:t>
            </w:r>
          </w:p>
        </w:tc>
        <w:tc>
          <w:tcPr>
            <w:tcW w:w="2835"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rPr>
            </w:pPr>
            <w:r>
              <w:rPr>
                <w:rFonts w:ascii="Times New Roman" w:hAnsi="Times New Roman" w:eastAsia="Calibri" w:cs="Times New Roman"/>
              </w:rPr>
              <w:t>72 486,80</w:t>
            </w:r>
          </w:p>
        </w:tc>
      </w:tr>
      <w:tr>
        <w:tblPrEx>
          <w:tblCellMar>
            <w:top w:w="15" w:type="dxa"/>
            <w:left w:w="15" w:type="dxa"/>
            <w:bottom w:w="15" w:type="dxa"/>
            <w:right w:w="15" w:type="dxa"/>
          </w:tblCellMar>
        </w:tblPrEx>
        <w:tc>
          <w:tcPr>
            <w:tcW w:w="3495" w:type="dxa"/>
            <w:tcBorders>
              <w:top w:val="nil"/>
              <w:left w:val="outset" w:color="auto" w:sz="6" w:space="0"/>
              <w:bottom w:val="outset" w:color="auto" w:sz="6" w:space="0"/>
              <w:right w:val="outset" w:color="auto" w:sz="6" w:space="0"/>
            </w:tcBorders>
          </w:tcPr>
          <w:p>
            <w:pPr>
              <w:pStyle w:val="6"/>
              <w:jc w:val="both"/>
              <w:rPr>
                <w:rFonts w:ascii="Times New Roman" w:hAnsi="Times New Roman" w:eastAsia="Calibri" w:cs="Times New Roman"/>
              </w:rPr>
            </w:pPr>
            <w:r>
              <w:rPr>
                <w:rFonts w:ascii="Times New Roman" w:hAnsi="Times New Roman" w:eastAsia="Calibri" w:cs="Times New Roman"/>
              </w:rPr>
              <w:t>Časové rozlíšenie</w:t>
            </w:r>
          </w:p>
        </w:tc>
        <w:tc>
          <w:tcPr>
            <w:tcW w:w="2685"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rPr>
            </w:pPr>
            <w:r>
              <w:rPr>
                <w:rFonts w:ascii="Times New Roman" w:hAnsi="Times New Roman" w:eastAsia="Calibri" w:cs="Times New Roman"/>
              </w:rPr>
              <w:t>628 966,82</w:t>
            </w:r>
          </w:p>
        </w:tc>
        <w:tc>
          <w:tcPr>
            <w:tcW w:w="2835"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rPr>
            </w:pPr>
            <w:r>
              <w:rPr>
                <w:rFonts w:ascii="Times New Roman" w:hAnsi="Times New Roman" w:eastAsia="Calibri" w:cs="Times New Roman"/>
              </w:rPr>
              <w:t>614 574,22</w:t>
            </w:r>
          </w:p>
        </w:tc>
      </w:tr>
    </w:tbl>
    <w:p>
      <w:pPr>
        <w:pStyle w:val="6"/>
        <w:jc w:val="both"/>
        <w:rPr>
          <w:rFonts w:ascii="Times New Roman" w:hAnsi="Times New Roman" w:eastAsia="Calibri" w:cs="Times New Roman"/>
          <w:b/>
          <w:bCs/>
        </w:rPr>
      </w:pPr>
    </w:p>
    <w:p>
      <w:pPr>
        <w:pStyle w:val="6"/>
        <w:jc w:val="both"/>
        <w:rPr>
          <w:rFonts w:ascii="Times New Roman" w:hAnsi="Times New Roman" w:eastAsia="Calibri" w:cs="Times New Roman"/>
          <w:b/>
          <w:bCs/>
        </w:rPr>
      </w:pPr>
    </w:p>
    <w:p>
      <w:pPr>
        <w:pStyle w:val="6"/>
        <w:jc w:val="both"/>
        <w:rPr>
          <w:rFonts w:ascii="Times New Roman" w:hAnsi="Times New Roman" w:eastAsia="Calibri" w:cs="Times New Roman"/>
          <w:b/>
          <w:bCs/>
        </w:rPr>
      </w:pPr>
      <w:r>
        <w:rPr>
          <w:rFonts w:ascii="Times New Roman" w:hAnsi="Times New Roman" w:eastAsia="Calibri" w:cs="Times New Roman"/>
          <w:b/>
          <w:bCs/>
        </w:rPr>
        <w:t>7.3.Pohľadávky</w:t>
      </w:r>
    </w:p>
    <w:tbl>
      <w:tblPr>
        <w:tblStyle w:val="14"/>
        <w:tblW w:w="0" w:type="auto"/>
        <w:tblInd w:w="0" w:type="dxa"/>
        <w:tblLayout w:type="autofit"/>
        <w:tblCellMar>
          <w:top w:w="15" w:type="dxa"/>
          <w:left w:w="15" w:type="dxa"/>
          <w:bottom w:w="15" w:type="dxa"/>
          <w:right w:w="15" w:type="dxa"/>
        </w:tblCellMar>
      </w:tblPr>
      <w:tblGrid>
        <w:gridCol w:w="3255"/>
        <w:gridCol w:w="2775"/>
        <w:gridCol w:w="3015"/>
      </w:tblGrid>
      <w:tr>
        <w:tblPrEx>
          <w:tblCellMar>
            <w:top w:w="15" w:type="dxa"/>
            <w:left w:w="15" w:type="dxa"/>
            <w:bottom w:w="15" w:type="dxa"/>
            <w:right w:w="15" w:type="dxa"/>
          </w:tblCellMar>
        </w:tblPrEx>
        <w:tc>
          <w:tcPr>
            <w:tcW w:w="3255" w:type="dxa"/>
            <w:tcBorders>
              <w:top w:val="outset" w:color="auto" w:sz="6" w:space="0"/>
              <w:left w:val="outset" w:color="auto" w:sz="6" w:space="0"/>
              <w:bottom w:val="outset" w:color="auto" w:sz="6" w:space="0"/>
              <w:right w:val="outset" w:color="auto" w:sz="6" w:space="0"/>
            </w:tcBorders>
            <w:shd w:val="clear" w:color="auto" w:fill="BFBFBF"/>
          </w:tcPr>
          <w:p>
            <w:pPr>
              <w:pStyle w:val="6"/>
              <w:jc w:val="both"/>
              <w:rPr>
                <w:rFonts w:ascii="Times New Roman" w:hAnsi="Times New Roman" w:eastAsia="Calibri" w:cs="Times New Roman"/>
                <w:b/>
                <w:bCs/>
              </w:rPr>
            </w:pPr>
          </w:p>
        </w:tc>
        <w:tc>
          <w:tcPr>
            <w:tcW w:w="2775" w:type="dxa"/>
            <w:tcBorders>
              <w:top w:val="outset" w:color="auto" w:sz="6" w:space="0"/>
              <w:left w:val="outset" w:color="auto" w:sz="6" w:space="0"/>
              <w:bottom w:val="outset" w:color="auto" w:sz="6" w:space="0"/>
              <w:right w:val="outset" w:color="auto" w:sz="6" w:space="0"/>
            </w:tcBorders>
            <w:shd w:val="clear" w:color="auto" w:fill="BFBFBF"/>
          </w:tcPr>
          <w:p>
            <w:pPr>
              <w:pStyle w:val="6"/>
              <w:jc w:val="center"/>
              <w:rPr>
                <w:rFonts w:ascii="Times New Roman" w:hAnsi="Times New Roman" w:eastAsia="Calibri" w:cs="Times New Roman"/>
                <w:b/>
                <w:bCs/>
              </w:rPr>
            </w:pPr>
            <w:r>
              <w:rPr>
                <w:rFonts w:ascii="Times New Roman" w:hAnsi="Times New Roman" w:eastAsia="Calibri" w:cs="Times New Roman"/>
                <w:b/>
                <w:bCs/>
              </w:rPr>
              <w:t>Zostatok k 31.12.2021</w:t>
            </w:r>
          </w:p>
        </w:tc>
        <w:tc>
          <w:tcPr>
            <w:tcW w:w="3015" w:type="dxa"/>
            <w:tcBorders>
              <w:top w:val="outset" w:color="auto" w:sz="6" w:space="0"/>
              <w:left w:val="outset" w:color="auto" w:sz="6" w:space="0"/>
              <w:bottom w:val="outset" w:color="auto" w:sz="6" w:space="0"/>
              <w:right w:val="outset" w:color="auto" w:sz="6" w:space="0"/>
            </w:tcBorders>
            <w:shd w:val="clear" w:color="auto" w:fill="BFBFBF"/>
          </w:tcPr>
          <w:p>
            <w:pPr>
              <w:pStyle w:val="6"/>
              <w:jc w:val="center"/>
              <w:rPr>
                <w:rFonts w:ascii="Times New Roman" w:hAnsi="Times New Roman" w:eastAsia="Calibri" w:cs="Times New Roman"/>
                <w:b/>
                <w:bCs/>
              </w:rPr>
            </w:pPr>
            <w:r>
              <w:rPr>
                <w:rFonts w:ascii="Times New Roman" w:hAnsi="Times New Roman" w:eastAsia="Calibri" w:cs="Times New Roman"/>
                <w:b/>
                <w:bCs/>
              </w:rPr>
              <w:t>Zostatok k 31.12.2022</w:t>
            </w:r>
          </w:p>
        </w:tc>
      </w:tr>
      <w:tr>
        <w:tblPrEx>
          <w:tblCellMar>
            <w:top w:w="15" w:type="dxa"/>
            <w:left w:w="15" w:type="dxa"/>
            <w:bottom w:w="15" w:type="dxa"/>
            <w:right w:w="15" w:type="dxa"/>
          </w:tblCellMar>
        </w:tblPrEx>
        <w:tc>
          <w:tcPr>
            <w:tcW w:w="3255" w:type="dxa"/>
            <w:tcBorders>
              <w:top w:val="nil"/>
              <w:left w:val="outset" w:color="auto" w:sz="6" w:space="0"/>
              <w:bottom w:val="outset" w:color="auto" w:sz="6" w:space="0"/>
              <w:right w:val="outset" w:color="auto" w:sz="6" w:space="0"/>
            </w:tcBorders>
          </w:tcPr>
          <w:p>
            <w:pPr>
              <w:pStyle w:val="6"/>
              <w:jc w:val="both"/>
              <w:rPr>
                <w:rFonts w:ascii="Times New Roman" w:hAnsi="Times New Roman" w:eastAsia="Calibri" w:cs="Times New Roman"/>
              </w:rPr>
            </w:pPr>
            <w:r>
              <w:rPr>
                <w:rFonts w:ascii="Times New Roman" w:hAnsi="Times New Roman" w:eastAsia="Calibri" w:cs="Times New Roman"/>
              </w:rPr>
              <w:t>Pohľadávky do lehoty splatnosti</w:t>
            </w:r>
          </w:p>
        </w:tc>
        <w:tc>
          <w:tcPr>
            <w:tcW w:w="2775"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rPr>
            </w:pPr>
            <w:r>
              <w:rPr>
                <w:rFonts w:ascii="Times New Roman" w:hAnsi="Times New Roman" w:eastAsia="Calibri" w:cs="Times New Roman"/>
              </w:rPr>
              <w:t>655,33</w:t>
            </w:r>
          </w:p>
        </w:tc>
        <w:tc>
          <w:tcPr>
            <w:tcW w:w="3015"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rPr>
            </w:pPr>
            <w:r>
              <w:rPr>
                <w:rFonts w:ascii="Times New Roman" w:hAnsi="Times New Roman" w:eastAsia="Calibri" w:cs="Times New Roman"/>
              </w:rPr>
              <w:t>711,63</w:t>
            </w:r>
          </w:p>
        </w:tc>
      </w:tr>
      <w:tr>
        <w:tblPrEx>
          <w:tblCellMar>
            <w:top w:w="15" w:type="dxa"/>
            <w:left w:w="15" w:type="dxa"/>
            <w:bottom w:w="15" w:type="dxa"/>
            <w:right w:w="15" w:type="dxa"/>
          </w:tblCellMar>
        </w:tblPrEx>
        <w:tc>
          <w:tcPr>
            <w:tcW w:w="3255" w:type="dxa"/>
            <w:tcBorders>
              <w:top w:val="nil"/>
              <w:left w:val="outset" w:color="auto" w:sz="6" w:space="0"/>
              <w:bottom w:val="outset" w:color="auto" w:sz="6" w:space="0"/>
              <w:right w:val="outset" w:color="auto" w:sz="6" w:space="0"/>
            </w:tcBorders>
          </w:tcPr>
          <w:p>
            <w:pPr>
              <w:pStyle w:val="6"/>
              <w:jc w:val="both"/>
              <w:rPr>
                <w:rFonts w:ascii="Times New Roman" w:hAnsi="Times New Roman" w:eastAsia="Calibri" w:cs="Times New Roman"/>
              </w:rPr>
            </w:pPr>
            <w:r>
              <w:rPr>
                <w:rFonts w:ascii="Times New Roman" w:hAnsi="Times New Roman" w:eastAsia="Calibri" w:cs="Times New Roman"/>
              </w:rPr>
              <w:t>Pohľadávky po lehote splatnosti</w:t>
            </w:r>
          </w:p>
        </w:tc>
        <w:tc>
          <w:tcPr>
            <w:tcW w:w="2775"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rPr>
            </w:pPr>
            <w:r>
              <w:rPr>
                <w:rFonts w:ascii="Times New Roman" w:hAnsi="Times New Roman" w:eastAsia="Calibri" w:cs="Times New Roman"/>
              </w:rPr>
              <w:t>0</w:t>
            </w:r>
          </w:p>
        </w:tc>
        <w:tc>
          <w:tcPr>
            <w:tcW w:w="3015"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rPr>
            </w:pPr>
            <w:r>
              <w:rPr>
                <w:rFonts w:ascii="Times New Roman" w:hAnsi="Times New Roman" w:eastAsia="Calibri" w:cs="Times New Roman"/>
              </w:rPr>
              <w:t>0</w:t>
            </w:r>
          </w:p>
        </w:tc>
      </w:tr>
    </w:tbl>
    <w:p>
      <w:pPr>
        <w:pStyle w:val="6"/>
        <w:jc w:val="both"/>
        <w:rPr>
          <w:rFonts w:ascii="Times New Roman" w:hAnsi="Times New Roman" w:eastAsia="Calibri" w:cs="Times New Roman"/>
          <w:b/>
          <w:bCs/>
        </w:rPr>
      </w:pPr>
      <w:r>
        <w:rPr>
          <w:rFonts w:ascii="Times New Roman" w:hAnsi="Times New Roman" w:eastAsia="Calibri" w:cs="Times New Roman"/>
          <w:b/>
          <w:bCs/>
        </w:rPr>
        <w:t>7.4.Záväzky</w:t>
      </w:r>
    </w:p>
    <w:tbl>
      <w:tblPr>
        <w:tblStyle w:val="14"/>
        <w:tblW w:w="0" w:type="auto"/>
        <w:tblInd w:w="0" w:type="dxa"/>
        <w:tblLayout w:type="autofit"/>
        <w:tblCellMar>
          <w:top w:w="15" w:type="dxa"/>
          <w:left w:w="15" w:type="dxa"/>
          <w:bottom w:w="15" w:type="dxa"/>
          <w:right w:w="15" w:type="dxa"/>
        </w:tblCellMar>
      </w:tblPr>
      <w:tblGrid>
        <w:gridCol w:w="3390"/>
        <w:gridCol w:w="2640"/>
        <w:gridCol w:w="3015"/>
      </w:tblGrid>
      <w:tr>
        <w:tblPrEx>
          <w:tblCellMar>
            <w:top w:w="15" w:type="dxa"/>
            <w:left w:w="15" w:type="dxa"/>
            <w:bottom w:w="15" w:type="dxa"/>
            <w:right w:w="15" w:type="dxa"/>
          </w:tblCellMar>
        </w:tblPrEx>
        <w:tc>
          <w:tcPr>
            <w:tcW w:w="3390" w:type="dxa"/>
            <w:tcBorders>
              <w:top w:val="outset" w:color="auto" w:sz="6" w:space="0"/>
              <w:left w:val="outset" w:color="auto" w:sz="6" w:space="0"/>
              <w:bottom w:val="outset" w:color="auto" w:sz="6" w:space="0"/>
              <w:right w:val="outset" w:color="auto" w:sz="6" w:space="0"/>
            </w:tcBorders>
            <w:shd w:val="clear" w:color="auto" w:fill="BFBFBF"/>
          </w:tcPr>
          <w:p>
            <w:pPr>
              <w:pStyle w:val="6"/>
              <w:jc w:val="both"/>
              <w:rPr>
                <w:rFonts w:ascii="Times New Roman" w:hAnsi="Times New Roman" w:eastAsia="Calibri" w:cs="Times New Roman"/>
                <w:b/>
                <w:bCs/>
              </w:rPr>
            </w:pPr>
          </w:p>
        </w:tc>
        <w:tc>
          <w:tcPr>
            <w:tcW w:w="2640" w:type="dxa"/>
            <w:tcBorders>
              <w:top w:val="outset" w:color="auto" w:sz="6" w:space="0"/>
              <w:left w:val="outset" w:color="auto" w:sz="6" w:space="0"/>
              <w:bottom w:val="outset" w:color="auto" w:sz="6" w:space="0"/>
              <w:right w:val="outset" w:color="auto" w:sz="6" w:space="0"/>
            </w:tcBorders>
            <w:shd w:val="clear" w:color="auto" w:fill="BFBFBF"/>
          </w:tcPr>
          <w:p>
            <w:pPr>
              <w:pStyle w:val="6"/>
              <w:jc w:val="center"/>
              <w:rPr>
                <w:rFonts w:ascii="Times New Roman" w:hAnsi="Times New Roman" w:eastAsia="Calibri" w:cs="Times New Roman"/>
                <w:b/>
                <w:bCs/>
              </w:rPr>
            </w:pPr>
            <w:r>
              <w:rPr>
                <w:rFonts w:ascii="Times New Roman" w:hAnsi="Times New Roman" w:eastAsia="Calibri" w:cs="Times New Roman"/>
                <w:b/>
                <w:bCs/>
              </w:rPr>
              <w:t>Zostatok k 31.12.2021</w:t>
            </w:r>
          </w:p>
        </w:tc>
        <w:tc>
          <w:tcPr>
            <w:tcW w:w="3015" w:type="dxa"/>
            <w:tcBorders>
              <w:top w:val="outset" w:color="auto" w:sz="6" w:space="0"/>
              <w:left w:val="outset" w:color="auto" w:sz="6" w:space="0"/>
              <w:bottom w:val="outset" w:color="auto" w:sz="6" w:space="0"/>
              <w:right w:val="outset" w:color="auto" w:sz="6" w:space="0"/>
            </w:tcBorders>
            <w:shd w:val="clear" w:color="auto" w:fill="BFBFBF"/>
          </w:tcPr>
          <w:p>
            <w:pPr>
              <w:pStyle w:val="6"/>
              <w:jc w:val="center"/>
              <w:rPr>
                <w:rFonts w:ascii="Times New Roman" w:hAnsi="Times New Roman" w:eastAsia="Calibri" w:cs="Times New Roman"/>
                <w:b/>
                <w:bCs/>
              </w:rPr>
            </w:pPr>
            <w:r>
              <w:rPr>
                <w:rFonts w:ascii="Times New Roman" w:hAnsi="Times New Roman" w:eastAsia="Calibri" w:cs="Times New Roman"/>
                <w:b/>
                <w:bCs/>
              </w:rPr>
              <w:t>Zostatok k 31.12.2022</w:t>
            </w:r>
          </w:p>
        </w:tc>
      </w:tr>
      <w:tr>
        <w:tblPrEx>
          <w:tblCellMar>
            <w:top w:w="15" w:type="dxa"/>
            <w:left w:w="15" w:type="dxa"/>
            <w:bottom w:w="15" w:type="dxa"/>
            <w:right w:w="15" w:type="dxa"/>
          </w:tblCellMar>
        </w:tblPrEx>
        <w:tc>
          <w:tcPr>
            <w:tcW w:w="3390" w:type="dxa"/>
            <w:tcBorders>
              <w:top w:val="nil"/>
              <w:left w:val="outset" w:color="auto" w:sz="6" w:space="0"/>
              <w:bottom w:val="outset" w:color="auto" w:sz="6" w:space="0"/>
              <w:right w:val="outset" w:color="auto" w:sz="6" w:space="0"/>
            </w:tcBorders>
          </w:tcPr>
          <w:p>
            <w:pPr>
              <w:pStyle w:val="6"/>
              <w:jc w:val="both"/>
              <w:rPr>
                <w:rFonts w:ascii="Times New Roman" w:hAnsi="Times New Roman" w:eastAsia="Calibri" w:cs="Times New Roman"/>
              </w:rPr>
            </w:pPr>
            <w:r>
              <w:rPr>
                <w:rFonts w:ascii="Times New Roman" w:hAnsi="Times New Roman" w:eastAsia="Calibri" w:cs="Times New Roman"/>
              </w:rPr>
              <w:t>Záväzky do lehoty splatnosti</w:t>
            </w:r>
          </w:p>
        </w:tc>
        <w:tc>
          <w:tcPr>
            <w:tcW w:w="2640"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rPr>
            </w:pPr>
            <w:r>
              <w:rPr>
                <w:rFonts w:ascii="Times New Roman" w:hAnsi="Times New Roman" w:eastAsia="Calibri" w:cs="Times New Roman"/>
              </w:rPr>
              <w:t>5 216,74</w:t>
            </w:r>
          </w:p>
        </w:tc>
        <w:tc>
          <w:tcPr>
            <w:tcW w:w="3015"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rPr>
            </w:pPr>
            <w:r>
              <w:rPr>
                <w:rFonts w:ascii="Times New Roman" w:hAnsi="Times New Roman" w:eastAsia="Calibri" w:cs="Times New Roman"/>
              </w:rPr>
              <w:t>65 184,54</w:t>
            </w:r>
          </w:p>
        </w:tc>
      </w:tr>
      <w:tr>
        <w:tblPrEx>
          <w:tblCellMar>
            <w:top w:w="15" w:type="dxa"/>
            <w:left w:w="15" w:type="dxa"/>
            <w:bottom w:w="15" w:type="dxa"/>
            <w:right w:w="15" w:type="dxa"/>
          </w:tblCellMar>
        </w:tblPrEx>
        <w:tc>
          <w:tcPr>
            <w:tcW w:w="3390" w:type="dxa"/>
            <w:tcBorders>
              <w:top w:val="nil"/>
              <w:left w:val="outset" w:color="auto" w:sz="6" w:space="0"/>
              <w:bottom w:val="outset" w:color="auto" w:sz="6" w:space="0"/>
              <w:right w:val="outset" w:color="auto" w:sz="6" w:space="0"/>
            </w:tcBorders>
          </w:tcPr>
          <w:p>
            <w:pPr>
              <w:pStyle w:val="6"/>
              <w:jc w:val="both"/>
              <w:rPr>
                <w:rFonts w:ascii="Times New Roman" w:hAnsi="Times New Roman" w:eastAsia="Calibri" w:cs="Times New Roman"/>
              </w:rPr>
            </w:pPr>
            <w:r>
              <w:rPr>
                <w:rFonts w:ascii="Times New Roman" w:hAnsi="Times New Roman" w:eastAsia="Calibri" w:cs="Times New Roman"/>
              </w:rPr>
              <w:t>Záväzky po letote splatnosti</w:t>
            </w:r>
          </w:p>
        </w:tc>
        <w:tc>
          <w:tcPr>
            <w:tcW w:w="2640"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rPr>
            </w:pPr>
            <w:r>
              <w:rPr>
                <w:rFonts w:ascii="Times New Roman" w:hAnsi="Times New Roman" w:eastAsia="Calibri" w:cs="Times New Roman"/>
              </w:rPr>
              <w:t>0</w:t>
            </w:r>
          </w:p>
        </w:tc>
        <w:tc>
          <w:tcPr>
            <w:tcW w:w="3015"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rPr>
            </w:pPr>
            <w:r>
              <w:rPr>
                <w:rFonts w:ascii="Times New Roman" w:hAnsi="Times New Roman" w:eastAsia="Calibri" w:cs="Times New Roman"/>
              </w:rPr>
              <w:t>0</w:t>
            </w:r>
          </w:p>
        </w:tc>
      </w:tr>
    </w:tbl>
    <w:p>
      <w:pPr>
        <w:pStyle w:val="6"/>
        <w:jc w:val="both"/>
        <w:rPr>
          <w:rFonts w:ascii="Times New Roman" w:hAnsi="Times New Roman" w:eastAsia="Calibri" w:cs="Times New Roman"/>
          <w:b/>
          <w:bCs/>
          <w:highlight w:val="lightGray"/>
        </w:rPr>
      </w:pPr>
      <w:r>
        <w:rPr>
          <w:rFonts w:ascii="Times New Roman" w:hAnsi="Times New Roman" w:eastAsia="Calibri" w:cs="Times New Roman"/>
          <w:b/>
          <w:bCs/>
          <w:highlight w:val="lightGray"/>
        </w:rPr>
        <w:t xml:space="preserve"> 8.Tvorba a použitie peňažných fondov a iných fondov</w:t>
      </w:r>
    </w:p>
    <w:p>
      <w:pPr>
        <w:pStyle w:val="6"/>
        <w:jc w:val="both"/>
        <w:rPr>
          <w:rFonts w:ascii="Times New Roman" w:hAnsi="Times New Roman" w:eastAsia="Calibri" w:cs="Times New Roman"/>
          <w:b/>
          <w:bCs/>
        </w:rPr>
      </w:pPr>
      <w:r>
        <w:rPr>
          <w:rFonts w:ascii="Times New Roman" w:hAnsi="Times New Roman" w:eastAsia="Calibri" w:cs="Times New Roman"/>
          <w:b/>
          <w:bCs/>
        </w:rPr>
        <w:t>Rezervný fond</w:t>
      </w:r>
      <w:r>
        <w:rPr>
          <w:rFonts w:ascii="Times New Roman" w:hAnsi="Times New Roman" w:eastAsia="Calibri" w:cs="Times New Roman"/>
        </w:rPr>
        <w:tab/>
      </w:r>
      <w:r>
        <w:rPr>
          <w:rFonts w:ascii="Times New Roman" w:hAnsi="Times New Roman" w:eastAsia="Calibri" w:cs="Times New Roman"/>
        </w:rPr>
        <w:tab/>
      </w:r>
      <w:r>
        <w:rPr>
          <w:rFonts w:ascii="Times New Roman" w:hAnsi="Times New Roman" w:eastAsia="Calibri" w:cs="Times New Roman"/>
        </w:rPr>
        <w:tab/>
      </w:r>
      <w:r>
        <w:rPr>
          <w:rFonts w:ascii="Times New Roman" w:hAnsi="Times New Roman" w:eastAsia="Calibri" w:cs="Times New Roman"/>
        </w:rPr>
        <w:t xml:space="preserve">          </w:t>
      </w:r>
    </w:p>
    <w:tbl>
      <w:tblPr>
        <w:tblStyle w:val="14"/>
        <w:tblW w:w="0" w:type="auto"/>
        <w:tblInd w:w="0" w:type="dxa"/>
        <w:tblLayout w:type="autofit"/>
        <w:tblCellMar>
          <w:top w:w="15" w:type="dxa"/>
          <w:left w:w="15" w:type="dxa"/>
          <w:bottom w:w="15" w:type="dxa"/>
          <w:right w:w="15" w:type="dxa"/>
        </w:tblCellMar>
      </w:tblPr>
      <w:tblGrid>
        <w:gridCol w:w="4974"/>
        <w:gridCol w:w="4128"/>
      </w:tblGrid>
      <w:tr>
        <w:tblPrEx>
          <w:tblCellMar>
            <w:top w:w="15" w:type="dxa"/>
            <w:left w:w="15" w:type="dxa"/>
            <w:bottom w:w="15" w:type="dxa"/>
            <w:right w:w="15" w:type="dxa"/>
          </w:tblCellMar>
        </w:tblPrEx>
        <w:tc>
          <w:tcPr>
            <w:tcW w:w="5100" w:type="dxa"/>
            <w:tcBorders>
              <w:top w:val="outset" w:color="auto" w:sz="6" w:space="0"/>
              <w:left w:val="outset" w:color="auto" w:sz="6" w:space="0"/>
              <w:bottom w:val="outset" w:color="auto" w:sz="6" w:space="0"/>
              <w:right w:val="outset" w:color="auto" w:sz="6" w:space="0"/>
            </w:tcBorders>
            <w:shd w:val="clear" w:color="auto" w:fill="D9D9D9"/>
          </w:tcPr>
          <w:p>
            <w:pPr>
              <w:pStyle w:val="6"/>
              <w:jc w:val="both"/>
              <w:rPr>
                <w:rFonts w:ascii="Times New Roman" w:hAnsi="Times New Roman" w:eastAsia="Calibri" w:cs="Times New Roman"/>
                <w:b/>
                <w:bCs/>
              </w:rPr>
            </w:pPr>
            <w:r>
              <w:rPr>
                <w:rFonts w:ascii="Times New Roman" w:hAnsi="Times New Roman" w:eastAsia="Calibri" w:cs="Times New Roman"/>
                <w:b/>
                <w:bCs/>
              </w:rPr>
              <w:t>Fond rezervný</w:t>
            </w:r>
          </w:p>
        </w:tc>
        <w:tc>
          <w:tcPr>
            <w:tcW w:w="4245" w:type="dxa"/>
            <w:tcBorders>
              <w:top w:val="outset" w:color="auto" w:sz="6" w:space="0"/>
              <w:left w:val="outset" w:color="auto" w:sz="6" w:space="0"/>
              <w:bottom w:val="outset" w:color="auto" w:sz="6" w:space="0"/>
              <w:right w:val="outset" w:color="auto" w:sz="6" w:space="0"/>
            </w:tcBorders>
            <w:shd w:val="clear" w:color="auto" w:fill="D9D9D9"/>
          </w:tcPr>
          <w:p>
            <w:pPr>
              <w:pStyle w:val="6"/>
              <w:jc w:val="center"/>
              <w:rPr>
                <w:rFonts w:ascii="Times New Roman" w:hAnsi="Times New Roman" w:eastAsia="Calibri" w:cs="Times New Roman"/>
                <w:b/>
                <w:bCs/>
              </w:rPr>
            </w:pPr>
            <w:r>
              <w:rPr>
                <w:rFonts w:ascii="Times New Roman" w:hAnsi="Times New Roman" w:eastAsia="Calibri" w:cs="Times New Roman"/>
                <w:b/>
                <w:bCs/>
              </w:rPr>
              <w:t>Suma v EUR</w:t>
            </w:r>
          </w:p>
        </w:tc>
      </w:tr>
      <w:tr>
        <w:tblPrEx>
          <w:tblCellMar>
            <w:top w:w="15" w:type="dxa"/>
            <w:left w:w="15" w:type="dxa"/>
            <w:bottom w:w="15" w:type="dxa"/>
            <w:right w:w="15" w:type="dxa"/>
          </w:tblCellMar>
        </w:tblPrEx>
        <w:tc>
          <w:tcPr>
            <w:tcW w:w="5100" w:type="dxa"/>
            <w:tcBorders>
              <w:top w:val="nil"/>
              <w:left w:val="outset" w:color="auto" w:sz="6" w:space="0"/>
              <w:bottom w:val="outset" w:color="auto" w:sz="6" w:space="0"/>
              <w:right w:val="outset" w:color="auto" w:sz="6" w:space="0"/>
            </w:tcBorders>
          </w:tcPr>
          <w:p>
            <w:pPr>
              <w:pStyle w:val="6"/>
              <w:jc w:val="both"/>
              <w:rPr>
                <w:rFonts w:ascii="Times New Roman" w:hAnsi="Times New Roman" w:eastAsia="Calibri" w:cs="Times New Roman"/>
              </w:rPr>
            </w:pPr>
            <w:r>
              <w:rPr>
                <w:rFonts w:ascii="Times New Roman" w:hAnsi="Times New Roman" w:eastAsia="Calibri" w:cs="Times New Roman"/>
              </w:rPr>
              <w:t>ZS k 1.1.2022</w:t>
            </w:r>
          </w:p>
        </w:tc>
        <w:tc>
          <w:tcPr>
            <w:tcW w:w="4245"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rPr>
            </w:pPr>
            <w:r>
              <w:rPr>
                <w:rFonts w:ascii="Times New Roman" w:hAnsi="Times New Roman" w:eastAsia="Calibri" w:cs="Times New Roman"/>
              </w:rPr>
              <w:t>0</w:t>
            </w:r>
          </w:p>
        </w:tc>
      </w:tr>
      <w:tr>
        <w:tblPrEx>
          <w:tblCellMar>
            <w:top w:w="15" w:type="dxa"/>
            <w:left w:w="15" w:type="dxa"/>
            <w:bottom w:w="15" w:type="dxa"/>
            <w:right w:w="15" w:type="dxa"/>
          </w:tblCellMar>
        </w:tblPrEx>
        <w:tc>
          <w:tcPr>
            <w:tcW w:w="5100" w:type="dxa"/>
            <w:tcBorders>
              <w:top w:val="nil"/>
              <w:left w:val="outset" w:color="auto" w:sz="6" w:space="0"/>
              <w:bottom w:val="outset" w:color="auto" w:sz="6" w:space="0"/>
              <w:right w:val="outset" w:color="auto" w:sz="6" w:space="0"/>
            </w:tcBorders>
          </w:tcPr>
          <w:p>
            <w:pPr>
              <w:pStyle w:val="6"/>
              <w:jc w:val="both"/>
              <w:rPr>
                <w:rFonts w:ascii="Times New Roman" w:hAnsi="Times New Roman" w:eastAsia="Calibri" w:cs="Times New Roman"/>
              </w:rPr>
            </w:pPr>
            <w:r>
              <w:rPr>
                <w:rFonts w:ascii="Times New Roman" w:hAnsi="Times New Roman" w:eastAsia="Calibri" w:cs="Times New Roman"/>
              </w:rPr>
              <w:t>Prírastky</w:t>
            </w:r>
          </w:p>
          <w:p>
            <w:pPr>
              <w:pStyle w:val="6"/>
              <w:jc w:val="both"/>
              <w:rPr>
                <w:rFonts w:ascii="Times New Roman" w:hAnsi="Times New Roman" w:eastAsia="Calibri" w:cs="Times New Roman"/>
              </w:rPr>
            </w:pPr>
            <w:r>
              <w:rPr>
                <w:rFonts w:ascii="Times New Roman" w:hAnsi="Times New Roman" w:eastAsia="Calibri" w:cs="Times New Roman"/>
              </w:rPr>
              <w:t xml:space="preserve">                  Ostatné prírastky</w:t>
            </w:r>
          </w:p>
        </w:tc>
        <w:tc>
          <w:tcPr>
            <w:tcW w:w="4245"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rPr>
            </w:pPr>
            <w:r>
              <w:rPr>
                <w:rFonts w:ascii="Times New Roman" w:hAnsi="Times New Roman" w:eastAsia="Calibri" w:cs="Times New Roman"/>
              </w:rPr>
              <w:t>0</w:t>
            </w:r>
          </w:p>
          <w:p>
            <w:pPr>
              <w:pStyle w:val="6"/>
              <w:jc w:val="center"/>
              <w:rPr>
                <w:rFonts w:ascii="Times New Roman" w:hAnsi="Times New Roman" w:eastAsia="Calibri" w:cs="Times New Roman"/>
              </w:rPr>
            </w:pPr>
            <w:r>
              <w:rPr>
                <w:rFonts w:ascii="Times New Roman" w:hAnsi="Times New Roman" w:eastAsia="Calibri" w:cs="Times New Roman"/>
              </w:rPr>
              <w:t>0</w:t>
            </w:r>
          </w:p>
        </w:tc>
      </w:tr>
      <w:tr>
        <w:tblPrEx>
          <w:tblCellMar>
            <w:top w:w="15" w:type="dxa"/>
            <w:left w:w="15" w:type="dxa"/>
            <w:bottom w:w="15" w:type="dxa"/>
            <w:right w:w="15" w:type="dxa"/>
          </w:tblCellMar>
        </w:tblPrEx>
        <w:tc>
          <w:tcPr>
            <w:tcW w:w="5100" w:type="dxa"/>
            <w:tcBorders>
              <w:top w:val="nil"/>
              <w:left w:val="outset" w:color="auto" w:sz="6" w:space="0"/>
              <w:bottom w:val="outset" w:color="auto" w:sz="6" w:space="0"/>
              <w:right w:val="outset" w:color="auto" w:sz="6" w:space="0"/>
            </w:tcBorders>
          </w:tcPr>
          <w:p>
            <w:pPr>
              <w:pStyle w:val="6"/>
              <w:jc w:val="both"/>
              <w:rPr>
                <w:rFonts w:ascii="Times New Roman" w:hAnsi="Times New Roman" w:eastAsia="Calibri" w:cs="Times New Roman"/>
              </w:rPr>
            </w:pPr>
            <w:r>
              <w:rPr>
                <w:rFonts w:ascii="Times New Roman" w:hAnsi="Times New Roman" w:eastAsia="Calibri" w:cs="Times New Roman"/>
              </w:rPr>
              <w:t xml:space="preserve">Úbytky   - použitie rezervného fondu </w:t>
            </w:r>
          </w:p>
        </w:tc>
        <w:tc>
          <w:tcPr>
            <w:tcW w:w="4245"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rPr>
            </w:pPr>
            <w:r>
              <w:rPr>
                <w:rFonts w:ascii="Times New Roman" w:hAnsi="Times New Roman" w:eastAsia="Calibri" w:cs="Times New Roman"/>
              </w:rPr>
              <w:t>0</w:t>
            </w:r>
          </w:p>
        </w:tc>
      </w:tr>
      <w:tr>
        <w:tblPrEx>
          <w:tblCellMar>
            <w:top w:w="15" w:type="dxa"/>
            <w:left w:w="15" w:type="dxa"/>
            <w:bottom w:w="15" w:type="dxa"/>
            <w:right w:w="15" w:type="dxa"/>
          </w:tblCellMar>
        </w:tblPrEx>
        <w:tc>
          <w:tcPr>
            <w:tcW w:w="5100" w:type="dxa"/>
            <w:tcBorders>
              <w:top w:val="nil"/>
              <w:left w:val="outset" w:color="auto" w:sz="6" w:space="0"/>
              <w:bottom w:val="outset" w:color="auto" w:sz="6" w:space="0"/>
              <w:right w:val="outset" w:color="auto" w:sz="6" w:space="0"/>
            </w:tcBorders>
          </w:tcPr>
          <w:p>
            <w:pPr>
              <w:pStyle w:val="6"/>
              <w:jc w:val="both"/>
              <w:rPr>
                <w:rFonts w:ascii="Times New Roman" w:hAnsi="Times New Roman" w:eastAsia="Calibri" w:cs="Times New Roman"/>
              </w:rPr>
            </w:pPr>
            <w:r>
              <w:rPr>
                <w:rFonts w:ascii="Times New Roman" w:hAnsi="Times New Roman" w:eastAsia="Calibri" w:cs="Times New Roman"/>
              </w:rPr>
              <w:t xml:space="preserve">               - krytie schodku rozpočtu</w:t>
            </w:r>
          </w:p>
        </w:tc>
        <w:tc>
          <w:tcPr>
            <w:tcW w:w="4245"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rPr>
            </w:pPr>
            <w:r>
              <w:rPr>
                <w:rFonts w:ascii="Times New Roman" w:hAnsi="Times New Roman" w:eastAsia="Calibri" w:cs="Times New Roman"/>
              </w:rPr>
              <w:t>0</w:t>
            </w:r>
          </w:p>
        </w:tc>
      </w:tr>
      <w:tr>
        <w:tblPrEx>
          <w:tblCellMar>
            <w:top w:w="15" w:type="dxa"/>
            <w:left w:w="15" w:type="dxa"/>
            <w:bottom w:w="15" w:type="dxa"/>
            <w:right w:w="15" w:type="dxa"/>
          </w:tblCellMar>
        </w:tblPrEx>
        <w:tc>
          <w:tcPr>
            <w:tcW w:w="5100" w:type="dxa"/>
            <w:tcBorders>
              <w:top w:val="nil"/>
              <w:left w:val="outset" w:color="auto" w:sz="6" w:space="0"/>
              <w:bottom w:val="outset" w:color="auto" w:sz="6" w:space="0"/>
              <w:right w:val="outset" w:color="auto" w:sz="6" w:space="0"/>
            </w:tcBorders>
          </w:tcPr>
          <w:p>
            <w:pPr>
              <w:pStyle w:val="6"/>
              <w:jc w:val="both"/>
              <w:rPr>
                <w:rFonts w:ascii="Times New Roman" w:hAnsi="Times New Roman" w:eastAsia="Calibri" w:cs="Times New Roman"/>
              </w:rPr>
            </w:pPr>
            <w:r>
              <w:rPr>
                <w:rFonts w:ascii="Times New Roman" w:hAnsi="Times New Roman" w:eastAsia="Calibri" w:cs="Times New Roman"/>
              </w:rPr>
              <w:t xml:space="preserve">               - ostatné úbytky </w:t>
            </w:r>
          </w:p>
        </w:tc>
        <w:tc>
          <w:tcPr>
            <w:tcW w:w="4245"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rPr>
            </w:pPr>
            <w:r>
              <w:rPr>
                <w:rFonts w:ascii="Times New Roman" w:hAnsi="Times New Roman" w:eastAsia="Calibri" w:cs="Times New Roman"/>
              </w:rPr>
              <w:t>0</w:t>
            </w:r>
          </w:p>
        </w:tc>
      </w:tr>
      <w:tr>
        <w:tblPrEx>
          <w:tblCellMar>
            <w:top w:w="15" w:type="dxa"/>
            <w:left w:w="15" w:type="dxa"/>
            <w:bottom w:w="15" w:type="dxa"/>
            <w:right w:w="15" w:type="dxa"/>
          </w:tblCellMar>
        </w:tblPrEx>
        <w:tc>
          <w:tcPr>
            <w:tcW w:w="5100" w:type="dxa"/>
            <w:tcBorders>
              <w:top w:val="nil"/>
              <w:left w:val="outset" w:color="auto" w:sz="6" w:space="0"/>
              <w:bottom w:val="outset" w:color="auto" w:sz="6" w:space="0"/>
              <w:right w:val="outset" w:color="auto" w:sz="6" w:space="0"/>
            </w:tcBorders>
            <w:shd w:val="clear" w:color="auto" w:fill="D9D9D9"/>
          </w:tcPr>
          <w:p>
            <w:pPr>
              <w:pStyle w:val="6"/>
              <w:jc w:val="both"/>
              <w:rPr>
                <w:rFonts w:ascii="Times New Roman" w:hAnsi="Times New Roman" w:eastAsia="Calibri" w:cs="Times New Roman"/>
              </w:rPr>
            </w:pPr>
            <w:r>
              <w:rPr>
                <w:rFonts w:ascii="Times New Roman" w:hAnsi="Times New Roman" w:eastAsia="Calibri" w:cs="Times New Roman"/>
              </w:rPr>
              <w:t>KZ k 31.12.2022</w:t>
            </w:r>
          </w:p>
        </w:tc>
        <w:tc>
          <w:tcPr>
            <w:tcW w:w="4245" w:type="dxa"/>
            <w:tcBorders>
              <w:top w:val="nil"/>
              <w:left w:val="outset" w:color="auto" w:sz="6" w:space="0"/>
              <w:bottom w:val="outset" w:color="auto" w:sz="6" w:space="0"/>
              <w:right w:val="outset" w:color="auto" w:sz="6" w:space="0"/>
            </w:tcBorders>
            <w:shd w:val="clear" w:color="auto" w:fill="D9D9D9"/>
          </w:tcPr>
          <w:p>
            <w:pPr>
              <w:pStyle w:val="6"/>
              <w:jc w:val="center"/>
              <w:rPr>
                <w:rFonts w:ascii="Times New Roman" w:hAnsi="Times New Roman" w:eastAsia="Calibri" w:cs="Times New Roman"/>
              </w:rPr>
            </w:pPr>
            <w:r>
              <w:rPr>
                <w:rFonts w:ascii="Times New Roman" w:hAnsi="Times New Roman" w:eastAsia="Calibri" w:cs="Times New Roman"/>
              </w:rPr>
              <w:t>0</w:t>
            </w:r>
          </w:p>
        </w:tc>
      </w:tr>
    </w:tbl>
    <w:p>
      <w:pPr>
        <w:pStyle w:val="6"/>
        <w:jc w:val="both"/>
        <w:rPr>
          <w:rFonts w:ascii="Times New Roman" w:hAnsi="Times New Roman" w:eastAsia="Calibri" w:cs="Times New Roman"/>
          <w:b/>
          <w:bCs/>
        </w:rPr>
      </w:pPr>
      <w:r>
        <w:rPr>
          <w:rFonts w:ascii="Times New Roman" w:hAnsi="Times New Roman" w:eastAsia="Calibri" w:cs="Times New Roman"/>
          <w:b/>
          <w:bCs/>
        </w:rPr>
        <w:t>Sociálny fond</w:t>
      </w:r>
    </w:p>
    <w:p>
      <w:pPr>
        <w:pStyle w:val="6"/>
        <w:spacing w:line="360" w:lineRule="auto"/>
        <w:jc w:val="both"/>
        <w:rPr>
          <w:rFonts w:ascii="Times New Roman" w:hAnsi="Times New Roman" w:eastAsia="Calibri" w:cs="Times New Roman"/>
        </w:rPr>
      </w:pPr>
      <w:r>
        <w:rPr>
          <w:rFonts w:ascii="Times New Roman" w:hAnsi="Times New Roman" w:eastAsia="Calibri" w:cs="Times New Roman"/>
        </w:rPr>
        <w:t>Tvorbu a použitie sociálneho fondu upravuje kolektívna zmluva vyššieho stupňa a vnútorná smernica  obce  pre tvorbu a použitie sociálneho fondu.</w:t>
      </w:r>
    </w:p>
    <w:tbl>
      <w:tblPr>
        <w:tblStyle w:val="14"/>
        <w:tblW w:w="0" w:type="auto"/>
        <w:tblInd w:w="0" w:type="dxa"/>
        <w:tblLayout w:type="autofit"/>
        <w:tblCellMar>
          <w:top w:w="15" w:type="dxa"/>
          <w:left w:w="15" w:type="dxa"/>
          <w:bottom w:w="15" w:type="dxa"/>
          <w:right w:w="15" w:type="dxa"/>
        </w:tblCellMar>
      </w:tblPr>
      <w:tblGrid>
        <w:gridCol w:w="5100"/>
        <w:gridCol w:w="2835"/>
      </w:tblGrid>
      <w:tr>
        <w:tblPrEx>
          <w:tblCellMar>
            <w:top w:w="15" w:type="dxa"/>
            <w:left w:w="15" w:type="dxa"/>
            <w:bottom w:w="15" w:type="dxa"/>
            <w:right w:w="15" w:type="dxa"/>
          </w:tblCellMar>
        </w:tblPrEx>
        <w:tc>
          <w:tcPr>
            <w:tcW w:w="5100" w:type="dxa"/>
            <w:tcBorders>
              <w:top w:val="outset" w:color="auto" w:sz="6" w:space="0"/>
              <w:left w:val="outset" w:color="auto" w:sz="6" w:space="0"/>
              <w:bottom w:val="outset" w:color="auto" w:sz="6" w:space="0"/>
              <w:right w:val="outset" w:color="auto" w:sz="6" w:space="0"/>
            </w:tcBorders>
            <w:shd w:val="clear" w:color="auto" w:fill="D9D9D9"/>
          </w:tcPr>
          <w:p>
            <w:pPr>
              <w:pStyle w:val="6"/>
              <w:jc w:val="both"/>
              <w:rPr>
                <w:rFonts w:ascii="Times New Roman" w:hAnsi="Times New Roman" w:eastAsia="Calibri" w:cs="Times New Roman"/>
                <w:b/>
                <w:bCs/>
              </w:rPr>
            </w:pPr>
            <w:r>
              <w:rPr>
                <w:rFonts w:ascii="Times New Roman" w:hAnsi="Times New Roman" w:eastAsia="Calibri" w:cs="Times New Roman"/>
                <w:b/>
                <w:bCs/>
              </w:rPr>
              <w:t>Sociálny fond</w:t>
            </w:r>
          </w:p>
        </w:tc>
        <w:tc>
          <w:tcPr>
            <w:tcW w:w="2835" w:type="dxa"/>
            <w:tcBorders>
              <w:top w:val="outset" w:color="auto" w:sz="6" w:space="0"/>
              <w:left w:val="outset" w:color="auto" w:sz="6" w:space="0"/>
              <w:bottom w:val="outset" w:color="auto" w:sz="6" w:space="0"/>
              <w:right w:val="outset" w:color="auto" w:sz="6" w:space="0"/>
            </w:tcBorders>
            <w:shd w:val="clear" w:color="auto" w:fill="D9D9D9"/>
          </w:tcPr>
          <w:p>
            <w:pPr>
              <w:pStyle w:val="6"/>
              <w:jc w:val="center"/>
              <w:rPr>
                <w:rFonts w:ascii="Times New Roman" w:hAnsi="Times New Roman" w:eastAsia="Calibri" w:cs="Times New Roman"/>
                <w:b/>
                <w:bCs/>
              </w:rPr>
            </w:pPr>
            <w:r>
              <w:rPr>
                <w:rFonts w:ascii="Times New Roman" w:hAnsi="Times New Roman" w:eastAsia="Calibri" w:cs="Times New Roman"/>
                <w:b/>
                <w:bCs/>
              </w:rPr>
              <w:t>Suma v EUR</w:t>
            </w:r>
          </w:p>
        </w:tc>
      </w:tr>
      <w:tr>
        <w:tblPrEx>
          <w:tblCellMar>
            <w:top w:w="15" w:type="dxa"/>
            <w:left w:w="15" w:type="dxa"/>
            <w:bottom w:w="15" w:type="dxa"/>
            <w:right w:w="15" w:type="dxa"/>
          </w:tblCellMar>
        </w:tblPrEx>
        <w:tc>
          <w:tcPr>
            <w:tcW w:w="5100" w:type="dxa"/>
            <w:tcBorders>
              <w:top w:val="nil"/>
              <w:left w:val="outset" w:color="auto" w:sz="6" w:space="0"/>
              <w:bottom w:val="outset" w:color="auto" w:sz="6" w:space="0"/>
              <w:right w:val="outset" w:color="auto" w:sz="6" w:space="0"/>
            </w:tcBorders>
          </w:tcPr>
          <w:p>
            <w:pPr>
              <w:pStyle w:val="6"/>
              <w:jc w:val="both"/>
              <w:rPr>
                <w:rFonts w:ascii="Times New Roman" w:hAnsi="Times New Roman" w:eastAsia="Calibri" w:cs="Times New Roman"/>
              </w:rPr>
            </w:pPr>
            <w:r>
              <w:rPr>
                <w:rFonts w:ascii="Times New Roman" w:hAnsi="Times New Roman" w:eastAsia="Calibri" w:cs="Times New Roman"/>
              </w:rPr>
              <w:t>ZS k 1.1.2022</w:t>
            </w:r>
          </w:p>
        </w:tc>
        <w:tc>
          <w:tcPr>
            <w:tcW w:w="2835"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rPr>
            </w:pPr>
            <w:r>
              <w:rPr>
                <w:rFonts w:ascii="Times New Roman" w:hAnsi="Times New Roman" w:eastAsia="Calibri" w:cs="Times New Roman"/>
              </w:rPr>
              <w:t>580,34</w:t>
            </w:r>
          </w:p>
        </w:tc>
      </w:tr>
      <w:tr>
        <w:tblPrEx>
          <w:tblCellMar>
            <w:top w:w="15" w:type="dxa"/>
            <w:left w:w="15" w:type="dxa"/>
            <w:bottom w:w="15" w:type="dxa"/>
            <w:right w:w="15" w:type="dxa"/>
          </w:tblCellMar>
        </w:tblPrEx>
        <w:tc>
          <w:tcPr>
            <w:tcW w:w="5100" w:type="dxa"/>
            <w:tcBorders>
              <w:top w:val="nil"/>
              <w:left w:val="outset" w:color="auto" w:sz="6" w:space="0"/>
              <w:bottom w:val="outset" w:color="auto" w:sz="6" w:space="0"/>
              <w:right w:val="outset" w:color="auto" w:sz="6" w:space="0"/>
            </w:tcBorders>
          </w:tcPr>
          <w:p>
            <w:pPr>
              <w:pStyle w:val="6"/>
              <w:jc w:val="both"/>
              <w:rPr>
                <w:rFonts w:ascii="Times New Roman" w:hAnsi="Times New Roman" w:eastAsia="Calibri" w:cs="Times New Roman"/>
              </w:rPr>
            </w:pPr>
            <w:r>
              <w:rPr>
                <w:rFonts w:ascii="Times New Roman" w:hAnsi="Times New Roman" w:eastAsia="Calibri" w:cs="Times New Roman"/>
              </w:rPr>
              <w:t xml:space="preserve">Prírastky – povinný prídel – 1,05    %                   </w:t>
            </w:r>
          </w:p>
        </w:tc>
        <w:tc>
          <w:tcPr>
            <w:tcW w:w="2835"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rPr>
            </w:pPr>
            <w:r>
              <w:rPr>
                <w:rFonts w:ascii="Times New Roman" w:hAnsi="Times New Roman" w:eastAsia="Calibri" w:cs="Times New Roman"/>
              </w:rPr>
              <w:t>272,85</w:t>
            </w:r>
          </w:p>
        </w:tc>
      </w:tr>
      <w:tr>
        <w:tblPrEx>
          <w:tblCellMar>
            <w:top w:w="15" w:type="dxa"/>
            <w:left w:w="15" w:type="dxa"/>
            <w:bottom w:w="15" w:type="dxa"/>
            <w:right w:w="15" w:type="dxa"/>
          </w:tblCellMar>
        </w:tblPrEx>
        <w:tc>
          <w:tcPr>
            <w:tcW w:w="5100" w:type="dxa"/>
            <w:tcBorders>
              <w:top w:val="nil"/>
              <w:left w:val="outset" w:color="auto" w:sz="6" w:space="0"/>
              <w:bottom w:val="outset" w:color="auto" w:sz="6" w:space="0"/>
              <w:right w:val="outset" w:color="auto" w:sz="6" w:space="0"/>
            </w:tcBorders>
          </w:tcPr>
          <w:p>
            <w:pPr>
              <w:pStyle w:val="6"/>
              <w:jc w:val="both"/>
              <w:rPr>
                <w:rFonts w:ascii="Times New Roman" w:hAnsi="Times New Roman" w:eastAsia="Calibri" w:cs="Times New Roman"/>
              </w:rPr>
            </w:pPr>
            <w:r>
              <w:rPr>
                <w:rFonts w:ascii="Times New Roman" w:hAnsi="Times New Roman" w:eastAsia="Calibri" w:cs="Times New Roman"/>
              </w:rPr>
              <w:t xml:space="preserve">               - povinný prídel -        %                      </w:t>
            </w:r>
          </w:p>
        </w:tc>
        <w:tc>
          <w:tcPr>
            <w:tcW w:w="2835"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rPr>
            </w:pPr>
          </w:p>
        </w:tc>
      </w:tr>
      <w:tr>
        <w:tblPrEx>
          <w:tblCellMar>
            <w:top w:w="15" w:type="dxa"/>
            <w:left w:w="15" w:type="dxa"/>
            <w:bottom w:w="15" w:type="dxa"/>
            <w:right w:w="15" w:type="dxa"/>
          </w:tblCellMar>
        </w:tblPrEx>
        <w:tc>
          <w:tcPr>
            <w:tcW w:w="5100" w:type="dxa"/>
            <w:tcBorders>
              <w:top w:val="nil"/>
              <w:left w:val="outset" w:color="auto" w:sz="6" w:space="0"/>
              <w:bottom w:val="outset" w:color="auto" w:sz="6" w:space="0"/>
              <w:right w:val="outset" w:color="auto" w:sz="6" w:space="0"/>
            </w:tcBorders>
          </w:tcPr>
          <w:p>
            <w:pPr>
              <w:pStyle w:val="6"/>
              <w:jc w:val="both"/>
              <w:rPr>
                <w:rFonts w:ascii="Times New Roman" w:hAnsi="Times New Roman" w:eastAsia="Calibri" w:cs="Times New Roman"/>
              </w:rPr>
            </w:pPr>
            <w:r>
              <w:rPr>
                <w:rFonts w:ascii="Times New Roman" w:hAnsi="Times New Roman" w:eastAsia="Calibri" w:cs="Times New Roman"/>
              </w:rPr>
              <w:t xml:space="preserve">               - ostatné prírastky</w:t>
            </w:r>
          </w:p>
        </w:tc>
        <w:tc>
          <w:tcPr>
            <w:tcW w:w="2835"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rPr>
            </w:pPr>
          </w:p>
        </w:tc>
      </w:tr>
      <w:tr>
        <w:tblPrEx>
          <w:tblCellMar>
            <w:top w:w="15" w:type="dxa"/>
            <w:left w:w="15" w:type="dxa"/>
            <w:bottom w:w="15" w:type="dxa"/>
            <w:right w:w="15" w:type="dxa"/>
          </w:tblCellMar>
        </w:tblPrEx>
        <w:tc>
          <w:tcPr>
            <w:tcW w:w="5100" w:type="dxa"/>
            <w:tcBorders>
              <w:top w:val="nil"/>
              <w:left w:val="outset" w:color="auto" w:sz="6" w:space="0"/>
              <w:bottom w:val="outset" w:color="auto" w:sz="6" w:space="0"/>
              <w:right w:val="outset" w:color="auto" w:sz="6" w:space="0"/>
            </w:tcBorders>
          </w:tcPr>
          <w:p>
            <w:pPr>
              <w:pStyle w:val="6"/>
              <w:jc w:val="both"/>
              <w:rPr>
                <w:rFonts w:ascii="Times New Roman" w:hAnsi="Times New Roman" w:eastAsia="Calibri" w:cs="Times New Roman"/>
              </w:rPr>
            </w:pPr>
            <w:r>
              <w:rPr>
                <w:rFonts w:ascii="Times New Roman" w:hAnsi="Times New Roman" w:eastAsia="Calibri" w:cs="Times New Roman"/>
              </w:rPr>
              <w:t xml:space="preserve">Úbytky   - závodné stravovanie                    </w:t>
            </w:r>
          </w:p>
        </w:tc>
        <w:tc>
          <w:tcPr>
            <w:tcW w:w="2835"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rPr>
            </w:pPr>
            <w:r>
              <w:rPr>
                <w:rFonts w:ascii="Times New Roman" w:hAnsi="Times New Roman" w:eastAsia="Calibri" w:cs="Times New Roman"/>
              </w:rPr>
              <w:t>0</w:t>
            </w:r>
          </w:p>
        </w:tc>
      </w:tr>
      <w:tr>
        <w:tblPrEx>
          <w:tblCellMar>
            <w:top w:w="15" w:type="dxa"/>
            <w:left w:w="15" w:type="dxa"/>
            <w:bottom w:w="15" w:type="dxa"/>
            <w:right w:w="15" w:type="dxa"/>
          </w:tblCellMar>
        </w:tblPrEx>
        <w:tc>
          <w:tcPr>
            <w:tcW w:w="5100" w:type="dxa"/>
            <w:tcBorders>
              <w:top w:val="nil"/>
              <w:left w:val="outset" w:color="auto" w:sz="6" w:space="0"/>
              <w:bottom w:val="outset" w:color="auto" w:sz="6" w:space="0"/>
              <w:right w:val="outset" w:color="auto" w:sz="6" w:space="0"/>
            </w:tcBorders>
          </w:tcPr>
          <w:p>
            <w:pPr>
              <w:pStyle w:val="6"/>
              <w:jc w:val="both"/>
              <w:rPr>
                <w:rFonts w:ascii="Times New Roman" w:hAnsi="Times New Roman" w:eastAsia="Calibri" w:cs="Times New Roman"/>
              </w:rPr>
            </w:pPr>
            <w:r>
              <w:rPr>
                <w:rFonts w:ascii="Times New Roman" w:hAnsi="Times New Roman" w:eastAsia="Calibri" w:cs="Times New Roman"/>
              </w:rPr>
              <w:t xml:space="preserve">               - regeneráciu PS, dopravu              </w:t>
            </w:r>
          </w:p>
        </w:tc>
        <w:tc>
          <w:tcPr>
            <w:tcW w:w="2835"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rPr>
            </w:pPr>
          </w:p>
        </w:tc>
      </w:tr>
      <w:tr>
        <w:tblPrEx>
          <w:tblCellMar>
            <w:top w:w="15" w:type="dxa"/>
            <w:left w:w="15" w:type="dxa"/>
            <w:bottom w:w="15" w:type="dxa"/>
            <w:right w:w="15" w:type="dxa"/>
          </w:tblCellMar>
        </w:tblPrEx>
        <w:tc>
          <w:tcPr>
            <w:tcW w:w="5100" w:type="dxa"/>
            <w:tcBorders>
              <w:top w:val="nil"/>
              <w:left w:val="outset" w:color="auto" w:sz="6" w:space="0"/>
              <w:bottom w:val="outset" w:color="auto" w:sz="6" w:space="0"/>
              <w:right w:val="outset" w:color="auto" w:sz="6" w:space="0"/>
            </w:tcBorders>
          </w:tcPr>
          <w:p>
            <w:pPr>
              <w:pStyle w:val="6"/>
              <w:jc w:val="both"/>
              <w:rPr>
                <w:rFonts w:ascii="Times New Roman" w:hAnsi="Times New Roman" w:eastAsia="Calibri" w:cs="Times New Roman"/>
              </w:rPr>
            </w:pPr>
            <w:r>
              <w:rPr>
                <w:rFonts w:ascii="Times New Roman" w:hAnsi="Times New Roman" w:eastAsia="Calibri" w:cs="Times New Roman"/>
              </w:rPr>
              <w:t xml:space="preserve">               - dopravné                          </w:t>
            </w:r>
          </w:p>
        </w:tc>
        <w:tc>
          <w:tcPr>
            <w:tcW w:w="2835"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rPr>
            </w:pPr>
          </w:p>
        </w:tc>
      </w:tr>
      <w:tr>
        <w:tblPrEx>
          <w:tblCellMar>
            <w:top w:w="15" w:type="dxa"/>
            <w:left w:w="15" w:type="dxa"/>
            <w:bottom w:w="15" w:type="dxa"/>
            <w:right w:w="15" w:type="dxa"/>
          </w:tblCellMar>
        </w:tblPrEx>
        <w:tc>
          <w:tcPr>
            <w:tcW w:w="5100" w:type="dxa"/>
            <w:tcBorders>
              <w:top w:val="nil"/>
              <w:left w:val="outset" w:color="auto" w:sz="6" w:space="0"/>
              <w:bottom w:val="outset" w:color="auto" w:sz="6" w:space="0"/>
              <w:right w:val="outset" w:color="auto" w:sz="6" w:space="0"/>
            </w:tcBorders>
          </w:tcPr>
          <w:p>
            <w:pPr>
              <w:pStyle w:val="6"/>
              <w:jc w:val="both"/>
              <w:rPr>
                <w:rFonts w:ascii="Times New Roman" w:hAnsi="Times New Roman" w:eastAsia="Calibri" w:cs="Times New Roman"/>
              </w:rPr>
            </w:pPr>
            <w:r>
              <w:rPr>
                <w:rFonts w:ascii="Times New Roman" w:hAnsi="Times New Roman" w:eastAsia="Calibri" w:cs="Times New Roman"/>
              </w:rPr>
              <w:t xml:space="preserve">               - ostatné úbytky                                               </w:t>
            </w:r>
          </w:p>
        </w:tc>
        <w:tc>
          <w:tcPr>
            <w:tcW w:w="2835"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rPr>
            </w:pPr>
          </w:p>
        </w:tc>
      </w:tr>
      <w:tr>
        <w:tblPrEx>
          <w:tblCellMar>
            <w:top w:w="15" w:type="dxa"/>
            <w:left w:w="15" w:type="dxa"/>
            <w:bottom w:w="15" w:type="dxa"/>
            <w:right w:w="15" w:type="dxa"/>
          </w:tblCellMar>
        </w:tblPrEx>
        <w:tc>
          <w:tcPr>
            <w:tcW w:w="5100" w:type="dxa"/>
            <w:tcBorders>
              <w:top w:val="nil"/>
              <w:left w:val="outset" w:color="auto" w:sz="6" w:space="0"/>
              <w:bottom w:val="outset" w:color="auto" w:sz="6" w:space="0"/>
              <w:right w:val="outset" w:color="auto" w:sz="6" w:space="0"/>
            </w:tcBorders>
            <w:shd w:val="clear" w:color="auto" w:fill="D9D9D9"/>
          </w:tcPr>
          <w:p>
            <w:pPr>
              <w:pStyle w:val="6"/>
              <w:jc w:val="both"/>
              <w:rPr>
                <w:rFonts w:ascii="Times New Roman" w:hAnsi="Times New Roman" w:eastAsia="Calibri" w:cs="Times New Roman"/>
              </w:rPr>
            </w:pPr>
            <w:r>
              <w:rPr>
                <w:rFonts w:ascii="Times New Roman" w:hAnsi="Times New Roman" w:eastAsia="Calibri" w:cs="Times New Roman"/>
              </w:rPr>
              <w:t>KZ k 31.12.2022</w:t>
            </w:r>
          </w:p>
        </w:tc>
        <w:tc>
          <w:tcPr>
            <w:tcW w:w="2835" w:type="dxa"/>
            <w:tcBorders>
              <w:top w:val="nil"/>
              <w:left w:val="outset" w:color="auto" w:sz="6" w:space="0"/>
              <w:bottom w:val="outset" w:color="auto" w:sz="6" w:space="0"/>
              <w:right w:val="outset" w:color="auto" w:sz="6" w:space="0"/>
            </w:tcBorders>
            <w:shd w:val="clear" w:color="auto" w:fill="D9D9D9"/>
          </w:tcPr>
          <w:p>
            <w:pPr>
              <w:pStyle w:val="6"/>
              <w:jc w:val="center"/>
              <w:rPr>
                <w:rFonts w:ascii="Times New Roman" w:hAnsi="Times New Roman" w:eastAsia="Calibri" w:cs="Times New Roman"/>
                <w:b/>
                <w:bCs/>
              </w:rPr>
            </w:pPr>
            <w:r>
              <w:rPr>
                <w:rFonts w:ascii="Times New Roman" w:hAnsi="Times New Roman" w:eastAsia="Calibri" w:cs="Times New Roman"/>
                <w:b/>
                <w:bCs/>
              </w:rPr>
              <w:t>853,19</w:t>
            </w:r>
          </w:p>
        </w:tc>
      </w:tr>
    </w:tbl>
    <w:p>
      <w:pPr>
        <w:pStyle w:val="6"/>
        <w:jc w:val="both"/>
        <w:rPr>
          <w:rFonts w:ascii="Times New Roman" w:hAnsi="Times New Roman" w:eastAsia="Calibri" w:cs="Times New Roman"/>
          <w:b/>
          <w:bCs/>
        </w:rPr>
      </w:pPr>
    </w:p>
    <w:p>
      <w:pPr>
        <w:pStyle w:val="6"/>
        <w:jc w:val="both"/>
        <w:rPr>
          <w:rFonts w:ascii="Times New Roman" w:hAnsi="Times New Roman" w:eastAsia="Calibri" w:cs="Times New Roman"/>
          <w:b/>
          <w:bCs/>
        </w:rPr>
      </w:pPr>
      <w:r>
        <w:rPr>
          <w:rFonts w:ascii="Times New Roman" w:hAnsi="Times New Roman" w:eastAsia="Calibri" w:cs="Times New Roman"/>
          <w:b/>
          <w:bCs/>
        </w:rPr>
        <w:t xml:space="preserve"> 9.Hospodársky výsledok za rok 2022 – vývoj nákladov a výnosov</w:t>
      </w:r>
    </w:p>
    <w:tbl>
      <w:tblPr>
        <w:tblStyle w:val="14"/>
        <w:tblW w:w="0" w:type="auto"/>
        <w:tblInd w:w="0" w:type="dxa"/>
        <w:tblLayout w:type="fixed"/>
        <w:tblCellMar>
          <w:top w:w="15" w:type="dxa"/>
          <w:left w:w="15" w:type="dxa"/>
          <w:bottom w:w="15" w:type="dxa"/>
          <w:right w:w="15" w:type="dxa"/>
        </w:tblCellMar>
      </w:tblPr>
      <w:tblGrid>
        <w:gridCol w:w="3240"/>
        <w:gridCol w:w="2400"/>
        <w:gridCol w:w="3255"/>
      </w:tblGrid>
      <w:tr>
        <w:tblPrEx>
          <w:tblCellMar>
            <w:top w:w="15" w:type="dxa"/>
            <w:left w:w="15" w:type="dxa"/>
            <w:bottom w:w="15" w:type="dxa"/>
            <w:right w:w="15" w:type="dxa"/>
          </w:tblCellMar>
        </w:tblPrEx>
        <w:tc>
          <w:tcPr>
            <w:tcW w:w="3240" w:type="dxa"/>
            <w:tcBorders>
              <w:top w:val="outset" w:color="auto" w:sz="6" w:space="0"/>
              <w:left w:val="outset" w:color="auto" w:sz="6" w:space="0"/>
              <w:bottom w:val="outset" w:color="auto" w:sz="6" w:space="0"/>
              <w:right w:val="outset" w:color="auto" w:sz="6" w:space="0"/>
            </w:tcBorders>
            <w:shd w:val="clear" w:color="auto" w:fill="BFBFBF"/>
          </w:tcPr>
          <w:p>
            <w:pPr>
              <w:pStyle w:val="6"/>
              <w:jc w:val="both"/>
              <w:rPr>
                <w:rFonts w:ascii="Times New Roman" w:hAnsi="Times New Roman" w:eastAsia="Calibri" w:cs="Times New Roman"/>
                <w:b/>
                <w:bCs/>
                <w:highlight w:val="lightGray"/>
              </w:rPr>
            </w:pPr>
            <w:r>
              <w:rPr>
                <w:rFonts w:ascii="Times New Roman" w:hAnsi="Times New Roman" w:eastAsia="Calibri" w:cs="Times New Roman"/>
                <w:highlight w:val="lightGray"/>
              </w:rPr>
              <w:t>Názov</w:t>
            </w:r>
          </w:p>
        </w:tc>
        <w:tc>
          <w:tcPr>
            <w:tcW w:w="2400" w:type="dxa"/>
            <w:tcBorders>
              <w:top w:val="outset" w:color="auto" w:sz="6" w:space="0"/>
              <w:left w:val="outset" w:color="auto" w:sz="6" w:space="0"/>
              <w:bottom w:val="outset" w:color="auto" w:sz="6" w:space="0"/>
              <w:right w:val="outset" w:color="auto" w:sz="6" w:space="0"/>
            </w:tcBorders>
            <w:shd w:val="clear" w:color="auto" w:fill="BFBFBF"/>
          </w:tcPr>
          <w:p>
            <w:pPr>
              <w:pStyle w:val="6"/>
              <w:jc w:val="center"/>
              <w:rPr>
                <w:rFonts w:ascii="Times New Roman" w:hAnsi="Times New Roman" w:eastAsia="Calibri" w:cs="Times New Roman"/>
                <w:b/>
                <w:bCs/>
                <w:highlight w:val="lightGray"/>
              </w:rPr>
            </w:pPr>
            <w:r>
              <w:rPr>
                <w:rFonts w:ascii="Times New Roman" w:hAnsi="Times New Roman" w:eastAsia="Calibri" w:cs="Times New Roman"/>
                <w:b/>
                <w:bCs/>
                <w:highlight w:val="lightGray"/>
              </w:rPr>
              <w:t>Skutočnosť k 31.12.2021</w:t>
            </w:r>
          </w:p>
        </w:tc>
        <w:tc>
          <w:tcPr>
            <w:tcW w:w="3255" w:type="dxa"/>
            <w:tcBorders>
              <w:top w:val="outset" w:color="auto" w:sz="6" w:space="0"/>
              <w:left w:val="outset" w:color="auto" w:sz="6" w:space="0"/>
              <w:bottom w:val="outset" w:color="auto" w:sz="6" w:space="0"/>
              <w:right w:val="outset" w:color="auto" w:sz="6" w:space="0"/>
            </w:tcBorders>
            <w:shd w:val="clear" w:color="auto" w:fill="BFBFBF"/>
          </w:tcPr>
          <w:p>
            <w:pPr>
              <w:pStyle w:val="6"/>
              <w:jc w:val="center"/>
              <w:rPr>
                <w:rFonts w:ascii="Times New Roman" w:hAnsi="Times New Roman" w:eastAsia="Calibri" w:cs="Times New Roman"/>
                <w:b/>
                <w:bCs/>
                <w:highlight w:val="lightGray"/>
              </w:rPr>
            </w:pPr>
            <w:r>
              <w:rPr>
                <w:rFonts w:ascii="Times New Roman" w:hAnsi="Times New Roman" w:eastAsia="Calibri" w:cs="Times New Roman"/>
                <w:b/>
                <w:bCs/>
                <w:highlight w:val="lightGray"/>
              </w:rPr>
              <w:t>Skutočnosť k 31.12.2022</w:t>
            </w:r>
          </w:p>
        </w:tc>
      </w:tr>
      <w:tr>
        <w:tblPrEx>
          <w:tblCellMar>
            <w:top w:w="15" w:type="dxa"/>
            <w:left w:w="15" w:type="dxa"/>
            <w:bottom w:w="15" w:type="dxa"/>
            <w:right w:w="15" w:type="dxa"/>
          </w:tblCellMar>
        </w:tblPrEx>
        <w:tc>
          <w:tcPr>
            <w:tcW w:w="3240" w:type="dxa"/>
            <w:tcBorders>
              <w:top w:val="nil"/>
              <w:left w:val="outset" w:color="auto" w:sz="6" w:space="0"/>
              <w:bottom w:val="outset" w:color="auto" w:sz="6" w:space="0"/>
              <w:right w:val="outset" w:color="auto" w:sz="6" w:space="0"/>
            </w:tcBorders>
            <w:shd w:val="clear" w:color="auto" w:fill="BFBFBF"/>
          </w:tcPr>
          <w:p>
            <w:pPr>
              <w:pStyle w:val="6"/>
              <w:jc w:val="both"/>
              <w:rPr>
                <w:rFonts w:ascii="Times New Roman" w:hAnsi="Times New Roman" w:eastAsia="Calibri" w:cs="Times New Roman"/>
                <w:b/>
                <w:bCs/>
              </w:rPr>
            </w:pPr>
            <w:r>
              <w:rPr>
                <w:rFonts w:ascii="Times New Roman" w:hAnsi="Times New Roman" w:eastAsia="Calibri" w:cs="Times New Roman"/>
                <w:b/>
                <w:bCs/>
              </w:rPr>
              <w:t xml:space="preserve">Náklady </w:t>
            </w:r>
          </w:p>
        </w:tc>
        <w:tc>
          <w:tcPr>
            <w:tcW w:w="2400" w:type="dxa"/>
            <w:tcBorders>
              <w:top w:val="nil"/>
              <w:left w:val="outset" w:color="auto" w:sz="6" w:space="0"/>
              <w:bottom w:val="outset" w:color="auto" w:sz="6" w:space="0"/>
              <w:right w:val="outset" w:color="auto" w:sz="6" w:space="0"/>
            </w:tcBorders>
            <w:shd w:val="clear" w:color="auto" w:fill="BFBFBF"/>
          </w:tcPr>
          <w:p>
            <w:pPr>
              <w:pStyle w:val="6"/>
              <w:jc w:val="center"/>
              <w:rPr>
                <w:rFonts w:ascii="Times New Roman" w:hAnsi="Times New Roman" w:eastAsia="Calibri" w:cs="Times New Roman"/>
                <w:b/>
                <w:bCs/>
              </w:rPr>
            </w:pPr>
            <w:r>
              <w:rPr>
                <w:rFonts w:ascii="Times New Roman" w:hAnsi="Times New Roman" w:eastAsia="Calibri" w:cs="Times New Roman"/>
                <w:b/>
                <w:bCs/>
              </w:rPr>
              <w:t>111 555,02</w:t>
            </w:r>
          </w:p>
        </w:tc>
        <w:tc>
          <w:tcPr>
            <w:tcW w:w="3255" w:type="dxa"/>
            <w:tcBorders>
              <w:top w:val="nil"/>
              <w:left w:val="outset" w:color="auto" w:sz="6" w:space="0"/>
              <w:bottom w:val="outset" w:color="auto" w:sz="6" w:space="0"/>
              <w:right w:val="outset" w:color="auto" w:sz="6" w:space="0"/>
            </w:tcBorders>
            <w:shd w:val="clear" w:color="auto" w:fill="BFBFBF"/>
          </w:tcPr>
          <w:p>
            <w:pPr>
              <w:pStyle w:val="6"/>
              <w:jc w:val="center"/>
              <w:rPr>
                <w:rFonts w:ascii="Times New Roman" w:hAnsi="Times New Roman" w:eastAsia="Calibri" w:cs="Times New Roman"/>
                <w:b/>
                <w:bCs/>
              </w:rPr>
            </w:pPr>
            <w:r>
              <w:rPr>
                <w:rFonts w:ascii="Times New Roman" w:hAnsi="Times New Roman" w:eastAsia="Calibri" w:cs="Times New Roman"/>
                <w:b/>
                <w:bCs/>
              </w:rPr>
              <w:t>125 237,66</w:t>
            </w:r>
          </w:p>
        </w:tc>
      </w:tr>
      <w:tr>
        <w:tblPrEx>
          <w:tblCellMar>
            <w:top w:w="15" w:type="dxa"/>
            <w:left w:w="15" w:type="dxa"/>
            <w:bottom w:w="15" w:type="dxa"/>
            <w:right w:w="15" w:type="dxa"/>
          </w:tblCellMar>
        </w:tblPrEx>
        <w:tc>
          <w:tcPr>
            <w:tcW w:w="3240" w:type="dxa"/>
            <w:tcBorders>
              <w:top w:val="nil"/>
              <w:left w:val="outset" w:color="auto" w:sz="6" w:space="0"/>
              <w:bottom w:val="outset" w:color="auto" w:sz="6" w:space="0"/>
              <w:right w:val="outset" w:color="auto" w:sz="6" w:space="0"/>
            </w:tcBorders>
          </w:tcPr>
          <w:p>
            <w:pPr>
              <w:pStyle w:val="6"/>
              <w:jc w:val="both"/>
              <w:rPr>
                <w:rFonts w:ascii="Times New Roman" w:hAnsi="Times New Roman" w:eastAsia="Calibri" w:cs="Times New Roman"/>
              </w:rPr>
            </w:pPr>
            <w:r>
              <w:rPr>
                <w:rFonts w:ascii="Times New Roman" w:hAnsi="Times New Roman" w:eastAsia="Calibri" w:cs="Times New Roman"/>
              </w:rPr>
              <w:t>50 – Spotrebné nákupy</w:t>
            </w:r>
          </w:p>
        </w:tc>
        <w:tc>
          <w:tcPr>
            <w:tcW w:w="2400"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rPr>
            </w:pPr>
            <w:r>
              <w:rPr>
                <w:rFonts w:ascii="Times New Roman" w:hAnsi="Times New Roman" w:eastAsia="Calibri" w:cs="Times New Roman"/>
              </w:rPr>
              <w:t>19 084,76</w:t>
            </w:r>
          </w:p>
        </w:tc>
        <w:tc>
          <w:tcPr>
            <w:tcW w:w="3255"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rPr>
            </w:pPr>
            <w:r>
              <w:rPr>
                <w:rFonts w:ascii="Times New Roman" w:hAnsi="Times New Roman" w:eastAsia="Calibri" w:cs="Times New Roman"/>
              </w:rPr>
              <w:t>22 820,72</w:t>
            </w:r>
          </w:p>
        </w:tc>
      </w:tr>
      <w:tr>
        <w:tblPrEx>
          <w:tblCellMar>
            <w:top w:w="15" w:type="dxa"/>
            <w:left w:w="15" w:type="dxa"/>
            <w:bottom w:w="15" w:type="dxa"/>
            <w:right w:w="15" w:type="dxa"/>
          </w:tblCellMar>
        </w:tblPrEx>
        <w:tc>
          <w:tcPr>
            <w:tcW w:w="3240" w:type="dxa"/>
            <w:tcBorders>
              <w:top w:val="nil"/>
              <w:left w:val="outset" w:color="auto" w:sz="6" w:space="0"/>
              <w:bottom w:val="outset" w:color="auto" w:sz="6" w:space="0"/>
              <w:right w:val="outset" w:color="auto" w:sz="6" w:space="0"/>
            </w:tcBorders>
          </w:tcPr>
          <w:p>
            <w:pPr>
              <w:pStyle w:val="6"/>
              <w:jc w:val="both"/>
              <w:rPr>
                <w:rFonts w:ascii="Times New Roman" w:hAnsi="Times New Roman" w:eastAsia="Calibri" w:cs="Times New Roman"/>
              </w:rPr>
            </w:pPr>
            <w:r>
              <w:rPr>
                <w:rFonts w:ascii="Times New Roman" w:hAnsi="Times New Roman" w:eastAsia="Calibri" w:cs="Times New Roman"/>
              </w:rPr>
              <w:t>51 – Služby</w:t>
            </w:r>
          </w:p>
        </w:tc>
        <w:tc>
          <w:tcPr>
            <w:tcW w:w="2400"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rPr>
            </w:pPr>
            <w:r>
              <w:rPr>
                <w:rFonts w:ascii="Times New Roman" w:hAnsi="Times New Roman" w:eastAsia="Calibri" w:cs="Times New Roman"/>
              </w:rPr>
              <w:t>16 940,16</w:t>
            </w:r>
          </w:p>
        </w:tc>
        <w:tc>
          <w:tcPr>
            <w:tcW w:w="3255"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rPr>
            </w:pPr>
            <w:r>
              <w:rPr>
                <w:rFonts w:ascii="Times New Roman" w:hAnsi="Times New Roman" w:eastAsia="Calibri" w:cs="Times New Roman"/>
              </w:rPr>
              <w:t>20 770,11</w:t>
            </w:r>
          </w:p>
        </w:tc>
      </w:tr>
      <w:tr>
        <w:tblPrEx>
          <w:tblCellMar>
            <w:top w:w="15" w:type="dxa"/>
            <w:left w:w="15" w:type="dxa"/>
            <w:bottom w:w="15" w:type="dxa"/>
            <w:right w:w="15" w:type="dxa"/>
          </w:tblCellMar>
        </w:tblPrEx>
        <w:tc>
          <w:tcPr>
            <w:tcW w:w="3240" w:type="dxa"/>
            <w:tcBorders>
              <w:top w:val="nil"/>
              <w:left w:val="outset" w:color="auto" w:sz="6" w:space="0"/>
              <w:bottom w:val="outset" w:color="auto" w:sz="6" w:space="0"/>
              <w:right w:val="outset" w:color="auto" w:sz="6" w:space="0"/>
            </w:tcBorders>
          </w:tcPr>
          <w:p>
            <w:pPr>
              <w:pStyle w:val="6"/>
              <w:jc w:val="both"/>
              <w:rPr>
                <w:rFonts w:ascii="Times New Roman" w:hAnsi="Times New Roman" w:eastAsia="Calibri" w:cs="Times New Roman"/>
              </w:rPr>
            </w:pPr>
            <w:r>
              <w:rPr>
                <w:rFonts w:ascii="Times New Roman" w:hAnsi="Times New Roman" w:eastAsia="Calibri" w:cs="Times New Roman"/>
              </w:rPr>
              <w:t>52 – Osobné náklady</w:t>
            </w:r>
          </w:p>
        </w:tc>
        <w:tc>
          <w:tcPr>
            <w:tcW w:w="2400"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rPr>
            </w:pPr>
            <w:r>
              <w:rPr>
                <w:rFonts w:ascii="Times New Roman" w:hAnsi="Times New Roman" w:eastAsia="Calibri" w:cs="Times New Roman"/>
              </w:rPr>
              <w:t>52 730,73</w:t>
            </w:r>
          </w:p>
        </w:tc>
        <w:tc>
          <w:tcPr>
            <w:tcW w:w="3255"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rPr>
            </w:pPr>
            <w:r>
              <w:rPr>
                <w:rFonts w:ascii="Times New Roman" w:hAnsi="Times New Roman" w:eastAsia="Calibri" w:cs="Times New Roman"/>
              </w:rPr>
              <w:t>56 327,20</w:t>
            </w:r>
          </w:p>
        </w:tc>
      </w:tr>
      <w:tr>
        <w:tblPrEx>
          <w:tblCellMar>
            <w:top w:w="15" w:type="dxa"/>
            <w:left w:w="15" w:type="dxa"/>
            <w:bottom w:w="15" w:type="dxa"/>
            <w:right w:w="15" w:type="dxa"/>
          </w:tblCellMar>
        </w:tblPrEx>
        <w:tc>
          <w:tcPr>
            <w:tcW w:w="3240" w:type="dxa"/>
            <w:tcBorders>
              <w:top w:val="nil"/>
              <w:left w:val="outset" w:color="auto" w:sz="6" w:space="0"/>
              <w:bottom w:val="outset" w:color="auto" w:sz="6" w:space="0"/>
              <w:right w:val="outset" w:color="auto" w:sz="6" w:space="0"/>
            </w:tcBorders>
          </w:tcPr>
          <w:p>
            <w:pPr>
              <w:pStyle w:val="6"/>
              <w:jc w:val="both"/>
              <w:rPr>
                <w:rFonts w:ascii="Times New Roman" w:hAnsi="Times New Roman" w:eastAsia="Calibri" w:cs="Times New Roman"/>
              </w:rPr>
            </w:pPr>
            <w:r>
              <w:rPr>
                <w:rFonts w:ascii="Times New Roman" w:hAnsi="Times New Roman" w:eastAsia="Calibri" w:cs="Times New Roman"/>
              </w:rPr>
              <w:t>53 – Dane a popl.</w:t>
            </w:r>
          </w:p>
        </w:tc>
        <w:tc>
          <w:tcPr>
            <w:tcW w:w="2400"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rPr>
            </w:pPr>
            <w:r>
              <w:rPr>
                <w:rFonts w:ascii="Times New Roman" w:hAnsi="Times New Roman" w:eastAsia="Calibri" w:cs="Times New Roman"/>
              </w:rPr>
              <w:t>144,08</w:t>
            </w:r>
          </w:p>
        </w:tc>
        <w:tc>
          <w:tcPr>
            <w:tcW w:w="3255"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rPr>
            </w:pPr>
            <w:r>
              <w:rPr>
                <w:rFonts w:ascii="Times New Roman" w:hAnsi="Times New Roman" w:eastAsia="Calibri" w:cs="Times New Roman"/>
              </w:rPr>
              <w:t>93,84</w:t>
            </w:r>
          </w:p>
        </w:tc>
      </w:tr>
      <w:tr>
        <w:tblPrEx>
          <w:tblCellMar>
            <w:top w:w="15" w:type="dxa"/>
            <w:left w:w="15" w:type="dxa"/>
            <w:bottom w:w="15" w:type="dxa"/>
            <w:right w:w="15" w:type="dxa"/>
          </w:tblCellMar>
        </w:tblPrEx>
        <w:tc>
          <w:tcPr>
            <w:tcW w:w="3240" w:type="dxa"/>
            <w:tcBorders>
              <w:top w:val="nil"/>
              <w:left w:val="outset" w:color="auto" w:sz="6" w:space="0"/>
              <w:bottom w:val="outset" w:color="auto" w:sz="6" w:space="0"/>
              <w:right w:val="outset" w:color="auto" w:sz="6" w:space="0"/>
            </w:tcBorders>
          </w:tcPr>
          <w:p>
            <w:pPr>
              <w:pStyle w:val="6"/>
              <w:jc w:val="both"/>
              <w:rPr>
                <w:rFonts w:ascii="Times New Roman" w:hAnsi="Times New Roman" w:eastAsia="Calibri" w:cs="Times New Roman"/>
              </w:rPr>
            </w:pPr>
            <w:r>
              <w:rPr>
                <w:rFonts w:ascii="Times New Roman" w:hAnsi="Times New Roman" w:eastAsia="Calibri" w:cs="Times New Roman"/>
              </w:rPr>
              <w:t>54 – Ostatné náklady na prev.činnosť</w:t>
            </w:r>
          </w:p>
        </w:tc>
        <w:tc>
          <w:tcPr>
            <w:tcW w:w="2400"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rPr>
            </w:pPr>
            <w:r>
              <w:rPr>
                <w:rFonts w:ascii="Times New Roman" w:hAnsi="Times New Roman" w:eastAsia="Calibri" w:cs="Times New Roman"/>
              </w:rPr>
              <w:t>120,54</w:t>
            </w:r>
          </w:p>
        </w:tc>
        <w:tc>
          <w:tcPr>
            <w:tcW w:w="3255"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rPr>
            </w:pPr>
            <w:r>
              <w:rPr>
                <w:rFonts w:ascii="Times New Roman" w:hAnsi="Times New Roman" w:eastAsia="Calibri" w:cs="Times New Roman"/>
              </w:rPr>
              <w:t>1 457,84</w:t>
            </w:r>
          </w:p>
        </w:tc>
      </w:tr>
      <w:tr>
        <w:tblPrEx>
          <w:tblCellMar>
            <w:top w:w="15" w:type="dxa"/>
            <w:left w:w="15" w:type="dxa"/>
            <w:bottom w:w="15" w:type="dxa"/>
            <w:right w:w="15" w:type="dxa"/>
          </w:tblCellMar>
        </w:tblPrEx>
        <w:tc>
          <w:tcPr>
            <w:tcW w:w="3240" w:type="dxa"/>
            <w:tcBorders>
              <w:top w:val="nil"/>
              <w:left w:val="outset" w:color="auto" w:sz="6" w:space="0"/>
              <w:bottom w:val="outset" w:color="auto" w:sz="6" w:space="0"/>
              <w:right w:val="outset" w:color="auto" w:sz="6" w:space="0"/>
            </w:tcBorders>
          </w:tcPr>
          <w:p>
            <w:pPr>
              <w:pStyle w:val="6"/>
              <w:jc w:val="both"/>
              <w:rPr>
                <w:rFonts w:ascii="Times New Roman" w:hAnsi="Times New Roman" w:eastAsia="Calibri" w:cs="Times New Roman"/>
              </w:rPr>
            </w:pPr>
            <w:r>
              <w:rPr>
                <w:rFonts w:ascii="Times New Roman" w:hAnsi="Times New Roman" w:eastAsia="Calibri" w:cs="Times New Roman"/>
              </w:rPr>
              <w:t>55 – Odpisy, rez. a OP, z prev.činnostia fin.činn.,časové rozl.</w:t>
            </w:r>
          </w:p>
        </w:tc>
        <w:tc>
          <w:tcPr>
            <w:tcW w:w="2400"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rPr>
            </w:pPr>
            <w:r>
              <w:rPr>
                <w:rFonts w:ascii="Times New Roman" w:hAnsi="Times New Roman" w:eastAsia="Calibri" w:cs="Times New Roman"/>
              </w:rPr>
              <w:t>21 615</w:t>
            </w:r>
          </w:p>
        </w:tc>
        <w:tc>
          <w:tcPr>
            <w:tcW w:w="3255"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rPr>
            </w:pPr>
            <w:r>
              <w:rPr>
                <w:rFonts w:ascii="Times New Roman" w:hAnsi="Times New Roman" w:eastAsia="Calibri" w:cs="Times New Roman"/>
              </w:rPr>
              <w:t>22 234,13</w:t>
            </w:r>
          </w:p>
        </w:tc>
      </w:tr>
      <w:tr>
        <w:tblPrEx>
          <w:tblCellMar>
            <w:top w:w="15" w:type="dxa"/>
            <w:left w:w="15" w:type="dxa"/>
            <w:bottom w:w="15" w:type="dxa"/>
            <w:right w:w="15" w:type="dxa"/>
          </w:tblCellMar>
        </w:tblPrEx>
        <w:tc>
          <w:tcPr>
            <w:tcW w:w="3240" w:type="dxa"/>
            <w:tcBorders>
              <w:top w:val="nil"/>
              <w:left w:val="outset" w:color="auto" w:sz="6" w:space="0"/>
              <w:bottom w:val="outset" w:color="auto" w:sz="6" w:space="0"/>
              <w:right w:val="outset" w:color="auto" w:sz="6" w:space="0"/>
            </w:tcBorders>
          </w:tcPr>
          <w:p>
            <w:pPr>
              <w:pStyle w:val="6"/>
              <w:jc w:val="both"/>
              <w:rPr>
                <w:rFonts w:ascii="Times New Roman" w:hAnsi="Times New Roman" w:eastAsia="Calibri" w:cs="Times New Roman"/>
              </w:rPr>
            </w:pPr>
            <w:r>
              <w:rPr>
                <w:rFonts w:ascii="Times New Roman" w:hAnsi="Times New Roman" w:eastAsia="Calibri" w:cs="Times New Roman"/>
              </w:rPr>
              <w:t>56 – Finančné nákl.</w:t>
            </w:r>
          </w:p>
        </w:tc>
        <w:tc>
          <w:tcPr>
            <w:tcW w:w="2400"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rPr>
            </w:pPr>
            <w:r>
              <w:rPr>
                <w:rFonts w:ascii="Times New Roman" w:hAnsi="Times New Roman" w:eastAsia="Calibri" w:cs="Times New Roman"/>
              </w:rPr>
              <w:t>919,75</w:t>
            </w:r>
          </w:p>
        </w:tc>
        <w:tc>
          <w:tcPr>
            <w:tcW w:w="3255"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rPr>
            </w:pPr>
            <w:r>
              <w:rPr>
                <w:rFonts w:ascii="Times New Roman" w:hAnsi="Times New Roman" w:eastAsia="Calibri" w:cs="Times New Roman"/>
              </w:rPr>
              <w:t>1 533,82</w:t>
            </w:r>
          </w:p>
        </w:tc>
      </w:tr>
      <w:tr>
        <w:tblPrEx>
          <w:tblCellMar>
            <w:top w:w="15" w:type="dxa"/>
            <w:left w:w="15" w:type="dxa"/>
            <w:bottom w:w="15" w:type="dxa"/>
            <w:right w:w="15" w:type="dxa"/>
          </w:tblCellMar>
        </w:tblPrEx>
        <w:tc>
          <w:tcPr>
            <w:tcW w:w="3240" w:type="dxa"/>
            <w:tcBorders>
              <w:top w:val="nil"/>
              <w:left w:val="outset" w:color="auto" w:sz="6" w:space="0"/>
              <w:bottom w:val="outset" w:color="auto" w:sz="6" w:space="0"/>
              <w:right w:val="outset" w:color="auto" w:sz="6" w:space="0"/>
            </w:tcBorders>
          </w:tcPr>
          <w:p>
            <w:pPr>
              <w:pStyle w:val="6"/>
              <w:jc w:val="both"/>
              <w:rPr>
                <w:rFonts w:ascii="Times New Roman" w:hAnsi="Times New Roman" w:eastAsia="Calibri" w:cs="Times New Roman"/>
              </w:rPr>
            </w:pPr>
            <w:r>
              <w:rPr>
                <w:rFonts w:ascii="Times New Roman" w:hAnsi="Times New Roman" w:eastAsia="Calibri" w:cs="Times New Roman"/>
              </w:rPr>
              <w:t>58 – Náklady na transf</w:t>
            </w:r>
          </w:p>
        </w:tc>
        <w:tc>
          <w:tcPr>
            <w:tcW w:w="2400"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rPr>
            </w:pPr>
            <w:r>
              <w:rPr>
                <w:rFonts w:ascii="Times New Roman" w:hAnsi="Times New Roman" w:eastAsia="Calibri" w:cs="Times New Roman"/>
              </w:rPr>
              <w:t>0,00</w:t>
            </w:r>
          </w:p>
        </w:tc>
        <w:tc>
          <w:tcPr>
            <w:tcW w:w="3255"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rPr>
            </w:pPr>
            <w:r>
              <w:rPr>
                <w:rFonts w:ascii="Times New Roman" w:hAnsi="Times New Roman" w:eastAsia="Calibri" w:cs="Times New Roman"/>
              </w:rPr>
              <w:t>0,00</w:t>
            </w:r>
          </w:p>
        </w:tc>
      </w:tr>
      <w:tr>
        <w:tblPrEx>
          <w:tblCellMar>
            <w:top w:w="15" w:type="dxa"/>
            <w:left w:w="15" w:type="dxa"/>
            <w:bottom w:w="15" w:type="dxa"/>
            <w:right w:w="15" w:type="dxa"/>
          </w:tblCellMar>
        </w:tblPrEx>
        <w:tc>
          <w:tcPr>
            <w:tcW w:w="3240" w:type="dxa"/>
            <w:tcBorders>
              <w:top w:val="nil"/>
              <w:left w:val="outset" w:color="auto" w:sz="6" w:space="0"/>
              <w:bottom w:val="outset" w:color="auto" w:sz="6" w:space="0"/>
              <w:right w:val="outset" w:color="auto" w:sz="6" w:space="0"/>
            </w:tcBorders>
          </w:tcPr>
          <w:p>
            <w:pPr>
              <w:pStyle w:val="6"/>
              <w:jc w:val="both"/>
              <w:rPr>
                <w:rFonts w:ascii="Times New Roman" w:hAnsi="Times New Roman" w:eastAsia="Calibri" w:cs="Times New Roman"/>
              </w:rPr>
            </w:pPr>
            <w:r>
              <w:rPr>
                <w:rFonts w:ascii="Times New Roman" w:hAnsi="Times New Roman" w:eastAsia="Calibri" w:cs="Times New Roman"/>
              </w:rPr>
              <w:t>59- Daň z príjmov</w:t>
            </w:r>
          </w:p>
        </w:tc>
        <w:tc>
          <w:tcPr>
            <w:tcW w:w="2400"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rPr>
            </w:pPr>
            <w:r>
              <w:rPr>
                <w:rFonts w:ascii="Times New Roman" w:hAnsi="Times New Roman" w:eastAsia="Calibri" w:cs="Times New Roman"/>
              </w:rPr>
              <w:t>0</w:t>
            </w:r>
          </w:p>
        </w:tc>
        <w:tc>
          <w:tcPr>
            <w:tcW w:w="3255"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rPr>
            </w:pPr>
            <w:r>
              <w:rPr>
                <w:rFonts w:ascii="Times New Roman" w:hAnsi="Times New Roman" w:eastAsia="Calibri" w:cs="Times New Roman"/>
              </w:rPr>
              <w:t>0</w:t>
            </w:r>
          </w:p>
        </w:tc>
      </w:tr>
      <w:tr>
        <w:tblPrEx>
          <w:tblCellMar>
            <w:top w:w="15" w:type="dxa"/>
            <w:left w:w="15" w:type="dxa"/>
            <w:bottom w:w="15" w:type="dxa"/>
            <w:right w:w="15" w:type="dxa"/>
          </w:tblCellMar>
        </w:tblPrEx>
        <w:tc>
          <w:tcPr>
            <w:tcW w:w="3240" w:type="dxa"/>
            <w:tcBorders>
              <w:top w:val="nil"/>
              <w:left w:val="outset" w:color="auto" w:sz="6" w:space="0"/>
              <w:bottom w:val="outset" w:color="auto" w:sz="6" w:space="0"/>
              <w:right w:val="outset" w:color="auto" w:sz="6" w:space="0"/>
            </w:tcBorders>
            <w:shd w:val="clear" w:color="auto" w:fill="BFBFBF"/>
          </w:tcPr>
          <w:p>
            <w:pPr>
              <w:pStyle w:val="6"/>
              <w:jc w:val="both"/>
              <w:rPr>
                <w:rFonts w:ascii="Times New Roman" w:hAnsi="Times New Roman" w:eastAsia="Calibri" w:cs="Times New Roman"/>
                <w:b/>
                <w:bCs/>
              </w:rPr>
            </w:pPr>
            <w:r>
              <w:rPr>
                <w:rFonts w:ascii="Times New Roman" w:hAnsi="Times New Roman" w:eastAsia="Calibri" w:cs="Times New Roman"/>
                <w:b/>
                <w:bCs/>
              </w:rPr>
              <w:t>Výnosy</w:t>
            </w:r>
          </w:p>
        </w:tc>
        <w:tc>
          <w:tcPr>
            <w:tcW w:w="2400" w:type="dxa"/>
            <w:tcBorders>
              <w:top w:val="nil"/>
              <w:left w:val="outset" w:color="auto" w:sz="6" w:space="0"/>
              <w:bottom w:val="outset" w:color="auto" w:sz="6" w:space="0"/>
              <w:right w:val="outset" w:color="auto" w:sz="6" w:space="0"/>
            </w:tcBorders>
            <w:shd w:val="clear" w:color="auto" w:fill="BFBFBF"/>
          </w:tcPr>
          <w:p>
            <w:pPr>
              <w:pStyle w:val="6"/>
              <w:jc w:val="center"/>
              <w:rPr>
                <w:rFonts w:ascii="Times New Roman" w:hAnsi="Times New Roman" w:eastAsia="Calibri" w:cs="Times New Roman"/>
                <w:b/>
                <w:bCs/>
              </w:rPr>
            </w:pPr>
            <w:r>
              <w:rPr>
                <w:rFonts w:ascii="Times New Roman" w:hAnsi="Times New Roman" w:eastAsia="Calibri" w:cs="Times New Roman"/>
                <w:b/>
                <w:bCs/>
              </w:rPr>
              <w:t>108 219,19</w:t>
            </w:r>
          </w:p>
        </w:tc>
        <w:tc>
          <w:tcPr>
            <w:tcW w:w="3255" w:type="dxa"/>
            <w:tcBorders>
              <w:top w:val="nil"/>
              <w:left w:val="outset" w:color="auto" w:sz="6" w:space="0"/>
              <w:bottom w:val="outset" w:color="auto" w:sz="6" w:space="0"/>
              <w:right w:val="outset" w:color="auto" w:sz="6" w:space="0"/>
            </w:tcBorders>
            <w:shd w:val="clear" w:color="auto" w:fill="BFBFBF"/>
          </w:tcPr>
          <w:p>
            <w:pPr>
              <w:pStyle w:val="6"/>
              <w:jc w:val="center"/>
              <w:rPr>
                <w:rFonts w:ascii="Times New Roman" w:hAnsi="Times New Roman" w:eastAsia="Calibri" w:cs="Times New Roman"/>
                <w:b/>
                <w:bCs/>
              </w:rPr>
            </w:pPr>
            <w:r>
              <w:rPr>
                <w:rFonts w:ascii="Times New Roman" w:hAnsi="Times New Roman" w:eastAsia="Calibri" w:cs="Times New Roman"/>
                <w:b/>
                <w:bCs/>
              </w:rPr>
              <w:t>117 272,39</w:t>
            </w:r>
          </w:p>
        </w:tc>
      </w:tr>
      <w:tr>
        <w:tblPrEx>
          <w:tblCellMar>
            <w:top w:w="15" w:type="dxa"/>
            <w:left w:w="15" w:type="dxa"/>
            <w:bottom w:w="15" w:type="dxa"/>
            <w:right w:w="15" w:type="dxa"/>
          </w:tblCellMar>
        </w:tblPrEx>
        <w:tc>
          <w:tcPr>
            <w:tcW w:w="3240" w:type="dxa"/>
            <w:tcBorders>
              <w:top w:val="nil"/>
              <w:left w:val="outset" w:color="auto" w:sz="6" w:space="0"/>
              <w:bottom w:val="outset" w:color="auto" w:sz="6" w:space="0"/>
              <w:right w:val="outset" w:color="auto" w:sz="6" w:space="0"/>
            </w:tcBorders>
          </w:tcPr>
          <w:p>
            <w:pPr>
              <w:pStyle w:val="6"/>
              <w:jc w:val="both"/>
              <w:rPr>
                <w:rFonts w:ascii="Times New Roman" w:hAnsi="Times New Roman" w:eastAsia="Calibri" w:cs="Times New Roman"/>
              </w:rPr>
            </w:pPr>
            <w:r>
              <w:rPr>
                <w:rFonts w:ascii="Times New Roman" w:hAnsi="Times New Roman" w:eastAsia="Calibri" w:cs="Times New Roman"/>
              </w:rPr>
              <w:t>60 – Tržby za vlastné výkony a tovar</w:t>
            </w:r>
          </w:p>
        </w:tc>
        <w:tc>
          <w:tcPr>
            <w:tcW w:w="2400"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rPr>
            </w:pPr>
            <w:r>
              <w:rPr>
                <w:rFonts w:ascii="Times New Roman" w:hAnsi="Times New Roman" w:eastAsia="Calibri" w:cs="Times New Roman"/>
              </w:rPr>
              <w:t>5 367,94</w:t>
            </w:r>
          </w:p>
        </w:tc>
        <w:tc>
          <w:tcPr>
            <w:tcW w:w="3255"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rPr>
            </w:pPr>
            <w:r>
              <w:rPr>
                <w:rFonts w:ascii="Times New Roman" w:hAnsi="Times New Roman" w:eastAsia="Calibri" w:cs="Times New Roman"/>
              </w:rPr>
              <w:t>2 638,74</w:t>
            </w:r>
          </w:p>
        </w:tc>
      </w:tr>
      <w:tr>
        <w:tblPrEx>
          <w:tblCellMar>
            <w:top w:w="15" w:type="dxa"/>
            <w:left w:w="15" w:type="dxa"/>
            <w:bottom w:w="15" w:type="dxa"/>
            <w:right w:w="15" w:type="dxa"/>
          </w:tblCellMar>
        </w:tblPrEx>
        <w:tc>
          <w:tcPr>
            <w:tcW w:w="3240" w:type="dxa"/>
            <w:tcBorders>
              <w:top w:val="nil"/>
              <w:left w:val="outset" w:color="auto" w:sz="6" w:space="0"/>
              <w:bottom w:val="outset" w:color="auto" w:sz="6" w:space="0"/>
              <w:right w:val="outset" w:color="auto" w:sz="6" w:space="0"/>
            </w:tcBorders>
          </w:tcPr>
          <w:p>
            <w:pPr>
              <w:pStyle w:val="6"/>
              <w:jc w:val="both"/>
              <w:rPr>
                <w:rFonts w:ascii="Times New Roman" w:hAnsi="Times New Roman" w:eastAsia="Calibri" w:cs="Times New Roman"/>
              </w:rPr>
            </w:pPr>
            <w:r>
              <w:rPr>
                <w:rFonts w:ascii="Times New Roman" w:hAnsi="Times New Roman" w:eastAsia="Calibri" w:cs="Times New Roman"/>
              </w:rPr>
              <w:t>61 – Zmena stavu</w:t>
            </w:r>
          </w:p>
        </w:tc>
        <w:tc>
          <w:tcPr>
            <w:tcW w:w="2400"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rPr>
            </w:pPr>
            <w:r>
              <w:rPr>
                <w:rFonts w:ascii="Times New Roman" w:hAnsi="Times New Roman" w:eastAsia="Calibri" w:cs="Times New Roman"/>
              </w:rPr>
              <w:t>0,00</w:t>
            </w:r>
          </w:p>
        </w:tc>
        <w:tc>
          <w:tcPr>
            <w:tcW w:w="3255"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rPr>
            </w:pPr>
            <w:r>
              <w:rPr>
                <w:rFonts w:ascii="Times New Roman" w:hAnsi="Times New Roman" w:eastAsia="Calibri" w:cs="Times New Roman"/>
              </w:rPr>
              <w:t>0,00</w:t>
            </w:r>
          </w:p>
        </w:tc>
      </w:tr>
      <w:tr>
        <w:tblPrEx>
          <w:tblCellMar>
            <w:top w:w="15" w:type="dxa"/>
            <w:left w:w="15" w:type="dxa"/>
            <w:bottom w:w="15" w:type="dxa"/>
            <w:right w:w="15" w:type="dxa"/>
          </w:tblCellMar>
        </w:tblPrEx>
        <w:tc>
          <w:tcPr>
            <w:tcW w:w="3240" w:type="dxa"/>
            <w:tcBorders>
              <w:top w:val="nil"/>
              <w:left w:val="outset" w:color="auto" w:sz="6" w:space="0"/>
              <w:bottom w:val="outset" w:color="auto" w:sz="6" w:space="0"/>
              <w:right w:val="outset" w:color="auto" w:sz="6" w:space="0"/>
            </w:tcBorders>
          </w:tcPr>
          <w:p>
            <w:pPr>
              <w:pStyle w:val="6"/>
              <w:jc w:val="both"/>
              <w:rPr>
                <w:rFonts w:ascii="Times New Roman" w:hAnsi="Times New Roman" w:eastAsia="Calibri" w:cs="Times New Roman"/>
              </w:rPr>
            </w:pPr>
            <w:r>
              <w:rPr>
                <w:rFonts w:ascii="Times New Roman" w:hAnsi="Times New Roman" w:eastAsia="Calibri" w:cs="Times New Roman"/>
              </w:rPr>
              <w:t>62 – Aktivácia</w:t>
            </w:r>
          </w:p>
        </w:tc>
        <w:tc>
          <w:tcPr>
            <w:tcW w:w="2400"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rPr>
            </w:pPr>
            <w:r>
              <w:rPr>
                <w:rFonts w:ascii="Times New Roman" w:hAnsi="Times New Roman" w:eastAsia="Calibri" w:cs="Times New Roman"/>
              </w:rPr>
              <w:t>0,00</w:t>
            </w:r>
          </w:p>
        </w:tc>
        <w:tc>
          <w:tcPr>
            <w:tcW w:w="3255"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rPr>
            </w:pPr>
            <w:r>
              <w:rPr>
                <w:rFonts w:ascii="Times New Roman" w:hAnsi="Times New Roman" w:eastAsia="Calibri" w:cs="Times New Roman"/>
              </w:rPr>
              <w:t>0,00</w:t>
            </w:r>
          </w:p>
        </w:tc>
      </w:tr>
      <w:tr>
        <w:tblPrEx>
          <w:tblCellMar>
            <w:top w:w="15" w:type="dxa"/>
            <w:left w:w="15" w:type="dxa"/>
            <w:bottom w:w="15" w:type="dxa"/>
            <w:right w:w="15" w:type="dxa"/>
          </w:tblCellMar>
        </w:tblPrEx>
        <w:tc>
          <w:tcPr>
            <w:tcW w:w="3240" w:type="dxa"/>
            <w:tcBorders>
              <w:top w:val="nil"/>
              <w:left w:val="outset" w:color="auto" w:sz="6" w:space="0"/>
              <w:bottom w:val="outset" w:color="auto" w:sz="6" w:space="0"/>
              <w:right w:val="outset" w:color="auto" w:sz="6" w:space="0"/>
            </w:tcBorders>
          </w:tcPr>
          <w:p>
            <w:pPr>
              <w:pStyle w:val="6"/>
              <w:jc w:val="both"/>
              <w:rPr>
                <w:rFonts w:ascii="Times New Roman" w:hAnsi="Times New Roman" w:eastAsia="Calibri" w:cs="Times New Roman"/>
              </w:rPr>
            </w:pPr>
            <w:r>
              <w:rPr>
                <w:rFonts w:ascii="Times New Roman" w:hAnsi="Times New Roman" w:eastAsia="Calibri" w:cs="Times New Roman"/>
              </w:rPr>
              <w:t>63 – Daň.a col.výnosy z popl.</w:t>
            </w:r>
          </w:p>
        </w:tc>
        <w:tc>
          <w:tcPr>
            <w:tcW w:w="2400"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rPr>
            </w:pPr>
            <w:r>
              <w:rPr>
                <w:rFonts w:ascii="Times New Roman" w:hAnsi="Times New Roman" w:eastAsia="Calibri" w:cs="Times New Roman"/>
              </w:rPr>
              <w:t>76 146,66</w:t>
            </w:r>
          </w:p>
        </w:tc>
        <w:tc>
          <w:tcPr>
            <w:tcW w:w="3255"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rPr>
            </w:pPr>
            <w:r>
              <w:rPr>
                <w:rFonts w:ascii="Times New Roman" w:hAnsi="Times New Roman" w:eastAsia="Calibri" w:cs="Times New Roman"/>
              </w:rPr>
              <w:t>87 598,94</w:t>
            </w:r>
          </w:p>
        </w:tc>
      </w:tr>
      <w:tr>
        <w:tblPrEx>
          <w:tblCellMar>
            <w:top w:w="15" w:type="dxa"/>
            <w:left w:w="15" w:type="dxa"/>
            <w:bottom w:w="15" w:type="dxa"/>
            <w:right w:w="15" w:type="dxa"/>
          </w:tblCellMar>
        </w:tblPrEx>
        <w:tc>
          <w:tcPr>
            <w:tcW w:w="3240" w:type="dxa"/>
            <w:tcBorders>
              <w:top w:val="nil"/>
              <w:left w:val="outset" w:color="auto" w:sz="6" w:space="0"/>
              <w:bottom w:val="outset" w:color="auto" w:sz="6" w:space="0"/>
              <w:right w:val="outset" w:color="auto" w:sz="6" w:space="0"/>
            </w:tcBorders>
          </w:tcPr>
          <w:p>
            <w:pPr>
              <w:pStyle w:val="6"/>
              <w:jc w:val="both"/>
              <w:rPr>
                <w:rFonts w:ascii="Times New Roman" w:hAnsi="Times New Roman" w:eastAsia="Calibri" w:cs="Times New Roman"/>
              </w:rPr>
            </w:pPr>
            <w:r>
              <w:rPr>
                <w:rFonts w:ascii="Times New Roman" w:hAnsi="Times New Roman" w:eastAsia="Calibri" w:cs="Times New Roman"/>
              </w:rPr>
              <w:t>64 – Ostatné výnosy</w:t>
            </w:r>
          </w:p>
        </w:tc>
        <w:tc>
          <w:tcPr>
            <w:tcW w:w="2400"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rPr>
            </w:pPr>
            <w:r>
              <w:rPr>
                <w:rFonts w:ascii="Times New Roman" w:hAnsi="Times New Roman" w:eastAsia="Calibri" w:cs="Times New Roman"/>
              </w:rPr>
              <w:t>2 440,75</w:t>
            </w:r>
          </w:p>
        </w:tc>
        <w:tc>
          <w:tcPr>
            <w:tcW w:w="3255"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rPr>
            </w:pPr>
            <w:r>
              <w:rPr>
                <w:rFonts w:ascii="Times New Roman" w:hAnsi="Times New Roman" w:eastAsia="Calibri" w:cs="Times New Roman"/>
              </w:rPr>
              <w:t>3 848,79</w:t>
            </w:r>
          </w:p>
        </w:tc>
      </w:tr>
      <w:tr>
        <w:tblPrEx>
          <w:tblCellMar>
            <w:top w:w="15" w:type="dxa"/>
            <w:left w:w="15" w:type="dxa"/>
            <w:bottom w:w="15" w:type="dxa"/>
            <w:right w:w="15" w:type="dxa"/>
          </w:tblCellMar>
        </w:tblPrEx>
        <w:tc>
          <w:tcPr>
            <w:tcW w:w="3240" w:type="dxa"/>
            <w:tcBorders>
              <w:top w:val="nil"/>
              <w:left w:val="outset" w:color="auto" w:sz="6" w:space="0"/>
              <w:bottom w:val="outset" w:color="auto" w:sz="6" w:space="0"/>
              <w:right w:val="outset" w:color="auto" w:sz="6" w:space="0"/>
            </w:tcBorders>
          </w:tcPr>
          <w:p>
            <w:pPr>
              <w:pStyle w:val="6"/>
              <w:jc w:val="both"/>
              <w:rPr>
                <w:rFonts w:ascii="Times New Roman" w:hAnsi="Times New Roman" w:eastAsia="Calibri" w:cs="Times New Roman"/>
              </w:rPr>
            </w:pPr>
            <w:r>
              <w:rPr>
                <w:rFonts w:ascii="Times New Roman" w:hAnsi="Times New Roman" w:eastAsia="Calibri" w:cs="Times New Roman"/>
              </w:rPr>
              <w:t>65 – Zúčtov.rezer a op.polož.fina.činnosti</w:t>
            </w:r>
          </w:p>
        </w:tc>
        <w:tc>
          <w:tcPr>
            <w:tcW w:w="2400"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rPr>
            </w:pPr>
            <w:r>
              <w:rPr>
                <w:rFonts w:ascii="Times New Roman" w:hAnsi="Times New Roman" w:eastAsia="Calibri" w:cs="Times New Roman"/>
              </w:rPr>
              <w:t>500</w:t>
            </w:r>
          </w:p>
        </w:tc>
        <w:tc>
          <w:tcPr>
            <w:tcW w:w="3255" w:type="dxa"/>
            <w:tcBorders>
              <w:top w:val="nil"/>
              <w:left w:val="outset" w:color="auto" w:sz="6" w:space="0"/>
              <w:bottom w:val="outset" w:color="auto" w:sz="6" w:space="0"/>
              <w:right w:val="outset" w:color="auto" w:sz="6" w:space="0"/>
            </w:tcBorders>
          </w:tcPr>
          <w:p>
            <w:pPr>
              <w:pStyle w:val="6"/>
              <w:jc w:val="center"/>
              <w:rPr>
                <w:rFonts w:ascii="Times New Roman" w:hAnsi="Times New Roman" w:eastAsia="Calibri" w:cs="Times New Roman"/>
              </w:rPr>
            </w:pPr>
            <w:r>
              <w:rPr>
                <w:rFonts w:ascii="Times New Roman" w:hAnsi="Times New Roman" w:eastAsia="Calibri" w:cs="Times New Roman"/>
              </w:rPr>
              <w:t>0,00</w:t>
            </w:r>
          </w:p>
        </w:tc>
      </w:tr>
      <w:tr>
        <w:tblPrEx>
          <w:tblCellMar>
            <w:top w:w="15" w:type="dxa"/>
            <w:left w:w="15" w:type="dxa"/>
            <w:bottom w:w="15" w:type="dxa"/>
            <w:right w:w="15" w:type="dxa"/>
          </w:tblCellMar>
        </w:tblPrEx>
        <w:tc>
          <w:tcPr>
            <w:tcW w:w="3240" w:type="dxa"/>
            <w:tcBorders>
              <w:top w:val="nil"/>
              <w:left w:val="outset" w:color="auto" w:sz="6" w:space="0"/>
              <w:bottom w:val="single" w:color="auto" w:sz="4" w:space="0"/>
              <w:right w:val="outset" w:color="auto" w:sz="6" w:space="0"/>
            </w:tcBorders>
          </w:tcPr>
          <w:p>
            <w:pPr>
              <w:pStyle w:val="6"/>
              <w:jc w:val="both"/>
              <w:rPr>
                <w:rFonts w:ascii="Times New Roman" w:hAnsi="Times New Roman" w:eastAsia="Calibri" w:cs="Times New Roman"/>
              </w:rPr>
            </w:pPr>
            <w:r>
              <w:rPr>
                <w:rFonts w:ascii="Times New Roman" w:hAnsi="Times New Roman" w:eastAsia="Calibri" w:cs="Times New Roman"/>
              </w:rPr>
              <w:t>66 – Finančné výnosy</w:t>
            </w:r>
          </w:p>
        </w:tc>
        <w:tc>
          <w:tcPr>
            <w:tcW w:w="2400" w:type="dxa"/>
            <w:tcBorders>
              <w:top w:val="nil"/>
              <w:left w:val="outset" w:color="auto" w:sz="6" w:space="0"/>
              <w:bottom w:val="single" w:color="auto" w:sz="4" w:space="0"/>
              <w:right w:val="outset" w:color="auto" w:sz="6" w:space="0"/>
            </w:tcBorders>
          </w:tcPr>
          <w:p>
            <w:pPr>
              <w:pStyle w:val="6"/>
              <w:jc w:val="center"/>
              <w:rPr>
                <w:rFonts w:ascii="Times New Roman" w:hAnsi="Times New Roman" w:eastAsia="Calibri" w:cs="Times New Roman"/>
              </w:rPr>
            </w:pPr>
            <w:r>
              <w:rPr>
                <w:rFonts w:ascii="Times New Roman" w:hAnsi="Times New Roman" w:eastAsia="Calibri" w:cs="Times New Roman"/>
              </w:rPr>
              <w:t>0,00</w:t>
            </w:r>
          </w:p>
        </w:tc>
        <w:tc>
          <w:tcPr>
            <w:tcW w:w="3255" w:type="dxa"/>
            <w:tcBorders>
              <w:top w:val="nil"/>
              <w:left w:val="outset" w:color="auto" w:sz="6" w:space="0"/>
              <w:bottom w:val="single" w:color="auto" w:sz="4" w:space="0"/>
              <w:right w:val="outset" w:color="auto" w:sz="6" w:space="0"/>
            </w:tcBorders>
          </w:tcPr>
          <w:p>
            <w:pPr>
              <w:pStyle w:val="6"/>
              <w:jc w:val="center"/>
              <w:rPr>
                <w:rFonts w:ascii="Times New Roman" w:hAnsi="Times New Roman" w:eastAsia="Calibri" w:cs="Times New Roman"/>
              </w:rPr>
            </w:pPr>
            <w:r>
              <w:rPr>
                <w:rFonts w:ascii="Times New Roman" w:hAnsi="Times New Roman" w:eastAsia="Calibri" w:cs="Times New Roman"/>
              </w:rPr>
              <w:t>0,00</w:t>
            </w:r>
          </w:p>
        </w:tc>
      </w:tr>
      <w:tr>
        <w:tblPrEx>
          <w:tblCellMar>
            <w:top w:w="15" w:type="dxa"/>
            <w:left w:w="15" w:type="dxa"/>
            <w:bottom w:w="15" w:type="dxa"/>
            <w:right w:w="15" w:type="dxa"/>
          </w:tblCellMar>
        </w:tblPrEx>
        <w:tc>
          <w:tcPr>
            <w:tcW w:w="3240" w:type="dxa"/>
            <w:tcBorders>
              <w:top w:val="single" w:color="auto" w:sz="4" w:space="0"/>
              <w:left w:val="single" w:color="auto" w:sz="4" w:space="0"/>
              <w:bottom w:val="single" w:color="auto" w:sz="4" w:space="0"/>
              <w:right w:val="single" w:color="auto" w:sz="4" w:space="0"/>
            </w:tcBorders>
          </w:tcPr>
          <w:p>
            <w:pPr>
              <w:pStyle w:val="6"/>
              <w:jc w:val="both"/>
              <w:rPr>
                <w:rFonts w:ascii="Times New Roman" w:hAnsi="Times New Roman" w:eastAsia="Calibri" w:cs="Times New Roman"/>
              </w:rPr>
            </w:pPr>
            <w:r>
              <w:rPr>
                <w:rFonts w:ascii="Times New Roman" w:hAnsi="Times New Roman" w:eastAsia="Calibri" w:cs="Times New Roman"/>
              </w:rPr>
              <w:t>67 – Mimoriad.výnosy</w:t>
            </w:r>
          </w:p>
        </w:tc>
        <w:tc>
          <w:tcPr>
            <w:tcW w:w="2400" w:type="dxa"/>
            <w:tcBorders>
              <w:top w:val="single" w:color="auto" w:sz="4" w:space="0"/>
              <w:left w:val="single" w:color="auto" w:sz="4" w:space="0"/>
              <w:bottom w:val="single" w:color="auto" w:sz="4" w:space="0"/>
              <w:right w:val="single" w:color="auto" w:sz="4" w:space="0"/>
            </w:tcBorders>
          </w:tcPr>
          <w:p>
            <w:pPr>
              <w:pStyle w:val="6"/>
              <w:jc w:val="center"/>
              <w:rPr>
                <w:rFonts w:ascii="Times New Roman" w:hAnsi="Times New Roman" w:eastAsia="Calibri" w:cs="Times New Roman"/>
              </w:rPr>
            </w:pPr>
            <w:r>
              <w:rPr>
                <w:rFonts w:ascii="Times New Roman" w:hAnsi="Times New Roman" w:eastAsia="Calibri" w:cs="Times New Roman"/>
              </w:rPr>
              <w:t>0,00</w:t>
            </w:r>
          </w:p>
        </w:tc>
        <w:tc>
          <w:tcPr>
            <w:tcW w:w="3255" w:type="dxa"/>
            <w:tcBorders>
              <w:top w:val="single" w:color="auto" w:sz="4" w:space="0"/>
              <w:left w:val="single" w:color="auto" w:sz="4" w:space="0"/>
              <w:bottom w:val="single" w:color="auto" w:sz="4" w:space="0"/>
              <w:right w:val="single" w:color="auto" w:sz="4" w:space="0"/>
            </w:tcBorders>
          </w:tcPr>
          <w:p>
            <w:pPr>
              <w:pStyle w:val="6"/>
              <w:jc w:val="center"/>
              <w:rPr>
                <w:rFonts w:ascii="Times New Roman" w:hAnsi="Times New Roman" w:eastAsia="Calibri" w:cs="Times New Roman"/>
              </w:rPr>
            </w:pPr>
            <w:r>
              <w:rPr>
                <w:rFonts w:ascii="Times New Roman" w:hAnsi="Times New Roman" w:eastAsia="Calibri" w:cs="Times New Roman"/>
              </w:rPr>
              <w:t>0,00</w:t>
            </w:r>
          </w:p>
        </w:tc>
      </w:tr>
      <w:tr>
        <w:tblPrEx>
          <w:tblCellMar>
            <w:top w:w="15" w:type="dxa"/>
            <w:left w:w="15" w:type="dxa"/>
            <w:bottom w:w="15" w:type="dxa"/>
            <w:right w:w="15" w:type="dxa"/>
          </w:tblCellMar>
        </w:tblPrEx>
        <w:tc>
          <w:tcPr>
            <w:tcW w:w="3240" w:type="dxa"/>
            <w:tcBorders>
              <w:top w:val="single" w:color="auto" w:sz="4" w:space="0"/>
              <w:left w:val="single" w:color="auto" w:sz="4" w:space="0"/>
              <w:bottom w:val="single" w:color="auto" w:sz="4" w:space="0"/>
              <w:right w:val="single" w:color="auto" w:sz="4" w:space="0"/>
            </w:tcBorders>
          </w:tcPr>
          <w:p>
            <w:pPr>
              <w:pStyle w:val="6"/>
              <w:jc w:val="both"/>
              <w:rPr>
                <w:rFonts w:ascii="Times New Roman" w:hAnsi="Times New Roman" w:eastAsia="Calibri" w:cs="Times New Roman"/>
              </w:rPr>
            </w:pPr>
            <w:bookmarkStart w:id="0" w:name="_GoBack"/>
            <w:r>
              <w:rPr>
                <w:rFonts w:ascii="Times New Roman" w:hAnsi="Times New Roman" w:eastAsia="Calibri" w:cs="Times New Roman"/>
              </w:rPr>
              <w:t>69 – Výnosy z tran.a rozp. Príjm.</w:t>
            </w:r>
          </w:p>
        </w:tc>
        <w:tc>
          <w:tcPr>
            <w:tcW w:w="2400" w:type="dxa"/>
            <w:tcBorders>
              <w:top w:val="single" w:color="auto" w:sz="4" w:space="0"/>
              <w:left w:val="single" w:color="auto" w:sz="4" w:space="0"/>
              <w:bottom w:val="single" w:color="auto" w:sz="4" w:space="0"/>
              <w:right w:val="single" w:color="auto" w:sz="4" w:space="0"/>
            </w:tcBorders>
          </w:tcPr>
          <w:p>
            <w:pPr>
              <w:pStyle w:val="6"/>
              <w:jc w:val="center"/>
              <w:rPr>
                <w:rFonts w:ascii="Times New Roman" w:hAnsi="Times New Roman" w:eastAsia="Calibri" w:cs="Times New Roman"/>
              </w:rPr>
            </w:pPr>
            <w:r>
              <w:rPr>
                <w:rFonts w:ascii="Times New Roman" w:hAnsi="Times New Roman" w:eastAsia="Calibri" w:cs="Times New Roman"/>
              </w:rPr>
              <w:t>23 493,84</w:t>
            </w:r>
          </w:p>
        </w:tc>
        <w:tc>
          <w:tcPr>
            <w:tcW w:w="3255" w:type="dxa"/>
            <w:tcBorders>
              <w:top w:val="single" w:color="auto" w:sz="4" w:space="0"/>
              <w:left w:val="single" w:color="auto" w:sz="4" w:space="0"/>
              <w:bottom w:val="single" w:color="auto" w:sz="4" w:space="0"/>
              <w:right w:val="single" w:color="auto" w:sz="4" w:space="0"/>
            </w:tcBorders>
          </w:tcPr>
          <w:p>
            <w:pPr>
              <w:pStyle w:val="6"/>
              <w:jc w:val="center"/>
              <w:rPr>
                <w:rFonts w:ascii="Times New Roman" w:hAnsi="Times New Roman" w:eastAsia="Calibri" w:cs="Times New Roman"/>
              </w:rPr>
            </w:pPr>
            <w:r>
              <w:rPr>
                <w:rFonts w:ascii="Times New Roman" w:hAnsi="Times New Roman" w:eastAsia="Calibri" w:cs="Times New Roman"/>
              </w:rPr>
              <w:t>21 185,92</w:t>
            </w:r>
          </w:p>
        </w:tc>
      </w:tr>
      <w:bookmarkEnd w:id="0"/>
      <w:tr>
        <w:tblPrEx>
          <w:tblCellMar>
            <w:top w:w="15" w:type="dxa"/>
            <w:left w:w="15" w:type="dxa"/>
            <w:bottom w:w="15" w:type="dxa"/>
            <w:right w:w="15" w:type="dxa"/>
          </w:tblCellMar>
        </w:tblPrEx>
        <w:tc>
          <w:tcPr>
            <w:tcW w:w="3240" w:type="dxa"/>
            <w:tcBorders>
              <w:top w:val="single" w:color="auto" w:sz="4" w:space="0"/>
              <w:left w:val="single" w:color="auto" w:sz="4" w:space="0"/>
              <w:bottom w:val="single" w:color="auto" w:sz="4" w:space="0"/>
              <w:right w:val="single" w:color="auto" w:sz="4" w:space="0"/>
            </w:tcBorders>
            <w:shd w:val="clear" w:color="auto" w:fill="BFBFBF"/>
          </w:tcPr>
          <w:p>
            <w:pPr>
              <w:pStyle w:val="6"/>
              <w:jc w:val="both"/>
              <w:rPr>
                <w:rFonts w:ascii="Times New Roman" w:hAnsi="Times New Roman" w:eastAsia="Calibri" w:cs="Times New Roman"/>
                <w:b/>
                <w:bCs/>
              </w:rPr>
            </w:pPr>
            <w:r>
              <w:rPr>
                <w:rFonts w:ascii="Times New Roman" w:hAnsi="Times New Roman" w:eastAsia="Calibri" w:cs="Times New Roman"/>
                <w:b/>
                <w:bCs/>
              </w:rPr>
              <w:t>Hospodársky výsledok</w:t>
            </w:r>
          </w:p>
        </w:tc>
        <w:tc>
          <w:tcPr>
            <w:tcW w:w="2400" w:type="dxa"/>
            <w:tcBorders>
              <w:top w:val="single" w:color="auto" w:sz="4" w:space="0"/>
              <w:left w:val="single" w:color="auto" w:sz="4" w:space="0"/>
              <w:bottom w:val="single" w:color="auto" w:sz="4" w:space="0"/>
              <w:right w:val="single" w:color="auto" w:sz="4" w:space="0"/>
            </w:tcBorders>
            <w:shd w:val="clear" w:color="auto" w:fill="BFBFBF"/>
          </w:tcPr>
          <w:p>
            <w:pPr>
              <w:pStyle w:val="6"/>
              <w:jc w:val="center"/>
              <w:rPr>
                <w:rFonts w:ascii="Times New Roman" w:hAnsi="Times New Roman" w:eastAsia="Calibri" w:cs="Times New Roman"/>
                <w:b/>
                <w:bCs/>
              </w:rPr>
            </w:pPr>
            <w:r>
              <w:rPr>
                <w:rFonts w:ascii="Times New Roman" w:hAnsi="Times New Roman" w:eastAsia="Calibri" w:cs="Times New Roman"/>
                <w:b/>
                <w:bCs/>
              </w:rPr>
              <w:t>-3 335,83</w:t>
            </w:r>
          </w:p>
        </w:tc>
        <w:tc>
          <w:tcPr>
            <w:tcW w:w="3255" w:type="dxa"/>
            <w:tcBorders>
              <w:top w:val="single" w:color="auto" w:sz="4" w:space="0"/>
              <w:left w:val="single" w:color="auto" w:sz="4" w:space="0"/>
              <w:bottom w:val="single" w:color="auto" w:sz="4" w:space="0"/>
              <w:right w:val="single" w:color="auto" w:sz="4" w:space="0"/>
            </w:tcBorders>
            <w:shd w:val="clear" w:color="auto" w:fill="BFBFBF"/>
          </w:tcPr>
          <w:p>
            <w:pPr>
              <w:pStyle w:val="6"/>
              <w:jc w:val="center"/>
              <w:rPr>
                <w:rFonts w:ascii="Times New Roman" w:hAnsi="Times New Roman" w:eastAsia="Calibri" w:cs="Times New Roman"/>
                <w:b/>
                <w:bCs/>
              </w:rPr>
            </w:pPr>
            <w:r>
              <w:rPr>
                <w:rFonts w:ascii="Times New Roman" w:hAnsi="Times New Roman" w:eastAsia="Calibri" w:cs="Times New Roman"/>
                <w:b/>
                <w:bCs/>
              </w:rPr>
              <w:t>-7 966,27</w:t>
            </w:r>
          </w:p>
        </w:tc>
      </w:tr>
    </w:tbl>
    <w:p>
      <w:pPr>
        <w:pStyle w:val="6"/>
        <w:spacing w:line="360" w:lineRule="auto"/>
        <w:jc w:val="both"/>
        <w:rPr>
          <w:rFonts w:ascii="Times New Roman" w:hAnsi="Times New Roman" w:eastAsia="Calibri" w:cs="Times New Roman"/>
        </w:rPr>
      </w:pPr>
      <w:r>
        <w:rPr>
          <w:rFonts w:ascii="Times New Roman" w:hAnsi="Times New Roman" w:eastAsia="Calibri" w:cs="Times New Roman"/>
        </w:rPr>
        <w:t>Záporný hospodársky  výsledok v sume 7 966,27 EUR bol zaúčtovaný  na účet 428 – nevysporiadaný  VH minulých rokov.</w:t>
      </w:r>
    </w:p>
    <w:p>
      <w:pPr>
        <w:pStyle w:val="6"/>
        <w:spacing w:line="360" w:lineRule="auto"/>
        <w:jc w:val="both"/>
        <w:rPr>
          <w:rFonts w:ascii="Times New Roman" w:hAnsi="Times New Roman" w:eastAsia="Calibri" w:cs="Times New Roman"/>
        </w:rPr>
      </w:pPr>
      <w:r>
        <w:rPr>
          <w:rFonts w:ascii="Times New Roman" w:hAnsi="Times New Roman" w:eastAsia="Calibri" w:cs="Times New Roman"/>
          <w:b/>
          <w:bCs/>
        </w:rPr>
        <w:t xml:space="preserve">Prijaté dotácie </w:t>
      </w:r>
    </w:p>
    <w:tbl>
      <w:tblPr>
        <w:tblStyle w:val="1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15" w:type="dxa"/>
          <w:left w:w="15" w:type="dxa"/>
          <w:bottom w:w="15" w:type="dxa"/>
          <w:right w:w="15" w:type="dxa"/>
        </w:tblCellMar>
      </w:tblPr>
      <w:tblGrid>
        <w:gridCol w:w="3795"/>
        <w:gridCol w:w="1800"/>
        <w:gridCol w:w="345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c>
          <w:tcPr>
            <w:tcW w:w="3795" w:type="dxa"/>
            <w:shd w:val="clear" w:color="auto" w:fill="D9D9D9"/>
          </w:tcPr>
          <w:p>
            <w:pPr>
              <w:pStyle w:val="6"/>
              <w:jc w:val="both"/>
              <w:rPr>
                <w:rFonts w:ascii="Times New Roman" w:hAnsi="Times New Roman" w:eastAsia="Calibri" w:cs="Times New Roman"/>
                <w:b/>
                <w:bCs/>
              </w:rPr>
            </w:pPr>
            <w:r>
              <w:rPr>
                <w:rFonts w:ascii="Times New Roman" w:hAnsi="Times New Roman" w:eastAsia="Calibri" w:cs="Times New Roman"/>
                <w:b/>
                <w:bCs/>
              </w:rPr>
              <w:t>Poskytovateľ dotácie</w:t>
            </w:r>
          </w:p>
        </w:tc>
        <w:tc>
          <w:tcPr>
            <w:tcW w:w="1800" w:type="dxa"/>
            <w:shd w:val="clear" w:color="auto" w:fill="D9D9D9"/>
          </w:tcPr>
          <w:p>
            <w:pPr>
              <w:pStyle w:val="6"/>
              <w:jc w:val="center"/>
              <w:rPr>
                <w:rFonts w:ascii="Times New Roman" w:hAnsi="Times New Roman" w:eastAsia="Calibri" w:cs="Times New Roman"/>
                <w:b/>
                <w:bCs/>
              </w:rPr>
            </w:pPr>
            <w:r>
              <w:rPr>
                <w:rFonts w:ascii="Times New Roman" w:hAnsi="Times New Roman" w:eastAsia="Calibri" w:cs="Times New Roman"/>
                <w:b/>
                <w:bCs/>
              </w:rPr>
              <w:t>Suma v EUR</w:t>
            </w:r>
          </w:p>
        </w:tc>
        <w:tc>
          <w:tcPr>
            <w:tcW w:w="3450" w:type="dxa"/>
            <w:shd w:val="clear" w:color="auto" w:fill="D9D9D9"/>
          </w:tcPr>
          <w:p>
            <w:pPr>
              <w:pStyle w:val="6"/>
              <w:jc w:val="center"/>
              <w:rPr>
                <w:rFonts w:ascii="Times New Roman" w:hAnsi="Times New Roman" w:eastAsia="Calibri" w:cs="Times New Roman"/>
                <w:b/>
                <w:bCs/>
              </w:rPr>
            </w:pPr>
            <w:r>
              <w:rPr>
                <w:rFonts w:ascii="Times New Roman" w:hAnsi="Times New Roman" w:eastAsia="Calibri" w:cs="Times New Roman"/>
                <w:b/>
                <w:bCs/>
              </w:rPr>
              <w:t>Účel</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c>
          <w:tcPr>
            <w:tcW w:w="3795" w:type="dxa"/>
          </w:tcPr>
          <w:p>
            <w:pPr>
              <w:pStyle w:val="6"/>
              <w:jc w:val="both"/>
              <w:rPr>
                <w:rFonts w:ascii="Times New Roman" w:hAnsi="Times New Roman" w:eastAsia="Calibri" w:cs="Times New Roman"/>
              </w:rPr>
            </w:pPr>
            <w:r>
              <w:rPr>
                <w:rFonts w:ascii="Times New Roman" w:hAnsi="Times New Roman" w:eastAsia="Calibri" w:cs="Times New Roman"/>
              </w:rPr>
              <w:t>MV SR</w:t>
            </w:r>
          </w:p>
        </w:tc>
        <w:tc>
          <w:tcPr>
            <w:tcW w:w="1800" w:type="dxa"/>
          </w:tcPr>
          <w:p>
            <w:pPr>
              <w:pStyle w:val="6"/>
              <w:jc w:val="center"/>
              <w:rPr>
                <w:rFonts w:ascii="Times New Roman" w:hAnsi="Times New Roman" w:eastAsia="Calibri" w:cs="Times New Roman"/>
              </w:rPr>
            </w:pPr>
            <w:r>
              <w:rPr>
                <w:rFonts w:ascii="Times New Roman" w:hAnsi="Times New Roman" w:eastAsia="Calibri" w:cs="Times New Roman"/>
              </w:rPr>
              <w:t>26,64</w:t>
            </w:r>
          </w:p>
        </w:tc>
        <w:tc>
          <w:tcPr>
            <w:tcW w:w="3450" w:type="dxa"/>
          </w:tcPr>
          <w:p>
            <w:pPr>
              <w:pStyle w:val="6"/>
              <w:jc w:val="center"/>
              <w:rPr>
                <w:rFonts w:ascii="Times New Roman" w:hAnsi="Times New Roman" w:eastAsia="Calibri" w:cs="Times New Roman"/>
              </w:rPr>
            </w:pPr>
            <w:r>
              <w:rPr>
                <w:rFonts w:ascii="Times New Roman" w:hAnsi="Times New Roman" w:eastAsia="Calibri" w:cs="Times New Roman"/>
              </w:rPr>
              <w:t>Starostlivosť o ŽP</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c>
          <w:tcPr>
            <w:tcW w:w="3795" w:type="dxa"/>
          </w:tcPr>
          <w:p>
            <w:pPr>
              <w:pStyle w:val="6"/>
              <w:jc w:val="both"/>
              <w:rPr>
                <w:rFonts w:ascii="Times New Roman" w:hAnsi="Times New Roman" w:eastAsia="Calibri" w:cs="Times New Roman"/>
              </w:rPr>
            </w:pPr>
            <w:r>
              <w:rPr>
                <w:rFonts w:ascii="Times New Roman" w:hAnsi="Times New Roman" w:eastAsia="Calibri" w:cs="Times New Roman"/>
              </w:rPr>
              <w:t>MV SR</w:t>
            </w:r>
          </w:p>
        </w:tc>
        <w:tc>
          <w:tcPr>
            <w:tcW w:w="1800" w:type="dxa"/>
          </w:tcPr>
          <w:p>
            <w:pPr>
              <w:pStyle w:val="6"/>
              <w:jc w:val="center"/>
              <w:rPr>
                <w:rFonts w:ascii="Times New Roman" w:hAnsi="Times New Roman" w:eastAsia="Calibri" w:cs="Times New Roman"/>
              </w:rPr>
            </w:pPr>
            <w:r>
              <w:rPr>
                <w:rFonts w:ascii="Times New Roman" w:hAnsi="Times New Roman" w:eastAsia="Calibri" w:cs="Times New Roman"/>
              </w:rPr>
              <w:t>2 759,34</w:t>
            </w:r>
          </w:p>
        </w:tc>
        <w:tc>
          <w:tcPr>
            <w:tcW w:w="3450" w:type="dxa"/>
          </w:tcPr>
          <w:p>
            <w:pPr>
              <w:pStyle w:val="6"/>
              <w:jc w:val="center"/>
              <w:rPr>
                <w:rFonts w:ascii="Times New Roman" w:hAnsi="Times New Roman" w:eastAsia="Calibri" w:cs="Times New Roman"/>
              </w:rPr>
            </w:pPr>
            <w:r>
              <w:rPr>
                <w:rFonts w:ascii="Times New Roman" w:hAnsi="Times New Roman" w:eastAsia="Calibri" w:cs="Times New Roman"/>
              </w:rPr>
              <w:t>Voľby a referendum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c>
          <w:tcPr>
            <w:tcW w:w="3795" w:type="dxa"/>
          </w:tcPr>
          <w:p>
            <w:pPr>
              <w:pStyle w:val="6"/>
              <w:jc w:val="both"/>
              <w:rPr>
                <w:rFonts w:ascii="Times New Roman" w:hAnsi="Times New Roman" w:eastAsia="Calibri" w:cs="Times New Roman"/>
              </w:rPr>
            </w:pPr>
            <w:r>
              <w:rPr>
                <w:rFonts w:ascii="Times New Roman" w:hAnsi="Times New Roman" w:eastAsia="Calibri" w:cs="Times New Roman"/>
              </w:rPr>
              <w:t>SPSVaR</w:t>
            </w:r>
          </w:p>
        </w:tc>
        <w:tc>
          <w:tcPr>
            <w:tcW w:w="1800" w:type="dxa"/>
          </w:tcPr>
          <w:p>
            <w:pPr>
              <w:pStyle w:val="6"/>
              <w:jc w:val="center"/>
              <w:rPr>
                <w:rFonts w:ascii="Times New Roman" w:hAnsi="Times New Roman" w:eastAsia="Calibri" w:cs="Times New Roman"/>
              </w:rPr>
            </w:pPr>
            <w:r>
              <w:rPr>
                <w:rFonts w:ascii="Times New Roman" w:hAnsi="Times New Roman" w:eastAsia="Calibri" w:cs="Times New Roman"/>
              </w:rPr>
              <w:t>1 351,81</w:t>
            </w:r>
          </w:p>
        </w:tc>
        <w:tc>
          <w:tcPr>
            <w:tcW w:w="3450" w:type="dxa"/>
          </w:tcPr>
          <w:p>
            <w:pPr>
              <w:pStyle w:val="6"/>
              <w:jc w:val="center"/>
              <w:rPr>
                <w:rFonts w:ascii="Times New Roman" w:hAnsi="Times New Roman" w:eastAsia="Calibri" w:cs="Times New Roman"/>
              </w:rPr>
            </w:pPr>
            <w:r>
              <w:rPr>
                <w:rFonts w:ascii="Times New Roman" w:hAnsi="Times New Roman" w:eastAsia="Calibri" w:cs="Times New Roman"/>
              </w:rPr>
              <w:t>Podpora zamestnanosti</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c>
          <w:tcPr>
            <w:tcW w:w="3795" w:type="dxa"/>
          </w:tcPr>
          <w:p>
            <w:pPr>
              <w:pStyle w:val="6"/>
              <w:jc w:val="both"/>
              <w:rPr>
                <w:rFonts w:ascii="Times New Roman" w:hAnsi="Times New Roman" w:eastAsia="Calibri" w:cs="Times New Roman"/>
              </w:rPr>
            </w:pPr>
            <w:r>
              <w:rPr>
                <w:rFonts w:ascii="Times New Roman" w:hAnsi="Times New Roman" w:eastAsia="Calibri" w:cs="Times New Roman"/>
              </w:rPr>
              <w:t>MV SR</w:t>
            </w:r>
          </w:p>
        </w:tc>
        <w:tc>
          <w:tcPr>
            <w:tcW w:w="1800" w:type="dxa"/>
          </w:tcPr>
          <w:p>
            <w:pPr>
              <w:pStyle w:val="6"/>
              <w:jc w:val="center"/>
              <w:rPr>
                <w:rFonts w:ascii="Times New Roman" w:hAnsi="Times New Roman" w:eastAsia="Calibri" w:cs="Times New Roman"/>
              </w:rPr>
            </w:pPr>
            <w:r>
              <w:rPr>
                <w:rFonts w:ascii="Times New Roman" w:hAnsi="Times New Roman" w:eastAsia="Calibri" w:cs="Times New Roman"/>
              </w:rPr>
              <w:t>87,78</w:t>
            </w:r>
          </w:p>
        </w:tc>
        <w:tc>
          <w:tcPr>
            <w:tcW w:w="3450" w:type="dxa"/>
          </w:tcPr>
          <w:p>
            <w:pPr>
              <w:pStyle w:val="6"/>
              <w:jc w:val="center"/>
              <w:rPr>
                <w:rFonts w:ascii="Times New Roman" w:hAnsi="Times New Roman" w:eastAsia="Calibri" w:cs="Times New Roman"/>
              </w:rPr>
            </w:pPr>
            <w:r>
              <w:rPr>
                <w:rFonts w:ascii="Times New Roman" w:hAnsi="Times New Roman" w:eastAsia="Calibri" w:cs="Times New Roman"/>
              </w:rPr>
              <w:t>REGOB</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c>
          <w:tcPr>
            <w:tcW w:w="3795" w:type="dxa"/>
          </w:tcPr>
          <w:p>
            <w:pPr>
              <w:pStyle w:val="6"/>
              <w:jc w:val="both"/>
              <w:rPr>
                <w:rFonts w:ascii="Times New Roman" w:hAnsi="Times New Roman" w:eastAsia="Calibri" w:cs="Times New Roman"/>
              </w:rPr>
            </w:pPr>
            <w:r>
              <w:rPr>
                <w:rFonts w:ascii="Times New Roman" w:hAnsi="Times New Roman" w:eastAsia="Calibri" w:cs="Times New Roman"/>
              </w:rPr>
              <w:t>MV SR</w:t>
            </w:r>
          </w:p>
        </w:tc>
        <w:tc>
          <w:tcPr>
            <w:tcW w:w="1800" w:type="dxa"/>
          </w:tcPr>
          <w:p>
            <w:pPr>
              <w:pStyle w:val="6"/>
              <w:jc w:val="center"/>
              <w:rPr>
                <w:rFonts w:ascii="Times New Roman" w:hAnsi="Times New Roman" w:eastAsia="Calibri" w:cs="Times New Roman"/>
              </w:rPr>
            </w:pPr>
            <w:r>
              <w:rPr>
                <w:rFonts w:ascii="Times New Roman" w:hAnsi="Times New Roman" w:eastAsia="Calibri" w:cs="Times New Roman"/>
              </w:rPr>
              <w:t>29,20</w:t>
            </w:r>
          </w:p>
        </w:tc>
        <w:tc>
          <w:tcPr>
            <w:tcW w:w="3450" w:type="dxa"/>
          </w:tcPr>
          <w:p>
            <w:pPr>
              <w:pStyle w:val="6"/>
              <w:jc w:val="center"/>
              <w:rPr>
                <w:rFonts w:ascii="Times New Roman" w:hAnsi="Times New Roman" w:eastAsia="Calibri" w:cs="Times New Roman"/>
              </w:rPr>
            </w:pPr>
            <w:r>
              <w:rPr>
                <w:rFonts w:ascii="Times New Roman" w:hAnsi="Times New Roman" w:eastAsia="Calibri" w:cs="Times New Roman"/>
              </w:rPr>
              <w:t>Register adries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c>
          <w:tcPr>
            <w:tcW w:w="3795" w:type="dxa"/>
          </w:tcPr>
          <w:p>
            <w:pPr>
              <w:pStyle w:val="6"/>
              <w:jc w:val="both"/>
              <w:rPr>
                <w:rFonts w:ascii="Times New Roman" w:hAnsi="Times New Roman" w:eastAsia="Calibri" w:cs="Times New Roman"/>
              </w:rPr>
            </w:pPr>
            <w:r>
              <w:rPr>
                <w:rFonts w:ascii="Times New Roman" w:hAnsi="Times New Roman" w:eastAsia="Calibri" w:cs="Times New Roman"/>
              </w:rPr>
              <w:t>DHZ</w:t>
            </w:r>
          </w:p>
        </w:tc>
        <w:tc>
          <w:tcPr>
            <w:tcW w:w="1800" w:type="dxa"/>
          </w:tcPr>
          <w:p>
            <w:pPr>
              <w:pStyle w:val="6"/>
              <w:jc w:val="center"/>
              <w:rPr>
                <w:rFonts w:ascii="Times New Roman" w:hAnsi="Times New Roman" w:eastAsia="Calibri" w:cs="Times New Roman"/>
              </w:rPr>
            </w:pPr>
            <w:r>
              <w:rPr>
                <w:rFonts w:ascii="Times New Roman" w:hAnsi="Times New Roman" w:eastAsia="Calibri" w:cs="Times New Roman"/>
              </w:rPr>
              <w:t>3 000</w:t>
            </w:r>
          </w:p>
        </w:tc>
        <w:tc>
          <w:tcPr>
            <w:tcW w:w="3450" w:type="dxa"/>
          </w:tcPr>
          <w:p>
            <w:pPr>
              <w:pStyle w:val="6"/>
              <w:jc w:val="center"/>
              <w:rPr>
                <w:rFonts w:ascii="Times New Roman" w:hAnsi="Times New Roman" w:eastAsia="Calibri" w:cs="Times New Roman"/>
              </w:rPr>
            </w:pPr>
            <w:r>
              <w:rPr>
                <w:rFonts w:ascii="Times New Roman" w:hAnsi="Times New Roman" w:eastAsia="Calibri" w:cs="Times New Roman"/>
              </w:rPr>
              <w:t>DHZ</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c>
          <w:tcPr>
            <w:tcW w:w="3795" w:type="dxa"/>
          </w:tcPr>
          <w:p>
            <w:pPr>
              <w:pStyle w:val="6"/>
              <w:jc w:val="both"/>
              <w:rPr>
                <w:rFonts w:ascii="Times New Roman" w:hAnsi="Times New Roman" w:eastAsia="Calibri" w:cs="Times New Roman"/>
              </w:rPr>
            </w:pPr>
            <w:r>
              <w:rPr>
                <w:rFonts w:ascii="Times New Roman" w:hAnsi="Times New Roman" w:eastAsia="Calibri" w:cs="Times New Roman"/>
              </w:rPr>
              <w:t>MV SR</w:t>
            </w:r>
          </w:p>
        </w:tc>
        <w:tc>
          <w:tcPr>
            <w:tcW w:w="1800" w:type="dxa"/>
          </w:tcPr>
          <w:p>
            <w:pPr>
              <w:pStyle w:val="6"/>
              <w:jc w:val="center"/>
              <w:rPr>
                <w:rFonts w:ascii="Times New Roman" w:hAnsi="Times New Roman" w:eastAsia="Calibri" w:cs="Times New Roman"/>
              </w:rPr>
            </w:pPr>
            <w:r>
              <w:rPr>
                <w:rFonts w:ascii="Times New Roman" w:hAnsi="Times New Roman" w:eastAsia="Calibri" w:cs="Times New Roman"/>
              </w:rPr>
              <w:t>202,42</w:t>
            </w:r>
          </w:p>
        </w:tc>
        <w:tc>
          <w:tcPr>
            <w:tcW w:w="3450" w:type="dxa"/>
          </w:tcPr>
          <w:p>
            <w:pPr>
              <w:pStyle w:val="6"/>
              <w:jc w:val="center"/>
              <w:rPr>
                <w:rFonts w:ascii="Times New Roman" w:hAnsi="Times New Roman" w:eastAsia="Calibri" w:cs="Times New Roman"/>
              </w:rPr>
            </w:pPr>
            <w:r>
              <w:rPr>
                <w:rFonts w:ascii="Times New Roman" w:hAnsi="Times New Roman" w:eastAsia="Calibri" w:cs="Times New Roman"/>
              </w:rPr>
              <w:t>Odmeny</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c>
          <w:tcPr>
            <w:tcW w:w="3795" w:type="dxa"/>
          </w:tcPr>
          <w:p>
            <w:pPr>
              <w:pStyle w:val="6"/>
              <w:jc w:val="both"/>
              <w:rPr>
                <w:rFonts w:ascii="Times New Roman" w:hAnsi="Times New Roman" w:eastAsia="Calibri" w:cs="Times New Roman"/>
                <w:b/>
                <w:bCs/>
              </w:rPr>
            </w:pPr>
            <w:r>
              <w:rPr>
                <w:rFonts w:ascii="Times New Roman" w:hAnsi="Times New Roman" w:eastAsia="Calibri" w:cs="Times New Roman"/>
                <w:b/>
                <w:bCs/>
              </w:rPr>
              <w:t>Spolu  transfery</w:t>
            </w:r>
          </w:p>
        </w:tc>
        <w:tc>
          <w:tcPr>
            <w:tcW w:w="1800" w:type="dxa"/>
          </w:tcPr>
          <w:p>
            <w:pPr>
              <w:pStyle w:val="6"/>
              <w:jc w:val="center"/>
              <w:rPr>
                <w:rFonts w:ascii="Times New Roman" w:hAnsi="Times New Roman" w:eastAsia="Calibri" w:cs="Times New Roman"/>
                <w:b/>
                <w:bCs/>
              </w:rPr>
            </w:pPr>
            <w:r>
              <w:rPr>
                <w:rFonts w:ascii="Times New Roman" w:hAnsi="Times New Roman" w:eastAsia="Calibri" w:cs="Times New Roman"/>
                <w:b/>
                <w:bCs/>
              </w:rPr>
              <w:t>7 457,19</w:t>
            </w:r>
          </w:p>
        </w:tc>
        <w:tc>
          <w:tcPr>
            <w:tcW w:w="3450" w:type="dxa"/>
          </w:tcPr>
          <w:p>
            <w:pPr>
              <w:pStyle w:val="6"/>
              <w:jc w:val="center"/>
              <w:rPr>
                <w:rFonts w:ascii="Times New Roman" w:hAnsi="Times New Roman" w:eastAsia="Calibri" w:cs="Times New Roman"/>
              </w:rPr>
            </w:pPr>
          </w:p>
        </w:tc>
      </w:tr>
    </w:tbl>
    <w:p>
      <w:pPr>
        <w:pStyle w:val="6"/>
        <w:jc w:val="both"/>
        <w:rPr>
          <w:rFonts w:ascii="Times New Roman" w:hAnsi="Times New Roman" w:eastAsia="Calibri" w:cs="Times New Roman"/>
          <w:b/>
          <w:bCs/>
        </w:rPr>
      </w:pPr>
      <w:r>
        <w:rPr>
          <w:rFonts w:ascii="Times New Roman" w:hAnsi="Times New Roman" w:eastAsia="Calibri" w:cs="Times New Roman"/>
          <w:b/>
          <w:bCs/>
        </w:rPr>
        <w:t>10.Ostatné dôležité informácie</w:t>
      </w:r>
    </w:p>
    <w:p>
      <w:pPr>
        <w:pStyle w:val="6"/>
        <w:jc w:val="both"/>
        <w:rPr>
          <w:rFonts w:ascii="Times New Roman" w:hAnsi="Times New Roman" w:eastAsia="Calibri" w:cs="Times New Roman"/>
          <w:b/>
          <w:bCs/>
        </w:rPr>
      </w:pPr>
      <w:r>
        <w:rPr>
          <w:rFonts w:ascii="Times New Roman" w:hAnsi="Times New Roman" w:eastAsia="Calibri" w:cs="Times New Roman"/>
          <w:b/>
          <w:bCs/>
        </w:rPr>
        <w:t>10.1.Prijaté granty a transfery</w:t>
      </w:r>
    </w:p>
    <w:p>
      <w:pPr>
        <w:pStyle w:val="6"/>
        <w:jc w:val="both"/>
        <w:rPr>
          <w:rFonts w:ascii="Times New Roman" w:hAnsi="Times New Roman" w:eastAsia="Calibri" w:cs="Times New Roman"/>
          <w:b/>
          <w:bCs/>
        </w:rPr>
      </w:pPr>
      <w:r>
        <w:rPr>
          <w:rFonts w:ascii="Times New Roman" w:hAnsi="Times New Roman" w:eastAsia="Calibri" w:cs="Times New Roman"/>
          <w:b/>
          <w:bCs/>
        </w:rPr>
        <w:t>10.2.Poskytnutie  dotácie</w:t>
      </w:r>
    </w:p>
    <w:p>
      <w:pPr>
        <w:pStyle w:val="6"/>
        <w:jc w:val="both"/>
        <w:rPr>
          <w:rFonts w:ascii="Times New Roman" w:hAnsi="Times New Roman" w:eastAsia="Calibri" w:cs="Times New Roman"/>
        </w:rPr>
      </w:pPr>
      <w:r>
        <w:rPr>
          <w:rFonts w:ascii="Times New Roman" w:hAnsi="Times New Roman" w:eastAsia="Calibri" w:cs="Times New Roman"/>
        </w:rPr>
        <w:t xml:space="preserve">Obec Hendrichovce v roku 2022 neposkytla zo svojho rozpočtu žiadne dotácie. </w:t>
      </w:r>
    </w:p>
    <w:p>
      <w:pPr>
        <w:pStyle w:val="6"/>
        <w:jc w:val="both"/>
        <w:rPr>
          <w:rFonts w:ascii="Times New Roman" w:hAnsi="Times New Roman" w:eastAsia="Calibri" w:cs="Times New Roman"/>
          <w:b/>
          <w:bCs/>
        </w:rPr>
      </w:pPr>
      <w:r>
        <w:rPr>
          <w:rFonts w:ascii="Times New Roman" w:hAnsi="Times New Roman" w:eastAsia="Calibri" w:cs="Times New Roman"/>
          <w:b/>
          <w:bCs/>
        </w:rPr>
        <w:t>10.3.Významné investičné akcie v roku 2022</w:t>
      </w:r>
    </w:p>
    <w:p>
      <w:pPr>
        <w:pStyle w:val="6"/>
        <w:jc w:val="both"/>
        <w:rPr>
          <w:rFonts w:ascii="Times New Roman" w:hAnsi="Times New Roman" w:eastAsia="Calibri" w:cs="Times New Roman"/>
          <w:b/>
          <w:bCs/>
        </w:rPr>
      </w:pPr>
      <w:r>
        <w:rPr>
          <w:rFonts w:ascii="Times New Roman" w:hAnsi="Times New Roman" w:eastAsia="Calibri" w:cs="Times New Roman"/>
          <w:b/>
          <w:bCs/>
        </w:rPr>
        <w:t xml:space="preserve">10.4.Predpokladaný budúci vývoj činnosti </w:t>
      </w:r>
    </w:p>
    <w:p>
      <w:pPr>
        <w:pStyle w:val="6"/>
        <w:jc w:val="both"/>
        <w:rPr>
          <w:rFonts w:ascii="Times New Roman" w:hAnsi="Times New Roman" w:eastAsia="Calibri" w:cs="Times New Roman"/>
          <w:b/>
          <w:bCs/>
        </w:rPr>
      </w:pPr>
      <w:r>
        <w:rPr>
          <w:rFonts w:ascii="Times New Roman" w:hAnsi="Times New Roman" w:eastAsia="Calibri" w:cs="Times New Roman"/>
          <w:b/>
          <w:bCs/>
        </w:rPr>
        <w:t>10.5.Udalosti osobitného významu po skončení účtovného obdobia</w:t>
      </w:r>
    </w:p>
    <w:p>
      <w:pPr>
        <w:pStyle w:val="6"/>
        <w:jc w:val="both"/>
        <w:rPr>
          <w:rFonts w:ascii="Times New Roman" w:hAnsi="Times New Roman" w:eastAsia="Calibri" w:cs="Times New Roman"/>
        </w:rPr>
      </w:pPr>
      <w:r>
        <w:rPr>
          <w:rFonts w:ascii="Times New Roman" w:hAnsi="Times New Roman" w:eastAsia="Calibri" w:cs="Times New Roman"/>
        </w:rPr>
        <w:t>Obec nezaznamenala žiadne udalosti osobitného významu po skončení účtovného obdobia</w:t>
      </w:r>
    </w:p>
    <w:p>
      <w:pPr>
        <w:pStyle w:val="6"/>
        <w:jc w:val="both"/>
        <w:rPr>
          <w:rFonts w:ascii="Times New Roman" w:hAnsi="Times New Roman" w:eastAsia="Calibri" w:cs="Times New Roman"/>
          <w:b/>
          <w:bCs/>
        </w:rPr>
      </w:pPr>
      <w:r>
        <w:rPr>
          <w:rFonts w:ascii="Times New Roman" w:hAnsi="Times New Roman" w:eastAsia="Calibri" w:cs="Times New Roman"/>
          <w:b/>
          <w:bCs/>
        </w:rPr>
        <w:t xml:space="preserve">10.6.Významné riziká a neistoty, ktorým je účtovná jednotka vystavená </w:t>
      </w:r>
    </w:p>
    <w:p>
      <w:pPr>
        <w:pStyle w:val="6"/>
        <w:jc w:val="both"/>
        <w:rPr>
          <w:rFonts w:ascii="Times New Roman" w:hAnsi="Times New Roman" w:eastAsia="Calibri" w:cs="Times New Roman"/>
        </w:rPr>
      </w:pPr>
      <w:r>
        <w:rPr>
          <w:rFonts w:ascii="Times New Roman" w:hAnsi="Times New Roman" w:eastAsia="Calibri" w:cs="Times New Roman"/>
        </w:rPr>
        <w:t>Obec nevedie žiadny súdny spor.</w:t>
      </w:r>
    </w:p>
    <w:p>
      <w:pPr>
        <w:pStyle w:val="6"/>
        <w:jc w:val="both"/>
        <w:rPr>
          <w:rFonts w:ascii="Times New Roman" w:hAnsi="Times New Roman" w:eastAsia="Calibri" w:cs="Times New Roman"/>
        </w:rPr>
      </w:pPr>
    </w:p>
    <w:p>
      <w:pPr>
        <w:pStyle w:val="6"/>
        <w:jc w:val="both"/>
        <w:rPr>
          <w:rFonts w:ascii="Times New Roman" w:hAnsi="Times New Roman" w:eastAsia="Calibri" w:cs="Times New Roman"/>
        </w:rPr>
      </w:pPr>
    </w:p>
    <w:p>
      <w:pPr>
        <w:pStyle w:val="6"/>
        <w:jc w:val="both"/>
        <w:rPr>
          <w:rFonts w:ascii="Times New Roman" w:hAnsi="Times New Roman" w:eastAsia="Calibri" w:cs="Times New Roman"/>
        </w:rPr>
      </w:pPr>
    </w:p>
    <w:p>
      <w:pPr>
        <w:pStyle w:val="6"/>
        <w:jc w:val="both"/>
        <w:rPr>
          <w:rFonts w:ascii="Times New Roman" w:hAnsi="Times New Roman" w:eastAsia="Calibri" w:cs="Times New Roman"/>
        </w:rPr>
      </w:pPr>
    </w:p>
    <w:p>
      <w:pPr>
        <w:pStyle w:val="6"/>
        <w:jc w:val="both"/>
        <w:rPr>
          <w:rFonts w:ascii="Times New Roman" w:hAnsi="Times New Roman" w:eastAsia="Calibri" w:cs="Times New Roman"/>
        </w:rPr>
      </w:pPr>
    </w:p>
    <w:p>
      <w:pPr>
        <w:pStyle w:val="6"/>
        <w:jc w:val="both"/>
        <w:rPr>
          <w:rFonts w:ascii="Times New Roman" w:hAnsi="Times New Roman" w:eastAsia="Calibri" w:cs="Times New Roman"/>
        </w:rPr>
      </w:pPr>
    </w:p>
    <w:p>
      <w:pPr>
        <w:pStyle w:val="6"/>
        <w:jc w:val="both"/>
        <w:rPr>
          <w:rFonts w:ascii="Times New Roman" w:hAnsi="Times New Roman" w:eastAsia="Calibri" w:cs="Times New Roman"/>
        </w:rPr>
      </w:pPr>
    </w:p>
    <w:p>
      <w:pPr>
        <w:pStyle w:val="6"/>
        <w:jc w:val="both"/>
        <w:rPr>
          <w:rFonts w:ascii="Times New Roman" w:hAnsi="Times New Roman" w:eastAsia="Calibri" w:cs="Times New Roman"/>
        </w:rPr>
      </w:pPr>
    </w:p>
    <w:p>
      <w:pPr>
        <w:pStyle w:val="6"/>
        <w:jc w:val="both"/>
        <w:rPr>
          <w:rFonts w:ascii="Times New Roman" w:hAnsi="Times New Roman" w:eastAsia="Calibri" w:cs="Times New Roman"/>
        </w:rPr>
      </w:pPr>
    </w:p>
    <w:p>
      <w:pPr>
        <w:pStyle w:val="6"/>
        <w:jc w:val="both"/>
        <w:rPr>
          <w:rFonts w:ascii="Times New Roman" w:hAnsi="Times New Roman" w:eastAsia="Calibri" w:cs="Times New Roman"/>
        </w:rPr>
      </w:pPr>
      <w:r>
        <w:rPr>
          <w:rFonts w:ascii="Times New Roman" w:hAnsi="Times New Roman" w:eastAsia="Calibri" w:cs="Times New Roman"/>
        </w:rPr>
        <w:t xml:space="preserve">Vypracovala : Ing. Marcela Šavelová                                                Schválil:  Martin Martaus </w:t>
      </w:r>
    </w:p>
    <w:p>
      <w:pPr>
        <w:pStyle w:val="6"/>
        <w:jc w:val="both"/>
        <w:rPr>
          <w:rFonts w:ascii="Times New Roman" w:hAnsi="Times New Roman" w:eastAsia="Calibri" w:cs="Times New Roman"/>
        </w:rPr>
      </w:pPr>
      <w:r>
        <w:rPr>
          <w:rFonts w:ascii="Times New Roman" w:hAnsi="Times New Roman" w:eastAsia="Calibri" w:cs="Times New Roman"/>
        </w:rPr>
        <w:t xml:space="preserve">                                                                                                                      Starosta obce</w:t>
      </w:r>
    </w:p>
    <w:p>
      <w:pPr>
        <w:pStyle w:val="6"/>
        <w:jc w:val="both"/>
        <w:rPr>
          <w:rFonts w:ascii="Times New Roman" w:hAnsi="Times New Roman" w:eastAsia="Calibri" w:cs="Times New Roman"/>
        </w:rPr>
      </w:pPr>
      <w:r>
        <w:rPr>
          <w:rFonts w:ascii="Times New Roman" w:hAnsi="Times New Roman" w:eastAsia="Calibri" w:cs="Times New Roman"/>
        </w:rPr>
        <w:t>V Hendrichovciach dňa :   23.11.2023</w:t>
      </w:r>
    </w:p>
    <w:sectPr>
      <w:pgSz w:w="11906" w:h="16838"/>
      <w:pgMar w:top="1417" w:right="1417" w:bottom="1417" w:left="1417" w:header="708" w:footer="708" w:gutter="0"/>
      <w:cols w:space="708"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default"/>
    <w:sig w:usb0="E0002EFF" w:usb1="C000785B" w:usb2="00000009" w:usb3="00000000" w:csb0="400001FF" w:csb1="FFFF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0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86"/>
    <w:family w:val="swiss"/>
    <w:pitch w:val="default"/>
    <w:sig w:usb0="E4002EFF" w:usb1="C000247B" w:usb2="00000009" w:usb3="00000000" w:csb0="200001FF" w:csb1="00000000"/>
  </w:font>
  <w:font w:name="Calibri">
    <w:panose1 w:val="020F0502020204030204"/>
    <w:charset w:val="EE"/>
    <w:family w:val="swiss"/>
    <w:pitch w:val="default"/>
    <w:sig w:usb0="E4002EFF" w:usb1="C000247B" w:usb2="00000009" w:usb3="00000000" w:csb0="200001FF" w:csb1="00000000"/>
  </w:font>
  <w:font w:name="Calibri">
    <w:panose1 w:val="020F0502020204030204"/>
    <w:charset w:val="00"/>
    <w:family w:val="auto"/>
    <w:pitch w:val="default"/>
    <w:sig w:usb0="E4002EFF" w:usb1="C000247B" w:usb2="00000009" w:usb3="00000000" w:csb0="200001FF" w:csb1="00000000"/>
  </w:font>
  <w:font w:name="Symbol">
    <w:panose1 w:val="05050102010706020507"/>
    <w:charset w:val="02"/>
    <w:family w:val="roman"/>
    <w:pitch w:val="default"/>
    <w:sig w:usb0="00000000" w:usb1="00000000" w:usb2="00000000" w:usb3="00000000" w:csb0="80000000" w:csb1="00000000"/>
  </w:font>
  <w:font w:name="Courier New">
    <w:panose1 w:val="02070309020205020404"/>
    <w:charset w:val="EE"/>
    <w:family w:val="modern"/>
    <w:pitch w:val="default"/>
    <w:sig w:usb0="E0002EFF" w:usb1="C0007843" w:usb2="00000009" w:usb3="00000000" w:csb0="400001FF" w:csb1="FFFF0000"/>
  </w:font>
  <w:font w:name="Segoe UI">
    <w:panose1 w:val="020B0502040204020203"/>
    <w:charset w:val="EE"/>
    <w:family w:val="swiss"/>
    <w:pitch w:val="default"/>
    <w:sig w:usb0="E4002EFF" w:usb1="C000E47F" w:usb2="00000009" w:usb3="00000000" w:csb0="2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15E2225"/>
    <w:multiLevelType w:val="multilevel"/>
    <w:tmpl w:val="015E2225"/>
    <w:lvl w:ilvl="0" w:tentative="0">
      <w:start w:val="1"/>
      <w:numFmt w:val="decimal"/>
      <w:lvlText w:val="%1."/>
      <w:lvlJc w:val="left"/>
      <w:pPr>
        <w:ind w:left="720" w:hanging="360"/>
      </w:pPr>
      <w:rPr>
        <w:rFonts w:hint="default" w:ascii="Times New Roman" w:hAnsi="Times New Roman" w:cs="Times New Roman"/>
      </w:rPr>
    </w:lvl>
    <w:lvl w:ilvl="1" w:tentative="0">
      <w:start w:val="1"/>
      <w:numFmt w:val="decimal"/>
      <w:isLgl/>
      <w:lvlText w:val="%1.%2."/>
      <w:lvlJc w:val="left"/>
      <w:pPr>
        <w:ind w:left="1440" w:hanging="360"/>
      </w:pPr>
      <w:rPr>
        <w:rFonts w:hint="default" w:ascii="Times New Roman" w:hAnsi="Times New Roman" w:cs="Times New Roman"/>
      </w:rPr>
    </w:lvl>
    <w:lvl w:ilvl="2" w:tentative="0">
      <w:start w:val="1"/>
      <w:numFmt w:val="decimal"/>
      <w:isLgl/>
      <w:lvlText w:val="%1.%2.%3."/>
      <w:lvlJc w:val="left"/>
      <w:pPr>
        <w:ind w:left="2160" w:hanging="360"/>
      </w:pPr>
      <w:rPr>
        <w:rFonts w:hint="default" w:ascii="Times New Roman" w:hAnsi="Times New Roman" w:cs="Times New Roman"/>
      </w:rPr>
    </w:lvl>
    <w:lvl w:ilvl="3" w:tentative="0">
      <w:start w:val="1"/>
      <w:numFmt w:val="decimal"/>
      <w:isLgl/>
      <w:lvlText w:val="%1.%2.%3.%4."/>
      <w:lvlJc w:val="left"/>
      <w:pPr>
        <w:ind w:left="2880" w:hanging="360"/>
      </w:pPr>
      <w:rPr>
        <w:rFonts w:hint="default" w:ascii="Times New Roman" w:hAnsi="Times New Roman" w:cs="Times New Roman"/>
      </w:rPr>
    </w:lvl>
    <w:lvl w:ilvl="4" w:tentative="0">
      <w:start w:val="1"/>
      <w:numFmt w:val="decimal"/>
      <w:isLgl/>
      <w:lvlText w:val="%1.%2.%3.%4.%5."/>
      <w:lvlJc w:val="left"/>
      <w:pPr>
        <w:ind w:left="3600" w:hanging="360"/>
      </w:pPr>
      <w:rPr>
        <w:rFonts w:hint="default" w:ascii="Times New Roman" w:hAnsi="Times New Roman" w:cs="Times New Roman"/>
      </w:rPr>
    </w:lvl>
    <w:lvl w:ilvl="5" w:tentative="0">
      <w:start w:val="1"/>
      <w:numFmt w:val="decimal"/>
      <w:isLgl/>
      <w:lvlText w:val="%1.%2.%3.%4.%5.%6."/>
      <w:lvlJc w:val="left"/>
      <w:pPr>
        <w:ind w:left="4320" w:hanging="360"/>
      </w:pPr>
      <w:rPr>
        <w:rFonts w:hint="default" w:ascii="Times New Roman" w:hAnsi="Times New Roman" w:cs="Times New Roman"/>
      </w:rPr>
    </w:lvl>
    <w:lvl w:ilvl="6" w:tentative="0">
      <w:start w:val="1"/>
      <w:numFmt w:val="decimal"/>
      <w:isLgl/>
      <w:lvlText w:val="%1.%2.%3.%4.%5.%6.%7."/>
      <w:lvlJc w:val="left"/>
      <w:pPr>
        <w:ind w:left="5040" w:hanging="360"/>
      </w:pPr>
      <w:rPr>
        <w:rFonts w:hint="default" w:ascii="Times New Roman" w:hAnsi="Times New Roman" w:cs="Times New Roman"/>
      </w:rPr>
    </w:lvl>
    <w:lvl w:ilvl="7" w:tentative="0">
      <w:start w:val="1"/>
      <w:numFmt w:val="decimal"/>
      <w:isLgl/>
      <w:lvlText w:val="%1.%2.%3.%4.%5.%6.%7.%8."/>
      <w:lvlJc w:val="left"/>
      <w:pPr>
        <w:ind w:left="5760" w:hanging="360"/>
      </w:pPr>
      <w:rPr>
        <w:rFonts w:hint="default" w:ascii="Times New Roman" w:hAnsi="Times New Roman" w:cs="Times New Roman"/>
      </w:rPr>
    </w:lvl>
    <w:lvl w:ilvl="8" w:tentative="0">
      <w:start w:val="1"/>
      <w:numFmt w:val="decimal"/>
      <w:isLgl/>
      <w:lvlText w:val="%1.%2.%3.%4.%5.%6.%7.%8.%9."/>
      <w:lvlJc w:val="left"/>
      <w:pPr>
        <w:ind w:left="6480" w:hanging="360"/>
      </w:pPr>
      <w:rPr>
        <w:rFonts w:hint="default" w:ascii="Times New Roman" w:hAnsi="Times New Roman" w:cs="Times New Roman"/>
      </w:rPr>
    </w:lvl>
  </w:abstractNum>
  <w:abstractNum w:abstractNumId="1">
    <w:nsid w:val="1B66502E"/>
    <w:multiLevelType w:val="multilevel"/>
    <w:tmpl w:val="1B66502E"/>
    <w:lvl w:ilvl="0" w:tentative="0">
      <w:start w:val="4"/>
      <w:numFmt w:val="lowerLetter"/>
      <w:lvlText w:val="%1."/>
      <w:lvlJc w:val="left"/>
      <w:pPr>
        <w:tabs>
          <w:tab w:val="left" w:pos="720"/>
        </w:tabs>
        <w:ind w:left="720" w:hanging="360"/>
      </w:pPr>
      <w:rPr>
        <w:rFonts w:hint="default" w:ascii="Times New Roman" w:hAnsi="Times New Roman" w:cs="Times New Roman"/>
      </w:rPr>
    </w:lvl>
    <w:lvl w:ilvl="1" w:tentative="0">
      <w:start w:val="1"/>
      <w:numFmt w:val="lowerLetter"/>
      <w:lvlText w:val="%2."/>
      <w:lvlJc w:val="left"/>
      <w:pPr>
        <w:tabs>
          <w:tab w:val="left" w:pos="1440"/>
        </w:tabs>
        <w:ind w:left="1440" w:hanging="360"/>
      </w:pPr>
      <w:rPr>
        <w:rFonts w:hint="default" w:ascii="Times New Roman" w:hAnsi="Times New Roman" w:cs="Times New Roman"/>
      </w:rPr>
    </w:lvl>
    <w:lvl w:ilvl="2" w:tentative="0">
      <w:start w:val="1"/>
      <w:numFmt w:val="lowerLetter"/>
      <w:lvlText w:val="%3."/>
      <w:lvlJc w:val="left"/>
      <w:pPr>
        <w:tabs>
          <w:tab w:val="left" w:pos="2160"/>
        </w:tabs>
        <w:ind w:left="2160" w:hanging="360"/>
      </w:pPr>
      <w:rPr>
        <w:rFonts w:hint="default" w:ascii="Times New Roman" w:hAnsi="Times New Roman" w:cs="Times New Roman"/>
      </w:rPr>
    </w:lvl>
    <w:lvl w:ilvl="3" w:tentative="0">
      <w:start w:val="1"/>
      <w:numFmt w:val="lowerLetter"/>
      <w:lvlText w:val="%4."/>
      <w:lvlJc w:val="left"/>
      <w:pPr>
        <w:tabs>
          <w:tab w:val="left" w:pos="2880"/>
        </w:tabs>
        <w:ind w:left="2880" w:hanging="360"/>
      </w:pPr>
      <w:rPr>
        <w:rFonts w:hint="default" w:ascii="Times New Roman" w:hAnsi="Times New Roman" w:cs="Times New Roman"/>
      </w:rPr>
    </w:lvl>
    <w:lvl w:ilvl="4" w:tentative="0">
      <w:start w:val="1"/>
      <w:numFmt w:val="lowerLetter"/>
      <w:lvlText w:val="%5."/>
      <w:lvlJc w:val="left"/>
      <w:pPr>
        <w:tabs>
          <w:tab w:val="left" w:pos="3600"/>
        </w:tabs>
        <w:ind w:left="3600" w:hanging="360"/>
      </w:pPr>
      <w:rPr>
        <w:rFonts w:hint="default" w:ascii="Times New Roman" w:hAnsi="Times New Roman" w:cs="Times New Roman"/>
      </w:rPr>
    </w:lvl>
    <w:lvl w:ilvl="5" w:tentative="0">
      <w:start w:val="1"/>
      <w:numFmt w:val="lowerLetter"/>
      <w:lvlText w:val="%6."/>
      <w:lvlJc w:val="left"/>
      <w:pPr>
        <w:tabs>
          <w:tab w:val="left" w:pos="4320"/>
        </w:tabs>
        <w:ind w:left="4320" w:hanging="360"/>
      </w:pPr>
      <w:rPr>
        <w:rFonts w:hint="default" w:ascii="Times New Roman" w:hAnsi="Times New Roman" w:cs="Times New Roman"/>
      </w:rPr>
    </w:lvl>
    <w:lvl w:ilvl="6" w:tentative="0">
      <w:start w:val="1"/>
      <w:numFmt w:val="lowerLetter"/>
      <w:lvlText w:val="%7."/>
      <w:lvlJc w:val="left"/>
      <w:pPr>
        <w:tabs>
          <w:tab w:val="left" w:pos="5040"/>
        </w:tabs>
        <w:ind w:left="5040" w:hanging="360"/>
      </w:pPr>
      <w:rPr>
        <w:rFonts w:hint="default" w:ascii="Times New Roman" w:hAnsi="Times New Roman" w:cs="Times New Roman"/>
      </w:rPr>
    </w:lvl>
    <w:lvl w:ilvl="7" w:tentative="0">
      <w:start w:val="1"/>
      <w:numFmt w:val="lowerLetter"/>
      <w:lvlText w:val="%8."/>
      <w:lvlJc w:val="left"/>
      <w:pPr>
        <w:tabs>
          <w:tab w:val="left" w:pos="5760"/>
        </w:tabs>
        <w:ind w:left="5760" w:hanging="360"/>
      </w:pPr>
      <w:rPr>
        <w:rFonts w:hint="default" w:ascii="Times New Roman" w:hAnsi="Times New Roman" w:cs="Times New Roman"/>
      </w:rPr>
    </w:lvl>
    <w:lvl w:ilvl="8" w:tentative="0">
      <w:start w:val="1"/>
      <w:numFmt w:val="lowerLetter"/>
      <w:lvlText w:val="%9."/>
      <w:lvlJc w:val="left"/>
      <w:pPr>
        <w:tabs>
          <w:tab w:val="left" w:pos="6480"/>
        </w:tabs>
        <w:ind w:left="6480" w:hanging="360"/>
      </w:pPr>
      <w:rPr>
        <w:rFonts w:hint="default" w:ascii="Times New Roman" w:hAnsi="Times New Roman" w:cs="Times New Roman"/>
      </w:rPr>
    </w:lvl>
  </w:abstractNum>
  <w:abstractNum w:abstractNumId="2">
    <w:nsid w:val="1FD86003"/>
    <w:multiLevelType w:val="multilevel"/>
    <w:tmpl w:val="1FD86003"/>
    <w:lvl w:ilvl="0" w:tentative="0">
      <w:start w:val="1"/>
      <w:numFmt w:val="decimal"/>
      <w:lvlText w:val="%1."/>
      <w:lvlJc w:val="left"/>
      <w:pPr>
        <w:tabs>
          <w:tab w:val="left" w:pos="720"/>
        </w:tabs>
        <w:ind w:left="720" w:hanging="360"/>
      </w:pPr>
      <w:rPr>
        <w:rFonts w:hint="default" w:ascii="Times New Roman" w:hAnsi="Times New Roman" w:cs="Times New Roman"/>
      </w:rPr>
    </w:lvl>
    <w:lvl w:ilvl="1" w:tentative="0">
      <w:start w:val="1"/>
      <w:numFmt w:val="decimal"/>
      <w:lvlText w:val="%2."/>
      <w:lvlJc w:val="left"/>
      <w:pPr>
        <w:tabs>
          <w:tab w:val="left" w:pos="1440"/>
        </w:tabs>
        <w:ind w:left="1440" w:hanging="360"/>
      </w:pPr>
      <w:rPr>
        <w:rFonts w:hint="default" w:ascii="Times New Roman" w:hAnsi="Times New Roman" w:cs="Times New Roman"/>
      </w:rPr>
    </w:lvl>
    <w:lvl w:ilvl="2" w:tentative="0">
      <w:start w:val="1"/>
      <w:numFmt w:val="decimal"/>
      <w:lvlText w:val="%3."/>
      <w:lvlJc w:val="left"/>
      <w:pPr>
        <w:tabs>
          <w:tab w:val="left" w:pos="2160"/>
        </w:tabs>
        <w:ind w:left="2160" w:hanging="360"/>
      </w:pPr>
      <w:rPr>
        <w:rFonts w:hint="default" w:ascii="Times New Roman" w:hAnsi="Times New Roman" w:cs="Times New Roman"/>
      </w:rPr>
    </w:lvl>
    <w:lvl w:ilvl="3" w:tentative="0">
      <w:start w:val="1"/>
      <w:numFmt w:val="decimal"/>
      <w:lvlText w:val="%4."/>
      <w:lvlJc w:val="left"/>
      <w:pPr>
        <w:tabs>
          <w:tab w:val="left" w:pos="2880"/>
        </w:tabs>
        <w:ind w:left="2880" w:hanging="360"/>
      </w:pPr>
      <w:rPr>
        <w:rFonts w:hint="default" w:ascii="Times New Roman" w:hAnsi="Times New Roman" w:cs="Times New Roman"/>
      </w:rPr>
    </w:lvl>
    <w:lvl w:ilvl="4" w:tentative="0">
      <w:start w:val="1"/>
      <w:numFmt w:val="decimal"/>
      <w:lvlText w:val="%5."/>
      <w:lvlJc w:val="left"/>
      <w:pPr>
        <w:tabs>
          <w:tab w:val="left" w:pos="3600"/>
        </w:tabs>
        <w:ind w:left="3600" w:hanging="360"/>
      </w:pPr>
      <w:rPr>
        <w:rFonts w:hint="default" w:ascii="Times New Roman" w:hAnsi="Times New Roman" w:cs="Times New Roman"/>
      </w:rPr>
    </w:lvl>
    <w:lvl w:ilvl="5" w:tentative="0">
      <w:start w:val="1"/>
      <w:numFmt w:val="decimal"/>
      <w:lvlText w:val="%6."/>
      <w:lvlJc w:val="left"/>
      <w:pPr>
        <w:tabs>
          <w:tab w:val="left" w:pos="4320"/>
        </w:tabs>
        <w:ind w:left="4320" w:hanging="360"/>
      </w:pPr>
      <w:rPr>
        <w:rFonts w:hint="default" w:ascii="Times New Roman" w:hAnsi="Times New Roman" w:cs="Times New Roman"/>
      </w:rPr>
    </w:lvl>
    <w:lvl w:ilvl="6" w:tentative="0">
      <w:start w:val="1"/>
      <w:numFmt w:val="decimal"/>
      <w:lvlText w:val="%7."/>
      <w:lvlJc w:val="left"/>
      <w:pPr>
        <w:tabs>
          <w:tab w:val="left" w:pos="5040"/>
        </w:tabs>
        <w:ind w:left="5040" w:hanging="360"/>
      </w:pPr>
      <w:rPr>
        <w:rFonts w:hint="default" w:ascii="Times New Roman" w:hAnsi="Times New Roman" w:cs="Times New Roman"/>
      </w:rPr>
    </w:lvl>
    <w:lvl w:ilvl="7" w:tentative="0">
      <w:start w:val="1"/>
      <w:numFmt w:val="decimal"/>
      <w:lvlText w:val="%8."/>
      <w:lvlJc w:val="left"/>
      <w:pPr>
        <w:tabs>
          <w:tab w:val="left" w:pos="5760"/>
        </w:tabs>
        <w:ind w:left="5760" w:hanging="360"/>
      </w:pPr>
      <w:rPr>
        <w:rFonts w:hint="default" w:ascii="Times New Roman" w:hAnsi="Times New Roman" w:cs="Times New Roman"/>
      </w:rPr>
    </w:lvl>
    <w:lvl w:ilvl="8" w:tentative="0">
      <w:start w:val="1"/>
      <w:numFmt w:val="decimal"/>
      <w:lvlText w:val="%9."/>
      <w:lvlJc w:val="left"/>
      <w:pPr>
        <w:tabs>
          <w:tab w:val="left" w:pos="6480"/>
        </w:tabs>
        <w:ind w:left="6480" w:hanging="360"/>
      </w:pPr>
      <w:rPr>
        <w:rFonts w:hint="default" w:ascii="Times New Roman" w:hAnsi="Times New Roman" w:cs="Times New Roman"/>
      </w:rPr>
    </w:lvl>
  </w:abstractNum>
  <w:abstractNum w:abstractNumId="3">
    <w:nsid w:val="246A2430"/>
    <w:multiLevelType w:val="multilevel"/>
    <w:tmpl w:val="246A2430"/>
    <w:lvl w:ilvl="0" w:tentative="0">
      <w:start w:val="1"/>
      <w:numFmt w:val="decimal"/>
      <w:lvlText w:val="%1."/>
      <w:lvlJc w:val="left"/>
      <w:pPr>
        <w:ind w:left="720" w:hanging="360"/>
      </w:pPr>
      <w:rPr>
        <w:rFonts w:hint="default" w:ascii="Times New Roman" w:hAnsi="Times New Roman" w:cs="Times New Roman"/>
      </w:rPr>
    </w:lvl>
    <w:lvl w:ilvl="1" w:tentative="0">
      <w:start w:val="1"/>
      <w:numFmt w:val="lowerLetter"/>
      <w:lvlText w:val="%2."/>
      <w:lvlJc w:val="left"/>
      <w:pPr>
        <w:ind w:left="1440" w:hanging="360"/>
      </w:pPr>
      <w:rPr>
        <w:rFonts w:hint="default" w:ascii="Times New Roman" w:hAnsi="Times New Roman" w:cs="Times New Roman"/>
      </w:rPr>
    </w:lvl>
    <w:lvl w:ilvl="2" w:tentative="0">
      <w:start w:val="1"/>
      <w:numFmt w:val="lowerRoman"/>
      <w:lvlText w:val="%3."/>
      <w:lvlJc w:val="right"/>
      <w:pPr>
        <w:ind w:left="2160" w:hanging="360"/>
      </w:pPr>
      <w:rPr>
        <w:rFonts w:hint="default" w:ascii="Times New Roman" w:hAnsi="Times New Roman" w:cs="Times New Roman"/>
      </w:rPr>
    </w:lvl>
    <w:lvl w:ilvl="3" w:tentative="0">
      <w:start w:val="1"/>
      <w:numFmt w:val="decimal"/>
      <w:lvlText w:val="%4."/>
      <w:lvlJc w:val="left"/>
      <w:pPr>
        <w:ind w:left="2880" w:hanging="360"/>
      </w:pPr>
      <w:rPr>
        <w:rFonts w:hint="default" w:ascii="Times New Roman" w:hAnsi="Times New Roman" w:cs="Times New Roman"/>
      </w:rPr>
    </w:lvl>
    <w:lvl w:ilvl="4" w:tentative="0">
      <w:start w:val="1"/>
      <w:numFmt w:val="lowerLetter"/>
      <w:lvlText w:val="%5."/>
      <w:lvlJc w:val="left"/>
      <w:pPr>
        <w:ind w:left="3600" w:hanging="360"/>
      </w:pPr>
      <w:rPr>
        <w:rFonts w:hint="default" w:ascii="Times New Roman" w:hAnsi="Times New Roman" w:cs="Times New Roman"/>
      </w:rPr>
    </w:lvl>
    <w:lvl w:ilvl="5" w:tentative="0">
      <w:start w:val="1"/>
      <w:numFmt w:val="lowerRoman"/>
      <w:lvlText w:val="%6."/>
      <w:lvlJc w:val="right"/>
      <w:pPr>
        <w:ind w:left="4320" w:hanging="360"/>
      </w:pPr>
      <w:rPr>
        <w:rFonts w:hint="default" w:ascii="Times New Roman" w:hAnsi="Times New Roman" w:cs="Times New Roman"/>
      </w:rPr>
    </w:lvl>
    <w:lvl w:ilvl="6" w:tentative="0">
      <w:start w:val="1"/>
      <w:numFmt w:val="decimal"/>
      <w:lvlText w:val="%7."/>
      <w:lvlJc w:val="left"/>
      <w:pPr>
        <w:ind w:left="5040" w:hanging="360"/>
      </w:pPr>
      <w:rPr>
        <w:rFonts w:hint="default" w:ascii="Times New Roman" w:hAnsi="Times New Roman" w:cs="Times New Roman"/>
      </w:rPr>
    </w:lvl>
    <w:lvl w:ilvl="7" w:tentative="0">
      <w:start w:val="1"/>
      <w:numFmt w:val="lowerLetter"/>
      <w:lvlText w:val="%8."/>
      <w:lvlJc w:val="left"/>
      <w:pPr>
        <w:ind w:left="5760" w:hanging="360"/>
      </w:pPr>
      <w:rPr>
        <w:rFonts w:hint="default" w:ascii="Times New Roman" w:hAnsi="Times New Roman" w:cs="Times New Roman"/>
      </w:rPr>
    </w:lvl>
    <w:lvl w:ilvl="8" w:tentative="0">
      <w:start w:val="1"/>
      <w:numFmt w:val="lowerRoman"/>
      <w:lvlText w:val="%9."/>
      <w:lvlJc w:val="right"/>
      <w:pPr>
        <w:ind w:left="6480" w:hanging="360"/>
      </w:pPr>
      <w:rPr>
        <w:rFonts w:hint="default" w:ascii="Times New Roman" w:hAnsi="Times New Roman" w:cs="Times New Roman"/>
      </w:rPr>
    </w:lvl>
  </w:abstractNum>
  <w:abstractNum w:abstractNumId="4">
    <w:nsid w:val="265E0B53"/>
    <w:multiLevelType w:val="multilevel"/>
    <w:tmpl w:val="265E0B53"/>
    <w:lvl w:ilvl="0" w:tentative="0">
      <w:start w:val="3"/>
      <w:numFmt w:val="lowerLetter"/>
      <w:lvlText w:val="%1."/>
      <w:lvlJc w:val="left"/>
      <w:pPr>
        <w:tabs>
          <w:tab w:val="left" w:pos="720"/>
        </w:tabs>
        <w:ind w:left="720" w:hanging="360"/>
      </w:pPr>
      <w:rPr>
        <w:rFonts w:hint="default" w:ascii="Times New Roman" w:hAnsi="Times New Roman" w:cs="Times New Roman"/>
      </w:rPr>
    </w:lvl>
    <w:lvl w:ilvl="1" w:tentative="0">
      <w:start w:val="1"/>
      <w:numFmt w:val="lowerLetter"/>
      <w:lvlText w:val="%2."/>
      <w:lvlJc w:val="left"/>
      <w:pPr>
        <w:tabs>
          <w:tab w:val="left" w:pos="1440"/>
        </w:tabs>
        <w:ind w:left="1440" w:hanging="360"/>
      </w:pPr>
      <w:rPr>
        <w:rFonts w:hint="default" w:ascii="Times New Roman" w:hAnsi="Times New Roman" w:cs="Times New Roman"/>
      </w:rPr>
    </w:lvl>
    <w:lvl w:ilvl="2" w:tentative="0">
      <w:start w:val="1"/>
      <w:numFmt w:val="lowerLetter"/>
      <w:lvlText w:val="%3."/>
      <w:lvlJc w:val="left"/>
      <w:pPr>
        <w:tabs>
          <w:tab w:val="left" w:pos="2160"/>
        </w:tabs>
        <w:ind w:left="2160" w:hanging="360"/>
      </w:pPr>
      <w:rPr>
        <w:rFonts w:hint="default" w:ascii="Times New Roman" w:hAnsi="Times New Roman" w:cs="Times New Roman"/>
      </w:rPr>
    </w:lvl>
    <w:lvl w:ilvl="3" w:tentative="0">
      <w:start w:val="1"/>
      <w:numFmt w:val="lowerLetter"/>
      <w:lvlText w:val="%4."/>
      <w:lvlJc w:val="left"/>
      <w:pPr>
        <w:tabs>
          <w:tab w:val="left" w:pos="2880"/>
        </w:tabs>
        <w:ind w:left="2880" w:hanging="360"/>
      </w:pPr>
      <w:rPr>
        <w:rFonts w:hint="default" w:ascii="Times New Roman" w:hAnsi="Times New Roman" w:cs="Times New Roman"/>
      </w:rPr>
    </w:lvl>
    <w:lvl w:ilvl="4" w:tentative="0">
      <w:start w:val="1"/>
      <w:numFmt w:val="lowerLetter"/>
      <w:lvlText w:val="%5."/>
      <w:lvlJc w:val="left"/>
      <w:pPr>
        <w:tabs>
          <w:tab w:val="left" w:pos="3600"/>
        </w:tabs>
        <w:ind w:left="3600" w:hanging="360"/>
      </w:pPr>
      <w:rPr>
        <w:rFonts w:hint="default" w:ascii="Times New Roman" w:hAnsi="Times New Roman" w:cs="Times New Roman"/>
      </w:rPr>
    </w:lvl>
    <w:lvl w:ilvl="5" w:tentative="0">
      <w:start w:val="1"/>
      <w:numFmt w:val="lowerLetter"/>
      <w:lvlText w:val="%6."/>
      <w:lvlJc w:val="left"/>
      <w:pPr>
        <w:tabs>
          <w:tab w:val="left" w:pos="4320"/>
        </w:tabs>
        <w:ind w:left="4320" w:hanging="360"/>
      </w:pPr>
      <w:rPr>
        <w:rFonts w:hint="default" w:ascii="Times New Roman" w:hAnsi="Times New Roman" w:cs="Times New Roman"/>
      </w:rPr>
    </w:lvl>
    <w:lvl w:ilvl="6" w:tentative="0">
      <w:start w:val="1"/>
      <w:numFmt w:val="lowerLetter"/>
      <w:lvlText w:val="%7."/>
      <w:lvlJc w:val="left"/>
      <w:pPr>
        <w:tabs>
          <w:tab w:val="left" w:pos="5040"/>
        </w:tabs>
        <w:ind w:left="5040" w:hanging="360"/>
      </w:pPr>
      <w:rPr>
        <w:rFonts w:hint="default" w:ascii="Times New Roman" w:hAnsi="Times New Roman" w:cs="Times New Roman"/>
      </w:rPr>
    </w:lvl>
    <w:lvl w:ilvl="7" w:tentative="0">
      <w:start w:val="1"/>
      <w:numFmt w:val="lowerLetter"/>
      <w:lvlText w:val="%8."/>
      <w:lvlJc w:val="left"/>
      <w:pPr>
        <w:tabs>
          <w:tab w:val="left" w:pos="5760"/>
        </w:tabs>
        <w:ind w:left="5760" w:hanging="360"/>
      </w:pPr>
      <w:rPr>
        <w:rFonts w:hint="default" w:ascii="Times New Roman" w:hAnsi="Times New Roman" w:cs="Times New Roman"/>
      </w:rPr>
    </w:lvl>
    <w:lvl w:ilvl="8" w:tentative="0">
      <w:start w:val="1"/>
      <w:numFmt w:val="lowerLetter"/>
      <w:lvlText w:val="%9."/>
      <w:lvlJc w:val="left"/>
      <w:pPr>
        <w:tabs>
          <w:tab w:val="left" w:pos="6480"/>
        </w:tabs>
        <w:ind w:left="6480" w:hanging="360"/>
      </w:pPr>
      <w:rPr>
        <w:rFonts w:hint="default" w:ascii="Times New Roman" w:hAnsi="Times New Roman" w:cs="Times New Roman"/>
      </w:rPr>
    </w:lvl>
  </w:abstractNum>
  <w:abstractNum w:abstractNumId="5">
    <w:nsid w:val="3386625C"/>
    <w:multiLevelType w:val="multilevel"/>
    <w:tmpl w:val="3386625C"/>
    <w:lvl w:ilvl="0" w:tentative="0">
      <w:start w:val="3"/>
      <w:numFmt w:val="decimal"/>
      <w:lvlText w:val="%1."/>
      <w:lvlJc w:val="left"/>
      <w:pPr>
        <w:tabs>
          <w:tab w:val="left" w:pos="720"/>
        </w:tabs>
        <w:ind w:left="720" w:hanging="360"/>
      </w:pPr>
      <w:rPr>
        <w:rFonts w:hint="default" w:ascii="Times New Roman" w:hAnsi="Times New Roman" w:cs="Times New Roman"/>
      </w:rPr>
    </w:lvl>
    <w:lvl w:ilvl="1" w:tentative="0">
      <w:start w:val="1"/>
      <w:numFmt w:val="decimal"/>
      <w:lvlText w:val="%2."/>
      <w:lvlJc w:val="left"/>
      <w:pPr>
        <w:tabs>
          <w:tab w:val="left" w:pos="1440"/>
        </w:tabs>
        <w:ind w:left="1440" w:hanging="360"/>
      </w:pPr>
      <w:rPr>
        <w:rFonts w:hint="default" w:ascii="Times New Roman" w:hAnsi="Times New Roman" w:cs="Times New Roman"/>
      </w:rPr>
    </w:lvl>
    <w:lvl w:ilvl="2" w:tentative="0">
      <w:start w:val="1"/>
      <w:numFmt w:val="decimal"/>
      <w:lvlText w:val="%3."/>
      <w:lvlJc w:val="left"/>
      <w:pPr>
        <w:tabs>
          <w:tab w:val="left" w:pos="2160"/>
        </w:tabs>
        <w:ind w:left="2160" w:hanging="360"/>
      </w:pPr>
      <w:rPr>
        <w:rFonts w:hint="default" w:ascii="Times New Roman" w:hAnsi="Times New Roman" w:cs="Times New Roman"/>
      </w:rPr>
    </w:lvl>
    <w:lvl w:ilvl="3" w:tentative="0">
      <w:start w:val="1"/>
      <w:numFmt w:val="decimal"/>
      <w:lvlText w:val="%4."/>
      <w:lvlJc w:val="left"/>
      <w:pPr>
        <w:tabs>
          <w:tab w:val="left" w:pos="2880"/>
        </w:tabs>
        <w:ind w:left="2880" w:hanging="360"/>
      </w:pPr>
      <w:rPr>
        <w:rFonts w:hint="default" w:ascii="Times New Roman" w:hAnsi="Times New Roman" w:cs="Times New Roman"/>
      </w:rPr>
    </w:lvl>
    <w:lvl w:ilvl="4" w:tentative="0">
      <w:start w:val="1"/>
      <w:numFmt w:val="decimal"/>
      <w:lvlText w:val="%5."/>
      <w:lvlJc w:val="left"/>
      <w:pPr>
        <w:tabs>
          <w:tab w:val="left" w:pos="3600"/>
        </w:tabs>
        <w:ind w:left="3600" w:hanging="360"/>
      </w:pPr>
      <w:rPr>
        <w:rFonts w:hint="default" w:ascii="Times New Roman" w:hAnsi="Times New Roman" w:cs="Times New Roman"/>
      </w:rPr>
    </w:lvl>
    <w:lvl w:ilvl="5" w:tentative="0">
      <w:start w:val="1"/>
      <w:numFmt w:val="decimal"/>
      <w:lvlText w:val="%6."/>
      <w:lvlJc w:val="left"/>
      <w:pPr>
        <w:tabs>
          <w:tab w:val="left" w:pos="4320"/>
        </w:tabs>
        <w:ind w:left="4320" w:hanging="360"/>
      </w:pPr>
      <w:rPr>
        <w:rFonts w:hint="default" w:ascii="Times New Roman" w:hAnsi="Times New Roman" w:cs="Times New Roman"/>
      </w:rPr>
    </w:lvl>
    <w:lvl w:ilvl="6" w:tentative="0">
      <w:start w:val="1"/>
      <w:numFmt w:val="decimal"/>
      <w:lvlText w:val="%7."/>
      <w:lvlJc w:val="left"/>
      <w:pPr>
        <w:tabs>
          <w:tab w:val="left" w:pos="5040"/>
        </w:tabs>
        <w:ind w:left="5040" w:hanging="360"/>
      </w:pPr>
      <w:rPr>
        <w:rFonts w:hint="default" w:ascii="Times New Roman" w:hAnsi="Times New Roman" w:cs="Times New Roman"/>
      </w:rPr>
    </w:lvl>
    <w:lvl w:ilvl="7" w:tentative="0">
      <w:start w:val="1"/>
      <w:numFmt w:val="decimal"/>
      <w:lvlText w:val="%8."/>
      <w:lvlJc w:val="left"/>
      <w:pPr>
        <w:tabs>
          <w:tab w:val="left" w:pos="5760"/>
        </w:tabs>
        <w:ind w:left="5760" w:hanging="360"/>
      </w:pPr>
      <w:rPr>
        <w:rFonts w:hint="default" w:ascii="Times New Roman" w:hAnsi="Times New Roman" w:cs="Times New Roman"/>
      </w:rPr>
    </w:lvl>
    <w:lvl w:ilvl="8" w:tentative="0">
      <w:start w:val="1"/>
      <w:numFmt w:val="decimal"/>
      <w:lvlText w:val="%9."/>
      <w:lvlJc w:val="left"/>
      <w:pPr>
        <w:tabs>
          <w:tab w:val="left" w:pos="6480"/>
        </w:tabs>
        <w:ind w:left="6480" w:hanging="360"/>
      </w:pPr>
      <w:rPr>
        <w:rFonts w:hint="default" w:ascii="Times New Roman" w:hAnsi="Times New Roman" w:cs="Times New Roman"/>
      </w:rPr>
    </w:lvl>
  </w:abstractNum>
  <w:abstractNum w:abstractNumId="6">
    <w:nsid w:val="34265079"/>
    <w:multiLevelType w:val="multilevel"/>
    <w:tmpl w:val="34265079"/>
    <w:lvl w:ilvl="0" w:tentative="0">
      <w:start w:val="4"/>
      <w:numFmt w:val="decimal"/>
      <w:lvlText w:val="%1."/>
      <w:lvlJc w:val="left"/>
      <w:pPr>
        <w:tabs>
          <w:tab w:val="left" w:pos="720"/>
        </w:tabs>
        <w:ind w:left="720" w:hanging="360"/>
      </w:pPr>
      <w:rPr>
        <w:rFonts w:hint="default" w:ascii="Times New Roman" w:hAnsi="Times New Roman" w:cs="Times New Roman"/>
      </w:rPr>
    </w:lvl>
    <w:lvl w:ilvl="1" w:tentative="0">
      <w:start w:val="1"/>
      <w:numFmt w:val="decimal"/>
      <w:lvlText w:val="%2."/>
      <w:lvlJc w:val="left"/>
      <w:pPr>
        <w:tabs>
          <w:tab w:val="left" w:pos="1440"/>
        </w:tabs>
        <w:ind w:left="1440" w:hanging="360"/>
      </w:pPr>
      <w:rPr>
        <w:rFonts w:hint="default" w:ascii="Times New Roman" w:hAnsi="Times New Roman" w:cs="Times New Roman"/>
      </w:rPr>
    </w:lvl>
    <w:lvl w:ilvl="2" w:tentative="0">
      <w:start w:val="1"/>
      <w:numFmt w:val="decimal"/>
      <w:lvlText w:val="%3."/>
      <w:lvlJc w:val="left"/>
      <w:pPr>
        <w:tabs>
          <w:tab w:val="left" w:pos="2160"/>
        </w:tabs>
        <w:ind w:left="2160" w:hanging="360"/>
      </w:pPr>
      <w:rPr>
        <w:rFonts w:hint="default" w:ascii="Times New Roman" w:hAnsi="Times New Roman" w:cs="Times New Roman"/>
      </w:rPr>
    </w:lvl>
    <w:lvl w:ilvl="3" w:tentative="0">
      <w:start w:val="1"/>
      <w:numFmt w:val="decimal"/>
      <w:lvlText w:val="%4."/>
      <w:lvlJc w:val="left"/>
      <w:pPr>
        <w:tabs>
          <w:tab w:val="left" w:pos="2880"/>
        </w:tabs>
        <w:ind w:left="2880" w:hanging="360"/>
      </w:pPr>
      <w:rPr>
        <w:rFonts w:hint="default" w:ascii="Times New Roman" w:hAnsi="Times New Roman" w:cs="Times New Roman"/>
      </w:rPr>
    </w:lvl>
    <w:lvl w:ilvl="4" w:tentative="0">
      <w:start w:val="1"/>
      <w:numFmt w:val="decimal"/>
      <w:lvlText w:val="%5."/>
      <w:lvlJc w:val="left"/>
      <w:pPr>
        <w:tabs>
          <w:tab w:val="left" w:pos="3600"/>
        </w:tabs>
        <w:ind w:left="3600" w:hanging="360"/>
      </w:pPr>
      <w:rPr>
        <w:rFonts w:hint="default" w:ascii="Times New Roman" w:hAnsi="Times New Roman" w:cs="Times New Roman"/>
      </w:rPr>
    </w:lvl>
    <w:lvl w:ilvl="5" w:tentative="0">
      <w:start w:val="1"/>
      <w:numFmt w:val="decimal"/>
      <w:lvlText w:val="%6."/>
      <w:lvlJc w:val="left"/>
      <w:pPr>
        <w:tabs>
          <w:tab w:val="left" w:pos="4320"/>
        </w:tabs>
        <w:ind w:left="4320" w:hanging="360"/>
      </w:pPr>
      <w:rPr>
        <w:rFonts w:hint="default" w:ascii="Times New Roman" w:hAnsi="Times New Roman" w:cs="Times New Roman"/>
      </w:rPr>
    </w:lvl>
    <w:lvl w:ilvl="6" w:tentative="0">
      <w:start w:val="1"/>
      <w:numFmt w:val="decimal"/>
      <w:lvlText w:val="%7."/>
      <w:lvlJc w:val="left"/>
      <w:pPr>
        <w:tabs>
          <w:tab w:val="left" w:pos="5040"/>
        </w:tabs>
        <w:ind w:left="5040" w:hanging="360"/>
      </w:pPr>
      <w:rPr>
        <w:rFonts w:hint="default" w:ascii="Times New Roman" w:hAnsi="Times New Roman" w:cs="Times New Roman"/>
      </w:rPr>
    </w:lvl>
    <w:lvl w:ilvl="7" w:tentative="0">
      <w:start w:val="1"/>
      <w:numFmt w:val="decimal"/>
      <w:lvlText w:val="%8."/>
      <w:lvlJc w:val="left"/>
      <w:pPr>
        <w:tabs>
          <w:tab w:val="left" w:pos="5760"/>
        </w:tabs>
        <w:ind w:left="5760" w:hanging="360"/>
      </w:pPr>
      <w:rPr>
        <w:rFonts w:hint="default" w:ascii="Times New Roman" w:hAnsi="Times New Roman" w:cs="Times New Roman"/>
      </w:rPr>
    </w:lvl>
    <w:lvl w:ilvl="8" w:tentative="0">
      <w:start w:val="1"/>
      <w:numFmt w:val="decimal"/>
      <w:lvlText w:val="%9."/>
      <w:lvlJc w:val="left"/>
      <w:pPr>
        <w:tabs>
          <w:tab w:val="left" w:pos="6480"/>
        </w:tabs>
        <w:ind w:left="6480" w:hanging="360"/>
      </w:pPr>
      <w:rPr>
        <w:rFonts w:hint="default" w:ascii="Times New Roman" w:hAnsi="Times New Roman" w:cs="Times New Roman"/>
      </w:rPr>
    </w:lvl>
  </w:abstractNum>
  <w:abstractNum w:abstractNumId="7">
    <w:nsid w:val="3BC2370A"/>
    <w:multiLevelType w:val="multilevel"/>
    <w:tmpl w:val="3BC2370A"/>
    <w:lvl w:ilvl="0" w:tentative="0">
      <w:start w:val="2"/>
      <w:numFmt w:val="decimal"/>
      <w:lvlText w:val="%1."/>
      <w:lvlJc w:val="left"/>
      <w:pPr>
        <w:tabs>
          <w:tab w:val="left" w:pos="720"/>
        </w:tabs>
        <w:ind w:left="720" w:hanging="360"/>
      </w:pPr>
      <w:rPr>
        <w:rFonts w:hint="default" w:ascii="Times New Roman" w:hAnsi="Times New Roman" w:cs="Times New Roman"/>
      </w:rPr>
    </w:lvl>
    <w:lvl w:ilvl="1" w:tentative="0">
      <w:start w:val="1"/>
      <w:numFmt w:val="decimal"/>
      <w:lvlText w:val="%2."/>
      <w:lvlJc w:val="left"/>
      <w:pPr>
        <w:tabs>
          <w:tab w:val="left" w:pos="1440"/>
        </w:tabs>
        <w:ind w:left="1440" w:hanging="360"/>
      </w:pPr>
      <w:rPr>
        <w:rFonts w:hint="default" w:ascii="Times New Roman" w:hAnsi="Times New Roman" w:cs="Times New Roman"/>
      </w:rPr>
    </w:lvl>
    <w:lvl w:ilvl="2" w:tentative="0">
      <w:start w:val="1"/>
      <w:numFmt w:val="decimal"/>
      <w:lvlText w:val="%3."/>
      <w:lvlJc w:val="left"/>
      <w:pPr>
        <w:tabs>
          <w:tab w:val="left" w:pos="2160"/>
        </w:tabs>
        <w:ind w:left="2160" w:hanging="360"/>
      </w:pPr>
      <w:rPr>
        <w:rFonts w:hint="default" w:ascii="Times New Roman" w:hAnsi="Times New Roman" w:cs="Times New Roman"/>
      </w:rPr>
    </w:lvl>
    <w:lvl w:ilvl="3" w:tentative="0">
      <w:start w:val="1"/>
      <w:numFmt w:val="decimal"/>
      <w:lvlText w:val="%4."/>
      <w:lvlJc w:val="left"/>
      <w:pPr>
        <w:tabs>
          <w:tab w:val="left" w:pos="2880"/>
        </w:tabs>
        <w:ind w:left="2880" w:hanging="360"/>
      </w:pPr>
      <w:rPr>
        <w:rFonts w:hint="default" w:ascii="Times New Roman" w:hAnsi="Times New Roman" w:cs="Times New Roman"/>
      </w:rPr>
    </w:lvl>
    <w:lvl w:ilvl="4" w:tentative="0">
      <w:start w:val="1"/>
      <w:numFmt w:val="decimal"/>
      <w:lvlText w:val="%5."/>
      <w:lvlJc w:val="left"/>
      <w:pPr>
        <w:tabs>
          <w:tab w:val="left" w:pos="3600"/>
        </w:tabs>
        <w:ind w:left="3600" w:hanging="360"/>
      </w:pPr>
      <w:rPr>
        <w:rFonts w:hint="default" w:ascii="Times New Roman" w:hAnsi="Times New Roman" w:cs="Times New Roman"/>
      </w:rPr>
    </w:lvl>
    <w:lvl w:ilvl="5" w:tentative="0">
      <w:start w:val="1"/>
      <w:numFmt w:val="decimal"/>
      <w:lvlText w:val="%6."/>
      <w:lvlJc w:val="left"/>
      <w:pPr>
        <w:tabs>
          <w:tab w:val="left" w:pos="4320"/>
        </w:tabs>
        <w:ind w:left="4320" w:hanging="360"/>
      </w:pPr>
      <w:rPr>
        <w:rFonts w:hint="default" w:ascii="Times New Roman" w:hAnsi="Times New Roman" w:cs="Times New Roman"/>
      </w:rPr>
    </w:lvl>
    <w:lvl w:ilvl="6" w:tentative="0">
      <w:start w:val="1"/>
      <w:numFmt w:val="decimal"/>
      <w:lvlText w:val="%7."/>
      <w:lvlJc w:val="left"/>
      <w:pPr>
        <w:tabs>
          <w:tab w:val="left" w:pos="5040"/>
        </w:tabs>
        <w:ind w:left="5040" w:hanging="360"/>
      </w:pPr>
      <w:rPr>
        <w:rFonts w:hint="default" w:ascii="Times New Roman" w:hAnsi="Times New Roman" w:cs="Times New Roman"/>
      </w:rPr>
    </w:lvl>
    <w:lvl w:ilvl="7" w:tentative="0">
      <w:start w:val="1"/>
      <w:numFmt w:val="decimal"/>
      <w:lvlText w:val="%8."/>
      <w:lvlJc w:val="left"/>
      <w:pPr>
        <w:tabs>
          <w:tab w:val="left" w:pos="5760"/>
        </w:tabs>
        <w:ind w:left="5760" w:hanging="360"/>
      </w:pPr>
      <w:rPr>
        <w:rFonts w:hint="default" w:ascii="Times New Roman" w:hAnsi="Times New Roman" w:cs="Times New Roman"/>
      </w:rPr>
    </w:lvl>
    <w:lvl w:ilvl="8" w:tentative="0">
      <w:start w:val="1"/>
      <w:numFmt w:val="decimal"/>
      <w:lvlText w:val="%9."/>
      <w:lvlJc w:val="left"/>
      <w:pPr>
        <w:tabs>
          <w:tab w:val="left" w:pos="6480"/>
        </w:tabs>
        <w:ind w:left="6480" w:hanging="360"/>
      </w:pPr>
      <w:rPr>
        <w:rFonts w:hint="default" w:ascii="Times New Roman" w:hAnsi="Times New Roman" w:cs="Times New Roman"/>
      </w:rPr>
    </w:lvl>
  </w:abstractNum>
  <w:abstractNum w:abstractNumId="8">
    <w:nsid w:val="41546F95"/>
    <w:multiLevelType w:val="multilevel"/>
    <w:tmpl w:val="41546F95"/>
    <w:lvl w:ilvl="0" w:tentative="0">
      <w:start w:val="2"/>
      <w:numFmt w:val="decimal"/>
      <w:lvlText w:val="%1."/>
      <w:lvlJc w:val="left"/>
      <w:pPr>
        <w:tabs>
          <w:tab w:val="left" w:pos="720"/>
        </w:tabs>
        <w:ind w:left="720" w:hanging="360"/>
      </w:pPr>
      <w:rPr>
        <w:rFonts w:hint="default" w:ascii="Times New Roman" w:hAnsi="Times New Roman" w:cs="Times New Roman"/>
      </w:rPr>
    </w:lvl>
    <w:lvl w:ilvl="1" w:tentative="0">
      <w:start w:val="1"/>
      <w:numFmt w:val="decimal"/>
      <w:lvlText w:val="%2."/>
      <w:lvlJc w:val="left"/>
      <w:pPr>
        <w:tabs>
          <w:tab w:val="left" w:pos="1440"/>
        </w:tabs>
        <w:ind w:left="1440" w:hanging="360"/>
      </w:pPr>
      <w:rPr>
        <w:rFonts w:hint="default" w:ascii="Times New Roman" w:hAnsi="Times New Roman" w:cs="Times New Roman"/>
      </w:rPr>
    </w:lvl>
    <w:lvl w:ilvl="2" w:tentative="0">
      <w:start w:val="1"/>
      <w:numFmt w:val="decimal"/>
      <w:lvlText w:val="%3."/>
      <w:lvlJc w:val="left"/>
      <w:pPr>
        <w:tabs>
          <w:tab w:val="left" w:pos="2160"/>
        </w:tabs>
        <w:ind w:left="2160" w:hanging="360"/>
      </w:pPr>
      <w:rPr>
        <w:rFonts w:hint="default" w:ascii="Times New Roman" w:hAnsi="Times New Roman" w:cs="Times New Roman"/>
      </w:rPr>
    </w:lvl>
    <w:lvl w:ilvl="3" w:tentative="0">
      <w:start w:val="1"/>
      <w:numFmt w:val="decimal"/>
      <w:lvlText w:val="%4."/>
      <w:lvlJc w:val="left"/>
      <w:pPr>
        <w:tabs>
          <w:tab w:val="left" w:pos="2880"/>
        </w:tabs>
        <w:ind w:left="2880" w:hanging="360"/>
      </w:pPr>
      <w:rPr>
        <w:rFonts w:hint="default" w:ascii="Times New Roman" w:hAnsi="Times New Roman" w:cs="Times New Roman"/>
      </w:rPr>
    </w:lvl>
    <w:lvl w:ilvl="4" w:tentative="0">
      <w:start w:val="1"/>
      <w:numFmt w:val="decimal"/>
      <w:lvlText w:val="%5."/>
      <w:lvlJc w:val="left"/>
      <w:pPr>
        <w:tabs>
          <w:tab w:val="left" w:pos="3600"/>
        </w:tabs>
        <w:ind w:left="3600" w:hanging="360"/>
      </w:pPr>
      <w:rPr>
        <w:rFonts w:hint="default" w:ascii="Times New Roman" w:hAnsi="Times New Roman" w:cs="Times New Roman"/>
      </w:rPr>
    </w:lvl>
    <w:lvl w:ilvl="5" w:tentative="0">
      <w:start w:val="1"/>
      <w:numFmt w:val="decimal"/>
      <w:lvlText w:val="%6."/>
      <w:lvlJc w:val="left"/>
      <w:pPr>
        <w:tabs>
          <w:tab w:val="left" w:pos="4320"/>
        </w:tabs>
        <w:ind w:left="4320" w:hanging="360"/>
      </w:pPr>
      <w:rPr>
        <w:rFonts w:hint="default" w:ascii="Times New Roman" w:hAnsi="Times New Roman" w:cs="Times New Roman"/>
      </w:rPr>
    </w:lvl>
    <w:lvl w:ilvl="6" w:tentative="0">
      <w:start w:val="1"/>
      <w:numFmt w:val="decimal"/>
      <w:lvlText w:val="%7."/>
      <w:lvlJc w:val="left"/>
      <w:pPr>
        <w:tabs>
          <w:tab w:val="left" w:pos="5040"/>
        </w:tabs>
        <w:ind w:left="5040" w:hanging="360"/>
      </w:pPr>
      <w:rPr>
        <w:rFonts w:hint="default" w:ascii="Times New Roman" w:hAnsi="Times New Roman" w:cs="Times New Roman"/>
      </w:rPr>
    </w:lvl>
    <w:lvl w:ilvl="7" w:tentative="0">
      <w:start w:val="1"/>
      <w:numFmt w:val="decimal"/>
      <w:lvlText w:val="%8."/>
      <w:lvlJc w:val="left"/>
      <w:pPr>
        <w:tabs>
          <w:tab w:val="left" w:pos="5760"/>
        </w:tabs>
        <w:ind w:left="5760" w:hanging="360"/>
      </w:pPr>
      <w:rPr>
        <w:rFonts w:hint="default" w:ascii="Times New Roman" w:hAnsi="Times New Roman" w:cs="Times New Roman"/>
      </w:rPr>
    </w:lvl>
    <w:lvl w:ilvl="8" w:tentative="0">
      <w:start w:val="1"/>
      <w:numFmt w:val="decimal"/>
      <w:lvlText w:val="%9."/>
      <w:lvlJc w:val="left"/>
      <w:pPr>
        <w:tabs>
          <w:tab w:val="left" w:pos="6480"/>
        </w:tabs>
        <w:ind w:left="6480" w:hanging="360"/>
      </w:pPr>
      <w:rPr>
        <w:rFonts w:hint="default" w:ascii="Times New Roman" w:hAnsi="Times New Roman" w:cs="Times New Roman"/>
      </w:rPr>
    </w:lvl>
  </w:abstractNum>
  <w:abstractNum w:abstractNumId="9">
    <w:nsid w:val="42742E10"/>
    <w:multiLevelType w:val="multilevel"/>
    <w:tmpl w:val="42742E10"/>
    <w:lvl w:ilvl="0" w:tentative="0">
      <w:start w:val="1"/>
      <w:numFmt w:val="lowerLetter"/>
      <w:lvlText w:val="%1."/>
      <w:lvlJc w:val="left"/>
      <w:pPr>
        <w:tabs>
          <w:tab w:val="left" w:pos="720"/>
        </w:tabs>
        <w:ind w:left="720" w:hanging="360"/>
      </w:pPr>
      <w:rPr>
        <w:rFonts w:hint="default" w:ascii="Times New Roman" w:hAnsi="Times New Roman" w:cs="Times New Roman"/>
      </w:rPr>
    </w:lvl>
    <w:lvl w:ilvl="1" w:tentative="0">
      <w:start w:val="1"/>
      <w:numFmt w:val="lowerLetter"/>
      <w:lvlText w:val="%2."/>
      <w:lvlJc w:val="left"/>
      <w:pPr>
        <w:tabs>
          <w:tab w:val="left" w:pos="1440"/>
        </w:tabs>
        <w:ind w:left="1440" w:hanging="360"/>
      </w:pPr>
      <w:rPr>
        <w:rFonts w:hint="default" w:ascii="Times New Roman" w:hAnsi="Times New Roman" w:cs="Times New Roman"/>
      </w:rPr>
    </w:lvl>
    <w:lvl w:ilvl="2" w:tentative="0">
      <w:start w:val="1"/>
      <w:numFmt w:val="lowerLetter"/>
      <w:lvlText w:val="%3."/>
      <w:lvlJc w:val="left"/>
      <w:pPr>
        <w:tabs>
          <w:tab w:val="left" w:pos="2160"/>
        </w:tabs>
        <w:ind w:left="2160" w:hanging="360"/>
      </w:pPr>
      <w:rPr>
        <w:rFonts w:hint="default" w:ascii="Times New Roman" w:hAnsi="Times New Roman" w:cs="Times New Roman"/>
      </w:rPr>
    </w:lvl>
    <w:lvl w:ilvl="3" w:tentative="0">
      <w:start w:val="1"/>
      <w:numFmt w:val="lowerLetter"/>
      <w:lvlText w:val="%4."/>
      <w:lvlJc w:val="left"/>
      <w:pPr>
        <w:tabs>
          <w:tab w:val="left" w:pos="2880"/>
        </w:tabs>
        <w:ind w:left="2880" w:hanging="360"/>
      </w:pPr>
      <w:rPr>
        <w:rFonts w:hint="default" w:ascii="Times New Roman" w:hAnsi="Times New Roman" w:cs="Times New Roman"/>
      </w:rPr>
    </w:lvl>
    <w:lvl w:ilvl="4" w:tentative="0">
      <w:start w:val="1"/>
      <w:numFmt w:val="lowerLetter"/>
      <w:lvlText w:val="%5."/>
      <w:lvlJc w:val="left"/>
      <w:pPr>
        <w:tabs>
          <w:tab w:val="left" w:pos="3600"/>
        </w:tabs>
        <w:ind w:left="3600" w:hanging="360"/>
      </w:pPr>
      <w:rPr>
        <w:rFonts w:hint="default" w:ascii="Times New Roman" w:hAnsi="Times New Roman" w:cs="Times New Roman"/>
      </w:rPr>
    </w:lvl>
    <w:lvl w:ilvl="5" w:tentative="0">
      <w:start w:val="1"/>
      <w:numFmt w:val="lowerLetter"/>
      <w:lvlText w:val="%6."/>
      <w:lvlJc w:val="left"/>
      <w:pPr>
        <w:tabs>
          <w:tab w:val="left" w:pos="4320"/>
        </w:tabs>
        <w:ind w:left="4320" w:hanging="360"/>
      </w:pPr>
      <w:rPr>
        <w:rFonts w:hint="default" w:ascii="Times New Roman" w:hAnsi="Times New Roman" w:cs="Times New Roman"/>
      </w:rPr>
    </w:lvl>
    <w:lvl w:ilvl="6" w:tentative="0">
      <w:start w:val="1"/>
      <w:numFmt w:val="lowerLetter"/>
      <w:lvlText w:val="%7."/>
      <w:lvlJc w:val="left"/>
      <w:pPr>
        <w:tabs>
          <w:tab w:val="left" w:pos="5040"/>
        </w:tabs>
        <w:ind w:left="5040" w:hanging="360"/>
      </w:pPr>
      <w:rPr>
        <w:rFonts w:hint="default" w:ascii="Times New Roman" w:hAnsi="Times New Roman" w:cs="Times New Roman"/>
      </w:rPr>
    </w:lvl>
    <w:lvl w:ilvl="7" w:tentative="0">
      <w:start w:val="1"/>
      <w:numFmt w:val="lowerLetter"/>
      <w:lvlText w:val="%8."/>
      <w:lvlJc w:val="left"/>
      <w:pPr>
        <w:tabs>
          <w:tab w:val="left" w:pos="5760"/>
        </w:tabs>
        <w:ind w:left="5760" w:hanging="360"/>
      </w:pPr>
      <w:rPr>
        <w:rFonts w:hint="default" w:ascii="Times New Roman" w:hAnsi="Times New Roman" w:cs="Times New Roman"/>
      </w:rPr>
    </w:lvl>
    <w:lvl w:ilvl="8" w:tentative="0">
      <w:start w:val="1"/>
      <w:numFmt w:val="lowerLetter"/>
      <w:lvlText w:val="%9."/>
      <w:lvlJc w:val="left"/>
      <w:pPr>
        <w:tabs>
          <w:tab w:val="left" w:pos="6480"/>
        </w:tabs>
        <w:ind w:left="6480" w:hanging="360"/>
      </w:pPr>
      <w:rPr>
        <w:rFonts w:hint="default" w:ascii="Times New Roman" w:hAnsi="Times New Roman" w:cs="Times New Roman"/>
      </w:rPr>
    </w:lvl>
  </w:abstractNum>
  <w:abstractNum w:abstractNumId="10">
    <w:nsid w:val="46735A37"/>
    <w:multiLevelType w:val="multilevel"/>
    <w:tmpl w:val="46735A37"/>
    <w:lvl w:ilvl="0" w:tentative="0">
      <w:start w:val="4"/>
      <w:numFmt w:val="decimal"/>
      <w:lvlText w:val="%1."/>
      <w:lvlJc w:val="left"/>
      <w:pPr>
        <w:tabs>
          <w:tab w:val="left" w:pos="720"/>
        </w:tabs>
        <w:ind w:left="720" w:hanging="360"/>
      </w:pPr>
      <w:rPr>
        <w:rFonts w:hint="default" w:ascii="Times New Roman" w:hAnsi="Times New Roman" w:cs="Times New Roman"/>
      </w:rPr>
    </w:lvl>
    <w:lvl w:ilvl="1" w:tentative="0">
      <w:start w:val="1"/>
      <w:numFmt w:val="decimal"/>
      <w:lvlText w:val="%2."/>
      <w:lvlJc w:val="left"/>
      <w:pPr>
        <w:tabs>
          <w:tab w:val="left" w:pos="1440"/>
        </w:tabs>
        <w:ind w:left="1440" w:hanging="360"/>
      </w:pPr>
      <w:rPr>
        <w:rFonts w:hint="default" w:ascii="Times New Roman" w:hAnsi="Times New Roman" w:cs="Times New Roman"/>
      </w:rPr>
    </w:lvl>
    <w:lvl w:ilvl="2" w:tentative="0">
      <w:start w:val="1"/>
      <w:numFmt w:val="decimal"/>
      <w:lvlText w:val="%3."/>
      <w:lvlJc w:val="left"/>
      <w:pPr>
        <w:tabs>
          <w:tab w:val="left" w:pos="2160"/>
        </w:tabs>
        <w:ind w:left="2160" w:hanging="360"/>
      </w:pPr>
      <w:rPr>
        <w:rFonts w:hint="default" w:ascii="Times New Roman" w:hAnsi="Times New Roman" w:cs="Times New Roman"/>
      </w:rPr>
    </w:lvl>
    <w:lvl w:ilvl="3" w:tentative="0">
      <w:start w:val="1"/>
      <w:numFmt w:val="decimal"/>
      <w:lvlText w:val="%4."/>
      <w:lvlJc w:val="left"/>
      <w:pPr>
        <w:tabs>
          <w:tab w:val="left" w:pos="2880"/>
        </w:tabs>
        <w:ind w:left="2880" w:hanging="360"/>
      </w:pPr>
      <w:rPr>
        <w:rFonts w:hint="default" w:ascii="Times New Roman" w:hAnsi="Times New Roman" w:cs="Times New Roman"/>
      </w:rPr>
    </w:lvl>
    <w:lvl w:ilvl="4" w:tentative="0">
      <w:start w:val="1"/>
      <w:numFmt w:val="decimal"/>
      <w:lvlText w:val="%5."/>
      <w:lvlJc w:val="left"/>
      <w:pPr>
        <w:tabs>
          <w:tab w:val="left" w:pos="3600"/>
        </w:tabs>
        <w:ind w:left="3600" w:hanging="360"/>
      </w:pPr>
      <w:rPr>
        <w:rFonts w:hint="default" w:ascii="Times New Roman" w:hAnsi="Times New Roman" w:cs="Times New Roman"/>
      </w:rPr>
    </w:lvl>
    <w:lvl w:ilvl="5" w:tentative="0">
      <w:start w:val="1"/>
      <w:numFmt w:val="decimal"/>
      <w:lvlText w:val="%6."/>
      <w:lvlJc w:val="left"/>
      <w:pPr>
        <w:tabs>
          <w:tab w:val="left" w:pos="4320"/>
        </w:tabs>
        <w:ind w:left="4320" w:hanging="360"/>
      </w:pPr>
      <w:rPr>
        <w:rFonts w:hint="default" w:ascii="Times New Roman" w:hAnsi="Times New Roman" w:cs="Times New Roman"/>
      </w:rPr>
    </w:lvl>
    <w:lvl w:ilvl="6" w:tentative="0">
      <w:start w:val="1"/>
      <w:numFmt w:val="decimal"/>
      <w:lvlText w:val="%7."/>
      <w:lvlJc w:val="left"/>
      <w:pPr>
        <w:tabs>
          <w:tab w:val="left" w:pos="5040"/>
        </w:tabs>
        <w:ind w:left="5040" w:hanging="360"/>
      </w:pPr>
      <w:rPr>
        <w:rFonts w:hint="default" w:ascii="Times New Roman" w:hAnsi="Times New Roman" w:cs="Times New Roman"/>
      </w:rPr>
    </w:lvl>
    <w:lvl w:ilvl="7" w:tentative="0">
      <w:start w:val="1"/>
      <w:numFmt w:val="decimal"/>
      <w:lvlText w:val="%8."/>
      <w:lvlJc w:val="left"/>
      <w:pPr>
        <w:tabs>
          <w:tab w:val="left" w:pos="5760"/>
        </w:tabs>
        <w:ind w:left="5760" w:hanging="360"/>
      </w:pPr>
      <w:rPr>
        <w:rFonts w:hint="default" w:ascii="Times New Roman" w:hAnsi="Times New Roman" w:cs="Times New Roman"/>
      </w:rPr>
    </w:lvl>
    <w:lvl w:ilvl="8" w:tentative="0">
      <w:start w:val="1"/>
      <w:numFmt w:val="decimal"/>
      <w:lvlText w:val="%9."/>
      <w:lvlJc w:val="left"/>
      <w:pPr>
        <w:tabs>
          <w:tab w:val="left" w:pos="6480"/>
        </w:tabs>
        <w:ind w:left="6480" w:hanging="360"/>
      </w:pPr>
      <w:rPr>
        <w:rFonts w:hint="default" w:ascii="Times New Roman" w:hAnsi="Times New Roman" w:cs="Times New Roman"/>
      </w:rPr>
    </w:lvl>
  </w:abstractNum>
  <w:abstractNum w:abstractNumId="11">
    <w:nsid w:val="58630A10"/>
    <w:multiLevelType w:val="multilevel"/>
    <w:tmpl w:val="58630A10"/>
    <w:lvl w:ilvl="0" w:tentative="0">
      <w:start w:val="1"/>
      <w:numFmt w:val="decimal"/>
      <w:lvlText w:val="%1."/>
      <w:lvlJc w:val="left"/>
      <w:pPr>
        <w:tabs>
          <w:tab w:val="left" w:pos="720"/>
        </w:tabs>
        <w:ind w:left="720" w:hanging="360"/>
      </w:pPr>
      <w:rPr>
        <w:rFonts w:hint="default" w:ascii="Times New Roman" w:hAnsi="Times New Roman" w:cs="Times New Roman"/>
      </w:rPr>
    </w:lvl>
    <w:lvl w:ilvl="1" w:tentative="0">
      <w:start w:val="1"/>
      <w:numFmt w:val="decimal"/>
      <w:lvlText w:val="%2."/>
      <w:lvlJc w:val="left"/>
      <w:pPr>
        <w:tabs>
          <w:tab w:val="left" w:pos="1440"/>
        </w:tabs>
        <w:ind w:left="1440" w:hanging="360"/>
      </w:pPr>
      <w:rPr>
        <w:rFonts w:hint="default" w:ascii="Times New Roman" w:hAnsi="Times New Roman" w:cs="Times New Roman"/>
      </w:rPr>
    </w:lvl>
    <w:lvl w:ilvl="2" w:tentative="0">
      <w:start w:val="1"/>
      <w:numFmt w:val="decimal"/>
      <w:lvlText w:val="%3."/>
      <w:lvlJc w:val="left"/>
      <w:pPr>
        <w:tabs>
          <w:tab w:val="left" w:pos="2160"/>
        </w:tabs>
        <w:ind w:left="2160" w:hanging="360"/>
      </w:pPr>
      <w:rPr>
        <w:rFonts w:hint="default" w:ascii="Times New Roman" w:hAnsi="Times New Roman" w:cs="Times New Roman"/>
      </w:rPr>
    </w:lvl>
    <w:lvl w:ilvl="3" w:tentative="0">
      <w:start w:val="1"/>
      <w:numFmt w:val="decimal"/>
      <w:lvlText w:val="%4."/>
      <w:lvlJc w:val="left"/>
      <w:pPr>
        <w:tabs>
          <w:tab w:val="left" w:pos="2880"/>
        </w:tabs>
        <w:ind w:left="2880" w:hanging="360"/>
      </w:pPr>
      <w:rPr>
        <w:rFonts w:hint="default" w:ascii="Times New Roman" w:hAnsi="Times New Roman" w:cs="Times New Roman"/>
      </w:rPr>
    </w:lvl>
    <w:lvl w:ilvl="4" w:tentative="0">
      <w:start w:val="1"/>
      <w:numFmt w:val="decimal"/>
      <w:lvlText w:val="%5."/>
      <w:lvlJc w:val="left"/>
      <w:pPr>
        <w:tabs>
          <w:tab w:val="left" w:pos="3600"/>
        </w:tabs>
        <w:ind w:left="3600" w:hanging="360"/>
      </w:pPr>
      <w:rPr>
        <w:rFonts w:hint="default" w:ascii="Times New Roman" w:hAnsi="Times New Roman" w:cs="Times New Roman"/>
      </w:rPr>
    </w:lvl>
    <w:lvl w:ilvl="5" w:tentative="0">
      <w:start w:val="1"/>
      <w:numFmt w:val="decimal"/>
      <w:lvlText w:val="%6."/>
      <w:lvlJc w:val="left"/>
      <w:pPr>
        <w:tabs>
          <w:tab w:val="left" w:pos="4320"/>
        </w:tabs>
        <w:ind w:left="4320" w:hanging="360"/>
      </w:pPr>
      <w:rPr>
        <w:rFonts w:hint="default" w:ascii="Times New Roman" w:hAnsi="Times New Roman" w:cs="Times New Roman"/>
      </w:rPr>
    </w:lvl>
    <w:lvl w:ilvl="6" w:tentative="0">
      <w:start w:val="1"/>
      <w:numFmt w:val="decimal"/>
      <w:lvlText w:val="%7."/>
      <w:lvlJc w:val="left"/>
      <w:pPr>
        <w:tabs>
          <w:tab w:val="left" w:pos="5040"/>
        </w:tabs>
        <w:ind w:left="5040" w:hanging="360"/>
      </w:pPr>
      <w:rPr>
        <w:rFonts w:hint="default" w:ascii="Times New Roman" w:hAnsi="Times New Roman" w:cs="Times New Roman"/>
      </w:rPr>
    </w:lvl>
    <w:lvl w:ilvl="7" w:tentative="0">
      <w:start w:val="1"/>
      <w:numFmt w:val="decimal"/>
      <w:lvlText w:val="%8."/>
      <w:lvlJc w:val="left"/>
      <w:pPr>
        <w:tabs>
          <w:tab w:val="left" w:pos="5760"/>
        </w:tabs>
        <w:ind w:left="5760" w:hanging="360"/>
      </w:pPr>
      <w:rPr>
        <w:rFonts w:hint="default" w:ascii="Times New Roman" w:hAnsi="Times New Roman" w:cs="Times New Roman"/>
      </w:rPr>
    </w:lvl>
    <w:lvl w:ilvl="8" w:tentative="0">
      <w:start w:val="1"/>
      <w:numFmt w:val="decimal"/>
      <w:lvlText w:val="%9."/>
      <w:lvlJc w:val="left"/>
      <w:pPr>
        <w:tabs>
          <w:tab w:val="left" w:pos="6480"/>
        </w:tabs>
        <w:ind w:left="6480" w:hanging="360"/>
      </w:pPr>
      <w:rPr>
        <w:rFonts w:hint="default" w:ascii="Times New Roman" w:hAnsi="Times New Roman" w:cs="Times New Roman"/>
      </w:rPr>
    </w:lvl>
  </w:abstractNum>
  <w:abstractNum w:abstractNumId="12">
    <w:nsid w:val="60FE4B5B"/>
    <w:multiLevelType w:val="multilevel"/>
    <w:tmpl w:val="60FE4B5B"/>
    <w:lvl w:ilvl="0" w:tentative="0">
      <w:start w:val="3"/>
      <w:numFmt w:val="decimal"/>
      <w:lvlText w:val="%1."/>
      <w:lvlJc w:val="left"/>
      <w:pPr>
        <w:tabs>
          <w:tab w:val="left" w:pos="720"/>
        </w:tabs>
        <w:ind w:left="720" w:hanging="360"/>
      </w:pPr>
      <w:rPr>
        <w:rFonts w:hint="default" w:ascii="Times New Roman" w:hAnsi="Times New Roman" w:cs="Times New Roman"/>
      </w:rPr>
    </w:lvl>
    <w:lvl w:ilvl="1" w:tentative="0">
      <w:start w:val="1"/>
      <w:numFmt w:val="decimal"/>
      <w:lvlText w:val="%2."/>
      <w:lvlJc w:val="left"/>
      <w:pPr>
        <w:tabs>
          <w:tab w:val="left" w:pos="1440"/>
        </w:tabs>
        <w:ind w:left="1440" w:hanging="360"/>
      </w:pPr>
      <w:rPr>
        <w:rFonts w:hint="default" w:ascii="Times New Roman" w:hAnsi="Times New Roman" w:cs="Times New Roman"/>
      </w:rPr>
    </w:lvl>
    <w:lvl w:ilvl="2" w:tentative="0">
      <w:start w:val="1"/>
      <w:numFmt w:val="decimal"/>
      <w:lvlText w:val="%3."/>
      <w:lvlJc w:val="left"/>
      <w:pPr>
        <w:tabs>
          <w:tab w:val="left" w:pos="2160"/>
        </w:tabs>
        <w:ind w:left="2160" w:hanging="360"/>
      </w:pPr>
      <w:rPr>
        <w:rFonts w:hint="default" w:ascii="Times New Roman" w:hAnsi="Times New Roman" w:cs="Times New Roman"/>
      </w:rPr>
    </w:lvl>
    <w:lvl w:ilvl="3" w:tentative="0">
      <w:start w:val="1"/>
      <w:numFmt w:val="decimal"/>
      <w:lvlText w:val="%4."/>
      <w:lvlJc w:val="left"/>
      <w:pPr>
        <w:tabs>
          <w:tab w:val="left" w:pos="2880"/>
        </w:tabs>
        <w:ind w:left="2880" w:hanging="360"/>
      </w:pPr>
      <w:rPr>
        <w:rFonts w:hint="default" w:ascii="Times New Roman" w:hAnsi="Times New Roman" w:cs="Times New Roman"/>
      </w:rPr>
    </w:lvl>
    <w:lvl w:ilvl="4" w:tentative="0">
      <w:start w:val="1"/>
      <w:numFmt w:val="decimal"/>
      <w:lvlText w:val="%5."/>
      <w:lvlJc w:val="left"/>
      <w:pPr>
        <w:tabs>
          <w:tab w:val="left" w:pos="3600"/>
        </w:tabs>
        <w:ind w:left="3600" w:hanging="360"/>
      </w:pPr>
      <w:rPr>
        <w:rFonts w:hint="default" w:ascii="Times New Roman" w:hAnsi="Times New Roman" w:cs="Times New Roman"/>
      </w:rPr>
    </w:lvl>
    <w:lvl w:ilvl="5" w:tentative="0">
      <w:start w:val="1"/>
      <w:numFmt w:val="decimal"/>
      <w:lvlText w:val="%6."/>
      <w:lvlJc w:val="left"/>
      <w:pPr>
        <w:tabs>
          <w:tab w:val="left" w:pos="4320"/>
        </w:tabs>
        <w:ind w:left="4320" w:hanging="360"/>
      </w:pPr>
      <w:rPr>
        <w:rFonts w:hint="default" w:ascii="Times New Roman" w:hAnsi="Times New Roman" w:cs="Times New Roman"/>
      </w:rPr>
    </w:lvl>
    <w:lvl w:ilvl="6" w:tentative="0">
      <w:start w:val="1"/>
      <w:numFmt w:val="decimal"/>
      <w:lvlText w:val="%7."/>
      <w:lvlJc w:val="left"/>
      <w:pPr>
        <w:tabs>
          <w:tab w:val="left" w:pos="5040"/>
        </w:tabs>
        <w:ind w:left="5040" w:hanging="360"/>
      </w:pPr>
      <w:rPr>
        <w:rFonts w:hint="default" w:ascii="Times New Roman" w:hAnsi="Times New Roman" w:cs="Times New Roman"/>
      </w:rPr>
    </w:lvl>
    <w:lvl w:ilvl="7" w:tentative="0">
      <w:start w:val="1"/>
      <w:numFmt w:val="decimal"/>
      <w:lvlText w:val="%8."/>
      <w:lvlJc w:val="left"/>
      <w:pPr>
        <w:tabs>
          <w:tab w:val="left" w:pos="5760"/>
        </w:tabs>
        <w:ind w:left="5760" w:hanging="360"/>
      </w:pPr>
      <w:rPr>
        <w:rFonts w:hint="default" w:ascii="Times New Roman" w:hAnsi="Times New Roman" w:cs="Times New Roman"/>
      </w:rPr>
    </w:lvl>
    <w:lvl w:ilvl="8" w:tentative="0">
      <w:start w:val="1"/>
      <w:numFmt w:val="decimal"/>
      <w:lvlText w:val="%9."/>
      <w:lvlJc w:val="left"/>
      <w:pPr>
        <w:tabs>
          <w:tab w:val="left" w:pos="6480"/>
        </w:tabs>
        <w:ind w:left="6480" w:hanging="360"/>
      </w:pPr>
      <w:rPr>
        <w:rFonts w:hint="default" w:ascii="Times New Roman" w:hAnsi="Times New Roman" w:cs="Times New Roman"/>
      </w:rPr>
    </w:lvl>
  </w:abstractNum>
  <w:abstractNum w:abstractNumId="13">
    <w:nsid w:val="6BAA313A"/>
    <w:multiLevelType w:val="multilevel"/>
    <w:tmpl w:val="6BAA313A"/>
    <w:lvl w:ilvl="0" w:tentative="0">
      <w:start w:val="1"/>
      <w:numFmt w:val="bullet"/>
      <w:lvlText w:val=""/>
      <w:lvlJc w:val="left"/>
      <w:pPr>
        <w:ind w:left="720" w:hanging="360"/>
      </w:pPr>
      <w:rPr>
        <w:rFonts w:hint="default" w:ascii="Symbol" w:hAnsi="Symbol"/>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abstractNum w:abstractNumId="14">
    <w:nsid w:val="7B4D142D"/>
    <w:multiLevelType w:val="multilevel"/>
    <w:tmpl w:val="7B4D142D"/>
    <w:lvl w:ilvl="0" w:tentative="0">
      <w:start w:val="1"/>
      <w:numFmt w:val="bullet"/>
      <w:lvlText w:val=""/>
      <w:lvlJc w:val="left"/>
      <w:pPr>
        <w:ind w:left="720" w:hanging="360"/>
      </w:pPr>
      <w:rPr>
        <w:rFonts w:hint="default" w:ascii="Symbol" w:hAnsi="Symbol"/>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abstractNum w:abstractNumId="15">
    <w:nsid w:val="7E1070FB"/>
    <w:multiLevelType w:val="multilevel"/>
    <w:tmpl w:val="7E1070FB"/>
    <w:lvl w:ilvl="0" w:tentative="0">
      <w:start w:val="2"/>
      <w:numFmt w:val="lowerLetter"/>
      <w:lvlText w:val="%1."/>
      <w:lvlJc w:val="left"/>
      <w:pPr>
        <w:tabs>
          <w:tab w:val="left" w:pos="720"/>
        </w:tabs>
        <w:ind w:left="720" w:hanging="360"/>
      </w:pPr>
      <w:rPr>
        <w:rFonts w:hint="default" w:ascii="Times New Roman" w:hAnsi="Times New Roman" w:cs="Times New Roman"/>
      </w:rPr>
    </w:lvl>
    <w:lvl w:ilvl="1" w:tentative="0">
      <w:start w:val="1"/>
      <w:numFmt w:val="lowerLetter"/>
      <w:lvlText w:val="%2."/>
      <w:lvlJc w:val="left"/>
      <w:pPr>
        <w:tabs>
          <w:tab w:val="left" w:pos="1440"/>
        </w:tabs>
        <w:ind w:left="1440" w:hanging="360"/>
      </w:pPr>
      <w:rPr>
        <w:rFonts w:hint="default" w:ascii="Times New Roman" w:hAnsi="Times New Roman" w:cs="Times New Roman"/>
      </w:rPr>
    </w:lvl>
    <w:lvl w:ilvl="2" w:tentative="0">
      <w:start w:val="1"/>
      <w:numFmt w:val="lowerLetter"/>
      <w:lvlText w:val="%3."/>
      <w:lvlJc w:val="left"/>
      <w:pPr>
        <w:tabs>
          <w:tab w:val="left" w:pos="2160"/>
        </w:tabs>
        <w:ind w:left="2160" w:hanging="360"/>
      </w:pPr>
      <w:rPr>
        <w:rFonts w:hint="default" w:ascii="Times New Roman" w:hAnsi="Times New Roman" w:cs="Times New Roman"/>
      </w:rPr>
    </w:lvl>
    <w:lvl w:ilvl="3" w:tentative="0">
      <w:start w:val="1"/>
      <w:numFmt w:val="lowerLetter"/>
      <w:lvlText w:val="%4."/>
      <w:lvlJc w:val="left"/>
      <w:pPr>
        <w:tabs>
          <w:tab w:val="left" w:pos="2880"/>
        </w:tabs>
        <w:ind w:left="2880" w:hanging="360"/>
      </w:pPr>
      <w:rPr>
        <w:rFonts w:hint="default" w:ascii="Times New Roman" w:hAnsi="Times New Roman" w:cs="Times New Roman"/>
      </w:rPr>
    </w:lvl>
    <w:lvl w:ilvl="4" w:tentative="0">
      <w:start w:val="1"/>
      <w:numFmt w:val="lowerLetter"/>
      <w:lvlText w:val="%5."/>
      <w:lvlJc w:val="left"/>
      <w:pPr>
        <w:tabs>
          <w:tab w:val="left" w:pos="3600"/>
        </w:tabs>
        <w:ind w:left="3600" w:hanging="360"/>
      </w:pPr>
      <w:rPr>
        <w:rFonts w:hint="default" w:ascii="Times New Roman" w:hAnsi="Times New Roman" w:cs="Times New Roman"/>
      </w:rPr>
    </w:lvl>
    <w:lvl w:ilvl="5" w:tentative="0">
      <w:start w:val="1"/>
      <w:numFmt w:val="lowerLetter"/>
      <w:lvlText w:val="%6."/>
      <w:lvlJc w:val="left"/>
      <w:pPr>
        <w:tabs>
          <w:tab w:val="left" w:pos="4320"/>
        </w:tabs>
        <w:ind w:left="4320" w:hanging="360"/>
      </w:pPr>
      <w:rPr>
        <w:rFonts w:hint="default" w:ascii="Times New Roman" w:hAnsi="Times New Roman" w:cs="Times New Roman"/>
      </w:rPr>
    </w:lvl>
    <w:lvl w:ilvl="6" w:tentative="0">
      <w:start w:val="1"/>
      <w:numFmt w:val="lowerLetter"/>
      <w:lvlText w:val="%7."/>
      <w:lvlJc w:val="left"/>
      <w:pPr>
        <w:tabs>
          <w:tab w:val="left" w:pos="5040"/>
        </w:tabs>
        <w:ind w:left="5040" w:hanging="360"/>
      </w:pPr>
      <w:rPr>
        <w:rFonts w:hint="default" w:ascii="Times New Roman" w:hAnsi="Times New Roman" w:cs="Times New Roman"/>
      </w:rPr>
    </w:lvl>
    <w:lvl w:ilvl="7" w:tentative="0">
      <w:start w:val="1"/>
      <w:numFmt w:val="lowerLetter"/>
      <w:lvlText w:val="%8."/>
      <w:lvlJc w:val="left"/>
      <w:pPr>
        <w:tabs>
          <w:tab w:val="left" w:pos="5760"/>
        </w:tabs>
        <w:ind w:left="5760" w:hanging="360"/>
      </w:pPr>
      <w:rPr>
        <w:rFonts w:hint="default" w:ascii="Times New Roman" w:hAnsi="Times New Roman" w:cs="Times New Roman"/>
      </w:rPr>
    </w:lvl>
    <w:lvl w:ilvl="8" w:tentative="0">
      <w:start w:val="1"/>
      <w:numFmt w:val="lowerLetter"/>
      <w:lvlText w:val="%9."/>
      <w:lvlJc w:val="left"/>
      <w:pPr>
        <w:tabs>
          <w:tab w:val="left" w:pos="6480"/>
        </w:tabs>
        <w:ind w:left="6480" w:hanging="360"/>
      </w:pPr>
      <w:rPr>
        <w:rFonts w:hint="default" w:ascii="Times New Roman" w:hAnsi="Times New Roman" w:cs="Times New Roman"/>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3"/>
  </w:num>
  <w:num w:numId="4">
    <w:abstractNumId w:val="14"/>
  </w:num>
  <w:num w:numId="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5"/>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4"/>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8"/>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2"/>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6"/>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7"/>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documentProtection w:enforcement="0"/>
  <w:defaultTabStop w:val="708"/>
  <w:hyphenationZone w:val="425"/>
  <w:characterSpacingControl w:val="doNotCompress"/>
  <w:footnotePr>
    <w:footnote w:id="0"/>
    <w:footnote w:id="1"/>
  </w:footnotePr>
  <w:endnotePr>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C6554"/>
    <w:rsid w:val="00066588"/>
    <w:rsid w:val="000C623B"/>
    <w:rsid w:val="00141650"/>
    <w:rsid w:val="001D7909"/>
    <w:rsid w:val="001E744B"/>
    <w:rsid w:val="007422C0"/>
    <w:rsid w:val="00905B62"/>
    <w:rsid w:val="00AA01F1"/>
    <w:rsid w:val="00B93D96"/>
    <w:rsid w:val="00C07823"/>
    <w:rsid w:val="00DC6554"/>
    <w:rsid w:val="00F578C5"/>
    <w:rsid w:val="00FD68AD"/>
    <w:rsid w:val="01C175DA"/>
  </w:rsids>
  <m:mathPr>
    <m:mathFont m:val="Cambria Math"/>
    <m:brkBin m:val="before"/>
    <m:brkBinSub m:val="--"/>
    <m:smallFrac m:val="0"/>
    <m:dispDef/>
    <m:lMargin m:val="0"/>
    <m:rMargin m:val="0"/>
    <m:defJc m:val="centerGroup"/>
    <m:wrapIndent m:val="1440"/>
    <m:intLim m:val="subSup"/>
    <m:naryLim m:val="undOvr"/>
  </m:mathPr>
  <w:themeFontLang w:val="sk-SK"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nhideWhenUsed="0" w:uiPriority="99" w:semiHidden="0" w:name="Table Subtle 2"/>
    <w:lsdException w:uiPriority="99" w:name="Table Web 1"/>
    <w:lsdException w:uiPriority="99" w:name="Table Web 2"/>
    <w:lsdException w:unhideWhenUsed="0" w:uiPriority="99" w:semiHidden="0"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0" w:line="240" w:lineRule="auto"/>
    </w:pPr>
    <w:rPr>
      <w:rFonts w:ascii="Times New Roman" w:hAnsi="Times New Roman" w:eastAsia="Times New Roman" w:cs="Times New Roman"/>
      <w:sz w:val="20"/>
      <w:szCs w:val="20"/>
      <w:lang w:val="sk-SK" w:eastAsia="sk-SK" w:bidi="ar-SA"/>
    </w:rPr>
  </w:style>
  <w:style w:type="character" w:default="1" w:styleId="2">
    <w:name w:val="Default Paragraph Font"/>
    <w:semiHidden/>
    <w:unhideWhenUsed/>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character" w:styleId="4">
    <w:name w:val="FollowedHyperlink"/>
    <w:basedOn w:val="2"/>
    <w:unhideWhenUsed/>
    <w:qFormat/>
    <w:uiPriority w:val="99"/>
    <w:rPr>
      <w:color w:val="800080"/>
      <w:u w:val="single"/>
    </w:rPr>
  </w:style>
  <w:style w:type="character" w:styleId="5">
    <w:name w:val="Hyperlink"/>
    <w:basedOn w:val="2"/>
    <w:unhideWhenUsed/>
    <w:qFormat/>
    <w:uiPriority w:val="99"/>
    <w:rPr>
      <w:color w:val="0000FF"/>
      <w:u w:val="single"/>
    </w:rPr>
  </w:style>
  <w:style w:type="paragraph" w:customStyle="1" w:styleId="6">
    <w:name w:val="Normálny1"/>
    <w:uiPriority w:val="0"/>
    <w:pPr>
      <w:spacing w:before="100" w:beforeAutospacing="1" w:after="100" w:afterAutospacing="1" w:line="256" w:lineRule="auto"/>
    </w:pPr>
    <w:rPr>
      <w:rFonts w:ascii="Calibri" w:hAnsi="Calibri" w:eastAsia="Times New Roman" w:cs="Calibri"/>
      <w:sz w:val="24"/>
      <w:szCs w:val="24"/>
      <w:lang w:val="sk-SK" w:eastAsia="sk-SK" w:bidi="ar-SA"/>
    </w:rPr>
  </w:style>
  <w:style w:type="paragraph" w:customStyle="1" w:styleId="7">
    <w:name w:val="msonormal"/>
    <w:basedOn w:val="1"/>
    <w:uiPriority w:val="0"/>
    <w:pPr>
      <w:spacing w:before="100" w:beforeAutospacing="1" w:after="100" w:afterAutospacing="1"/>
    </w:pPr>
    <w:rPr>
      <w:sz w:val="24"/>
      <w:szCs w:val="24"/>
    </w:rPr>
  </w:style>
  <w:style w:type="paragraph" w:customStyle="1" w:styleId="8">
    <w:name w:val="Odsek zoznamu1"/>
    <w:basedOn w:val="1"/>
    <w:uiPriority w:val="0"/>
    <w:pPr>
      <w:spacing w:before="100" w:beforeAutospacing="1" w:after="100" w:afterAutospacing="1" w:line="256" w:lineRule="auto"/>
    </w:pPr>
    <w:rPr>
      <w:rFonts w:ascii="Calibri" w:hAnsi="Calibri" w:cs="Calibri"/>
      <w:sz w:val="24"/>
      <w:szCs w:val="24"/>
    </w:rPr>
  </w:style>
  <w:style w:type="paragraph" w:customStyle="1" w:styleId="9">
    <w:name w:val="paragraph"/>
    <w:basedOn w:val="1"/>
    <w:uiPriority w:val="0"/>
    <w:pPr>
      <w:spacing w:before="100" w:beforeAutospacing="1" w:after="100" w:afterAutospacing="1"/>
    </w:pPr>
    <w:rPr>
      <w:sz w:val="24"/>
      <w:szCs w:val="24"/>
    </w:rPr>
  </w:style>
  <w:style w:type="character" w:customStyle="1" w:styleId="10">
    <w:name w:val="10"/>
    <w:basedOn w:val="2"/>
    <w:uiPriority w:val="0"/>
    <w:rPr>
      <w:rFonts w:hint="default" w:ascii="Calibri" w:hAnsi="Calibri" w:cs="Calibri"/>
    </w:rPr>
  </w:style>
  <w:style w:type="character" w:customStyle="1" w:styleId="11">
    <w:name w:val="15"/>
    <w:basedOn w:val="2"/>
    <w:qFormat/>
    <w:uiPriority w:val="0"/>
    <w:rPr>
      <w:rFonts w:hint="default" w:ascii="Calibri" w:hAnsi="Calibri" w:cs="Calibri"/>
    </w:rPr>
  </w:style>
  <w:style w:type="character" w:customStyle="1" w:styleId="12">
    <w:name w:val="16"/>
    <w:basedOn w:val="2"/>
    <w:qFormat/>
    <w:uiPriority w:val="0"/>
    <w:rPr>
      <w:rFonts w:hint="default" w:ascii="Calibri" w:hAnsi="Calibri" w:cs="Calibri"/>
    </w:rPr>
  </w:style>
  <w:style w:type="character" w:customStyle="1" w:styleId="13">
    <w:name w:val="17"/>
    <w:basedOn w:val="2"/>
    <w:qFormat/>
    <w:uiPriority w:val="0"/>
    <w:rPr>
      <w:rFonts w:hint="default" w:ascii="Calibri" w:hAnsi="Calibri" w:cs="Calibri"/>
      <w:color w:val="0563C1"/>
      <w:u w:val="single"/>
    </w:rPr>
  </w:style>
  <w:style w:type="table" w:customStyle="1" w:styleId="14">
    <w:name w:val="Table Normal1"/>
    <w:semiHidden/>
    <w:qFormat/>
    <w:uiPriority w:val="0"/>
    <w:pPr>
      <w:spacing w:after="0" w:line="240" w:lineRule="auto"/>
    </w:pPr>
    <w:rPr>
      <w:rFonts w:ascii="Times New Roman" w:hAnsi="Times New Roman" w:eastAsia="Times New Roman" w:cs="Times New Roman"/>
      <w:sz w:val="20"/>
      <w:szCs w:val="20"/>
      <w:lang w:eastAsia="sk-SK"/>
    </w:rPr>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numbering" Target="numbering.xml"/><Relationship Id="rId7" Type="http://schemas.openxmlformats.org/officeDocument/2006/relationships/image" Target="media/image2.png"/><Relationship Id="rId6" Type="http://schemas.openxmlformats.org/officeDocument/2006/relationships/image" Target="media/image1.png"/><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8F9C84E-593E-4550-84B8-5CDCF7D4A6B5}">
  <ds:schemaRefs/>
</ds:datastoreItem>
</file>

<file path=docProps/app.xml><?xml version="1.0" encoding="utf-8"?>
<Properties xmlns="http://schemas.openxmlformats.org/officeDocument/2006/extended-properties" xmlns:vt="http://schemas.openxmlformats.org/officeDocument/2006/docPropsVTypes">
  <Template>Normal</Template>
  <Pages>1</Pages>
  <Words>4011</Words>
  <Characters>22866</Characters>
  <Lines>190</Lines>
  <Paragraphs>53</Paragraphs>
  <TotalTime>4</TotalTime>
  <ScaleCrop>false</ScaleCrop>
  <LinksUpToDate>false</LinksUpToDate>
  <CharactersWithSpaces>26824</CharactersWithSpaces>
  <Application>WPS Office_12.2.0.13306_F1E327BC-269C-435d-A152-05C5408002CA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2023-11-27T12:07:00Z</dcterms:created>
  <dc:creator>Jana Mariňaková</dc:creator>
  <cp:lastModifiedBy>Úradovňa</cp:lastModifiedBy>
  <dcterms:modified xsi:type="dcterms:W3CDTF">2023-11-29T09:19:04Z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1033-12.2.0.13306</vt:lpwstr>
  </property>
  <property fmtid="{D5CDD505-2E9C-101B-9397-08002B2CF9AE}" pid="3" name="ICV">
    <vt:lpwstr>739EFB3453AC47119F363B41364C14E4_12</vt:lpwstr>
  </property>
</Properties>
</file>