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2880" w:firstLine="720"/>
      </w:pPr>
      <w:bookmarkStart w:id="0" w:name="_GoBack"/>
      <w:bookmarkEnd w:id="0"/>
      <w:r>
        <w:t>SPRÁVA  AUDÍTORA</w:t>
      </w:r>
    </w:p>
    <w:p>
      <w:pPr>
        <w:rPr>
          <w:lang w:val="sk-SK"/>
        </w:rPr>
      </w:pPr>
    </w:p>
    <w:p>
      <w:pPr>
        <w:rPr>
          <w:lang w:val="sk-SK"/>
        </w:rPr>
      </w:pPr>
    </w:p>
    <w:p>
      <w:pPr>
        <w:jc w:val="center"/>
        <w:rPr>
          <w:b/>
          <w:bCs/>
          <w:sz w:val="36"/>
          <w:lang w:val="sk-SK"/>
        </w:rPr>
      </w:pPr>
      <w:r>
        <w:rPr>
          <w:b/>
          <w:bCs/>
          <w:sz w:val="36"/>
          <w:lang w:val="sk-SK"/>
        </w:rPr>
        <w:t>o audite účtovnej závierky</w:t>
      </w:r>
    </w:p>
    <w:p>
      <w:pPr>
        <w:jc w:val="center"/>
        <w:rPr>
          <w:b/>
          <w:bCs/>
          <w:sz w:val="36"/>
          <w:lang w:val="sk-SK"/>
        </w:rPr>
      </w:pPr>
      <w:r>
        <w:rPr>
          <w:b/>
          <w:bCs/>
          <w:sz w:val="36"/>
          <w:lang w:val="sk-SK"/>
        </w:rPr>
        <w:t>za rok 2022</w:t>
      </w:r>
    </w:p>
    <w:p>
      <w:pPr>
        <w:rPr>
          <w:lang w:val="sk-SK"/>
        </w:rPr>
      </w:pPr>
    </w:p>
    <w:p>
      <w:pPr>
        <w:rPr>
          <w:lang w:val="sk-SK"/>
        </w:rPr>
      </w:pPr>
    </w:p>
    <w:p>
      <w:pPr>
        <w:rPr>
          <w:lang w:val="sk-SK"/>
        </w:rPr>
      </w:pPr>
    </w:p>
    <w:p>
      <w:pPr>
        <w:rPr>
          <w:lang w:val="sk-SK"/>
        </w:rPr>
      </w:pPr>
    </w:p>
    <w:p>
      <w:pPr>
        <w:jc w:val="center"/>
        <w:rPr>
          <w:rFonts w:ascii="Arial Black" w:hAnsi="Arial Black"/>
          <w:sz w:val="36"/>
          <w:szCs w:val="36"/>
          <w:lang w:val="sk-SK"/>
        </w:rPr>
      </w:pPr>
      <w:r>
        <w:rPr>
          <w:b/>
          <w:bCs/>
          <w:sz w:val="28"/>
          <w:lang w:val="sk-SK"/>
        </w:rPr>
        <w:t xml:space="preserve">Adresát správy: </w:t>
      </w:r>
      <w:r>
        <w:rPr>
          <w:b/>
          <w:bCs/>
          <w:sz w:val="28"/>
          <w:lang w:val="sk-SK"/>
        </w:rPr>
        <w:tab/>
      </w:r>
      <w:r>
        <w:rPr>
          <w:rFonts w:ascii="Arial Black" w:hAnsi="Arial Black"/>
          <w:b/>
          <w:bCs/>
          <w:sz w:val="36"/>
          <w:szCs w:val="36"/>
          <w:lang w:val="sk-SK"/>
        </w:rPr>
        <w:t>obec Malý Slivník</w:t>
      </w:r>
    </w:p>
    <w:p>
      <w:pPr>
        <w:spacing w:after="0" w:line="240" w:lineRule="auto"/>
        <w:ind w:left="720" w:firstLine="720"/>
        <w:rPr>
          <w:rFonts w:ascii="Arial Black" w:hAnsi="Arial Black"/>
          <w:b/>
          <w:bCs/>
          <w:sz w:val="36"/>
          <w:szCs w:val="36"/>
          <w:lang w:val="sk-SK"/>
        </w:rPr>
      </w:pPr>
      <w:r>
        <w:rPr>
          <w:b/>
          <w:bCs/>
          <w:sz w:val="28"/>
          <w:lang w:val="sk-SK"/>
        </w:rPr>
        <w:tab/>
      </w:r>
    </w:p>
    <w:p>
      <w:pPr>
        <w:spacing w:after="0" w:line="240" w:lineRule="auto"/>
        <w:ind w:left="720" w:firstLine="720"/>
        <w:rPr>
          <w:rFonts w:ascii="Arial Black" w:hAnsi="Arial Black"/>
          <w:b/>
          <w:bCs/>
          <w:sz w:val="28"/>
          <w:lang w:val="sk-SK"/>
        </w:rPr>
      </w:pPr>
      <w:r>
        <w:rPr>
          <w:rFonts w:ascii="Arial Black" w:hAnsi="Arial Black"/>
          <w:b/>
          <w:bCs/>
          <w:sz w:val="28"/>
          <w:lang w:val="sk-SK"/>
        </w:rPr>
        <w:tab/>
      </w:r>
      <w:r>
        <w:rPr>
          <w:rFonts w:ascii="Arial Black" w:hAnsi="Arial Black"/>
          <w:b/>
          <w:bCs/>
          <w:sz w:val="28"/>
          <w:lang w:val="sk-SK"/>
        </w:rPr>
        <w:tab/>
      </w:r>
      <w:r>
        <w:rPr>
          <w:rFonts w:ascii="Arial Black" w:hAnsi="Arial Black"/>
          <w:b/>
          <w:bCs/>
          <w:sz w:val="28"/>
          <w:lang w:val="sk-SK"/>
        </w:rPr>
        <w:tab/>
      </w:r>
    </w:p>
    <w:p>
      <w:pPr>
        <w:spacing w:after="0" w:line="240" w:lineRule="auto"/>
        <w:ind w:left="720" w:firstLine="720"/>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rPr>
          <w:rFonts w:ascii="Arial Black" w:hAnsi="Arial Black"/>
          <w:b/>
          <w:bCs/>
          <w:sz w:val="28"/>
          <w:lang w:val="sk-SK"/>
        </w:rPr>
      </w:pP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Sídlo:</w:t>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Malý Slivník 48</w:t>
      </w: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082 67  Malý Slivník</w:t>
      </w:r>
    </w:p>
    <w:p>
      <w:pPr>
        <w:spacing w:after="0" w:line="240" w:lineRule="auto"/>
        <w:ind w:left="720" w:firstLine="720"/>
        <w:rPr>
          <w:rFonts w:asciiTheme="minorHAnsi" w:hAnsiTheme="minorHAnsi"/>
          <w:b/>
          <w:bCs/>
          <w:sz w:val="28"/>
          <w:lang w:val="sk-SK"/>
        </w:rPr>
      </w:pP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IČO:</w:t>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00 327 433</w:t>
      </w:r>
    </w:p>
    <w:p>
      <w:pPr>
        <w:spacing w:after="0" w:line="240" w:lineRule="auto"/>
        <w:ind w:left="720" w:firstLine="720"/>
        <w:rPr>
          <w:rFonts w:asciiTheme="minorHAnsi" w:hAnsiTheme="minorHAnsi"/>
          <w:b/>
          <w:bCs/>
          <w:sz w:val="28"/>
          <w:lang w:val="sk-SK"/>
        </w:rPr>
      </w:pP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Účtovné obdobie:</w:t>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01.01.2022 – 31.12.2022</w:t>
      </w:r>
    </w:p>
    <w:p>
      <w:pPr>
        <w:spacing w:after="0" w:line="240" w:lineRule="auto"/>
        <w:ind w:left="720" w:firstLine="720"/>
        <w:rPr>
          <w:rFonts w:asciiTheme="minorHAnsi" w:hAnsiTheme="minorHAnsi"/>
          <w:b/>
          <w:bCs/>
          <w:sz w:val="28"/>
          <w:lang w:val="sk-SK"/>
        </w:rPr>
      </w:pP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Zodpovedný audítor:</w:t>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Ing. Lipka Marek</w:t>
      </w:r>
    </w:p>
    <w:p>
      <w:pPr>
        <w:spacing w:after="0" w:line="240" w:lineRule="auto"/>
        <w:ind w:left="720" w:firstLine="720"/>
        <w:rPr>
          <w:rFonts w:asciiTheme="minorHAnsi" w:hAnsiTheme="minorHAnsi"/>
          <w:b/>
          <w:bCs/>
          <w:sz w:val="28"/>
          <w:lang w:val="sk-SK"/>
        </w:rPr>
      </w:pP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ab/>
      </w:r>
      <w:r>
        <w:rPr>
          <w:rFonts w:asciiTheme="minorHAnsi" w:hAnsiTheme="minorHAnsi"/>
          <w:b/>
          <w:bCs/>
          <w:sz w:val="28"/>
          <w:lang w:val="sk-SK"/>
        </w:rPr>
        <w:t>licencia SKAu č. 705</w:t>
      </w:r>
    </w:p>
    <w:p>
      <w:pPr>
        <w:spacing w:after="0" w:line="240" w:lineRule="auto"/>
        <w:ind w:left="720" w:firstLine="720"/>
        <w:rPr>
          <w:rFonts w:ascii="Arial Black" w:hAnsi="Arial Black"/>
          <w:b/>
          <w:bCs/>
          <w:sz w:val="28"/>
          <w:lang w:val="sk-SK"/>
        </w:rPr>
      </w:pPr>
    </w:p>
    <w:p>
      <w:pPr>
        <w:pStyle w:val="30"/>
        <w:suppressLineNumbers w:val="0"/>
        <w:tabs>
          <w:tab w:val="left" w:pos="2268"/>
        </w:tabs>
        <w:rPr>
          <w:rFonts w:cs="Times New Roman"/>
          <w:b/>
          <w:bCs/>
          <w:sz w:val="28"/>
          <w:lang w:val="sk-SK"/>
        </w:rPr>
      </w:pPr>
      <w:r>
        <w:rPr>
          <w:rFonts w:cs="Times New Roman"/>
          <w:b/>
          <w:bCs/>
          <w:sz w:val="28"/>
          <w:lang w:val="sk-SK"/>
        </w:rPr>
        <w:tab/>
      </w:r>
      <w:r>
        <w:rPr>
          <w:rFonts w:cs="Times New Roman"/>
          <w:b/>
          <w:bCs/>
          <w:sz w:val="28"/>
          <w:lang w:val="sk-SK"/>
        </w:rPr>
        <w:t xml:space="preserve">         </w:t>
      </w:r>
      <w:r>
        <w:rPr>
          <w:rFonts w:cs="Times New Roman"/>
          <w:b/>
          <w:bCs/>
          <w:sz w:val="28"/>
          <w:lang w:val="sk-SK"/>
        </w:rPr>
        <w:tab/>
      </w:r>
    </w:p>
    <w:p>
      <w:pPr>
        <w:rPr>
          <w:b/>
          <w:bCs/>
          <w:sz w:val="28"/>
          <w:lang w:val="sk-SK"/>
        </w:rPr>
      </w:pPr>
    </w:p>
    <w:p>
      <w:pPr>
        <w:ind w:left="2160" w:firstLine="720"/>
        <w:jc w:val="center"/>
        <w:rPr>
          <w:lang w:val="sk-SK"/>
        </w:rPr>
      </w:pPr>
    </w:p>
    <w:p>
      <w:pPr>
        <w:ind w:left="2160" w:firstLine="720"/>
        <w:rPr>
          <w:lang w:val="sk-SK"/>
        </w:rPr>
      </w:pPr>
      <w:r>
        <w:rPr>
          <w:rFonts w:ascii="Times New Roman" w:hAnsi="Times New Roman"/>
          <w:b/>
          <w:bCs/>
        </w:rPr>
        <w:t>SPRÁVA NEZÁVISLÉHO AUDÍTORA</w:t>
      </w:r>
    </w:p>
    <w:p>
      <w:pPr>
        <w:tabs>
          <w:tab w:val="left" w:pos="0"/>
        </w:tabs>
        <w:spacing w:after="0" w:line="240" w:lineRule="auto"/>
        <w:jc w:val="center"/>
        <w:outlineLvl w:val="0"/>
        <w:rPr>
          <w:rFonts w:ascii="Times New Roman" w:hAnsi="Times New Roman"/>
          <w:b/>
          <w:sz w:val="24"/>
          <w:szCs w:val="24"/>
          <w:lang w:val="sk-SK"/>
        </w:rPr>
      </w:pPr>
      <w:r>
        <w:rPr>
          <w:rFonts w:ascii="Times New Roman" w:hAnsi="Times New Roman"/>
          <w:b/>
          <w:sz w:val="24"/>
          <w:szCs w:val="24"/>
          <w:lang w:val="sk-SK"/>
        </w:rPr>
        <w:t>pre štatutárny orgán obce Malý Slivník</w:t>
      </w:r>
    </w:p>
    <w:p>
      <w:pPr>
        <w:tabs>
          <w:tab w:val="left" w:pos="0"/>
        </w:tabs>
        <w:spacing w:after="0" w:line="240" w:lineRule="auto"/>
        <w:jc w:val="center"/>
        <w:outlineLvl w:val="0"/>
        <w:rPr>
          <w:rFonts w:ascii="Times New Roman" w:hAnsi="Times New Roman"/>
          <w:sz w:val="24"/>
          <w:szCs w:val="24"/>
          <w:lang w:val="sk-SK"/>
        </w:rPr>
      </w:pPr>
    </w:p>
    <w:p>
      <w:pPr>
        <w:pStyle w:val="27"/>
        <w:rPr>
          <w:rFonts w:ascii="Times New Roman" w:hAnsi="Times New Roman" w:cs="Times New Roman"/>
          <w:bCs/>
          <w:sz w:val="22"/>
          <w:szCs w:val="22"/>
          <w:u w:val="single"/>
        </w:rPr>
      </w:pPr>
    </w:p>
    <w:p>
      <w:pPr>
        <w:pStyle w:val="18"/>
        <w:widowControl w:val="0"/>
        <w:numPr>
          <w:ilvl w:val="0"/>
          <w:numId w:val="1"/>
        </w:numPr>
        <w:tabs>
          <w:tab w:val="left" w:pos="0"/>
          <w:tab w:val="clear" w:pos="576"/>
        </w:tabs>
        <w:spacing w:before="0" w:after="0" w:line="240" w:lineRule="auto"/>
        <w:rPr>
          <w:i/>
          <w:sz w:val="24"/>
          <w:u w:val="single"/>
          <w:lang w:val="sk-SK"/>
        </w:rPr>
      </w:pPr>
      <w:r>
        <w:rPr>
          <w:b/>
          <w:i/>
          <w:sz w:val="24"/>
          <w:lang w:val="sk-SK"/>
        </w:rPr>
        <w:t>Správa z auditu ročnej účtovnej závierky</w:t>
      </w:r>
    </w:p>
    <w:p>
      <w:pPr>
        <w:pStyle w:val="18"/>
        <w:widowControl w:val="0"/>
        <w:tabs>
          <w:tab w:val="left" w:pos="0"/>
          <w:tab w:val="clear" w:pos="576"/>
        </w:tabs>
        <w:spacing w:before="0" w:after="0" w:line="240" w:lineRule="auto"/>
        <w:ind w:left="0" w:firstLine="0"/>
        <w:rPr>
          <w:sz w:val="24"/>
          <w:u w:val="single"/>
          <w:lang w:val="sk-SK"/>
        </w:rPr>
      </w:pPr>
    </w:p>
    <w:p>
      <w:pPr>
        <w:pStyle w:val="18"/>
        <w:widowControl w:val="0"/>
        <w:tabs>
          <w:tab w:val="left" w:pos="0"/>
          <w:tab w:val="clear" w:pos="576"/>
        </w:tabs>
        <w:spacing w:before="0" w:after="0" w:line="240" w:lineRule="auto"/>
        <w:ind w:left="0" w:firstLine="0"/>
        <w:rPr>
          <w:sz w:val="24"/>
          <w:u w:val="single"/>
          <w:lang w:val="sk-SK"/>
        </w:rPr>
      </w:pPr>
      <w:r>
        <w:rPr>
          <w:sz w:val="24"/>
          <w:u w:val="single"/>
          <w:lang w:val="sk-SK"/>
        </w:rPr>
        <w:t>Záporný názor</w:t>
      </w:r>
    </w:p>
    <w:p>
      <w:pPr>
        <w:tabs>
          <w:tab w:val="left" w:pos="0"/>
        </w:tabs>
        <w:spacing w:after="0" w:line="240" w:lineRule="auto"/>
        <w:jc w:val="both"/>
        <w:outlineLvl w:val="0"/>
        <w:rPr>
          <w:rFonts w:ascii="Times New Roman" w:hAnsi="Times New Roman"/>
          <w:b/>
          <w:bCs/>
          <w:sz w:val="24"/>
          <w:lang w:val="sk-SK"/>
        </w:rPr>
      </w:pPr>
      <w:r>
        <w:rPr>
          <w:rFonts w:ascii="Times New Roman" w:hAnsi="Times New Roman"/>
          <w:sz w:val="24"/>
          <w:lang w:val="sk-SK"/>
        </w:rPr>
        <w:t xml:space="preserve">   Uskutočnil som audit účtovnej závierky obce </w:t>
      </w:r>
      <w:r>
        <w:rPr>
          <w:rFonts w:ascii="Times New Roman" w:hAnsi="Times New Roman"/>
          <w:b/>
          <w:bCs/>
          <w:sz w:val="24"/>
          <w:lang w:val="sk-SK"/>
        </w:rPr>
        <w:t>Malý Slivník, Malý Slivník 48, 082 67  Malý Slivník, IČO 00327433</w:t>
      </w:r>
      <w:r>
        <w:rPr>
          <w:rFonts w:ascii="Times New Roman" w:hAnsi="Times New Roman"/>
          <w:sz w:val="24"/>
          <w:lang w:val="sk-SK"/>
        </w:rPr>
        <w:t xml:space="preserve"> („obec“), ktorá obsahuje súvahu k 31. decembru 2022, výkaz ziskov a strát za rok končiaci sa k uvedenému dátumu, a poznámky, ktoré obsahujú súhrn významných účtovných zásad a účtovných metód.</w:t>
      </w:r>
    </w:p>
    <w:p>
      <w:pPr>
        <w:pStyle w:val="18"/>
        <w:widowControl w:val="0"/>
        <w:tabs>
          <w:tab w:val="left" w:pos="0"/>
          <w:tab w:val="clear" w:pos="576"/>
        </w:tabs>
        <w:spacing w:after="240" w:line="240" w:lineRule="auto"/>
        <w:ind w:left="0" w:firstLine="0"/>
        <w:rPr>
          <w:b/>
          <w:sz w:val="24"/>
          <w:lang w:val="sk-SK"/>
        </w:rPr>
      </w:pPr>
      <w:r>
        <w:rPr>
          <w:b/>
          <w:sz w:val="24"/>
          <w:lang w:val="sk-SK"/>
        </w:rPr>
        <w:t>Podľa môjho názoru, priložená účtovná závierka na základe zistení uvedených nižšie v odseku zdôraznenie skutočností ne</w:t>
      </w:r>
      <w:r>
        <w:rPr>
          <w:b/>
          <w:iCs/>
          <w:sz w:val="24"/>
          <w:lang w:val="sk-SK"/>
        </w:rPr>
        <w:t>poskytuje pravdivý a verný obraz finančnej situácie</w:t>
      </w:r>
      <w:r>
        <w:rPr>
          <w:b/>
          <w:sz w:val="24"/>
          <w:lang w:val="sk-SK"/>
        </w:rPr>
        <w:t xml:space="preserve"> obce k 31. decembru 2022 a výsledku jej hospodárenia za rok končiaci sa k uvedenému dátumu podľa zákona č. 431/2002 Z.z. o účtovníctve v znení neskorších predpisov (ďalej len „zákon o účtovníctve“).   . </w:t>
      </w:r>
    </w:p>
    <w:p>
      <w:pPr>
        <w:pStyle w:val="27"/>
        <w:jc w:val="both"/>
        <w:rPr>
          <w:rFonts w:ascii="Times New Roman" w:hAnsi="Times New Roman" w:cs="Times New Roman"/>
          <w:bCs/>
          <w:u w:val="single"/>
        </w:rPr>
      </w:pPr>
      <w:r>
        <w:rPr>
          <w:rFonts w:ascii="Times New Roman" w:hAnsi="Times New Roman" w:cs="Times New Roman"/>
          <w:bCs/>
          <w:u w:val="single"/>
        </w:rPr>
        <w:t xml:space="preserve">Základ pre názor </w:t>
      </w:r>
    </w:p>
    <w:p>
      <w:pPr>
        <w:pStyle w:val="27"/>
        <w:jc w:val="both"/>
        <w:rPr>
          <w:rFonts w:ascii="Times New Roman" w:hAnsi="Times New Roman" w:cs="Times New Roman"/>
        </w:rPr>
      </w:pPr>
      <w:r>
        <w:rPr>
          <w:rFonts w:ascii="Times New Roman" w:hAnsi="Times New Roman" w:cs="Times New Roman"/>
        </w:rPr>
        <w:t xml:space="preserve">   Audit som vykonal podľa medzinárodných audítorských štandardov (International Standards on Auditing -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audit účtovnej závierky a splnil som aj ostatné požiadavky týchto ustanovení týkajúcich sa etiky. Som presvedčený, že audítorské dôkazy, ktoré som získal, poskytujú dostatočný a vhodný základ pre môj názor.</w:t>
      </w:r>
    </w:p>
    <w:p>
      <w:pPr>
        <w:pStyle w:val="27"/>
        <w:jc w:val="both"/>
        <w:rPr>
          <w:rFonts w:ascii="Times New Roman" w:hAnsi="Times New Roman" w:cs="Times New Roman"/>
        </w:rPr>
      </w:pPr>
    </w:p>
    <w:p>
      <w:pPr>
        <w:pStyle w:val="27"/>
        <w:jc w:val="both"/>
        <w:rPr>
          <w:rFonts w:ascii="Times New Roman" w:hAnsi="Times New Roman" w:cs="Times New Roman"/>
          <w:bCs/>
          <w:u w:val="single"/>
        </w:rPr>
      </w:pPr>
      <w:r>
        <w:rPr>
          <w:rFonts w:ascii="Times New Roman" w:hAnsi="Times New Roman" w:cs="Times New Roman"/>
          <w:bCs/>
          <w:u w:val="single"/>
        </w:rPr>
        <w:t xml:space="preserve">Zdôraznenie skutočnosti </w:t>
      </w:r>
    </w:p>
    <w:p>
      <w:pPr>
        <w:spacing w:after="0" w:line="240" w:lineRule="auto"/>
        <w:jc w:val="both"/>
        <w:rPr>
          <w:rFonts w:ascii="Times New Roman" w:hAnsi="Times New Roman"/>
          <w:sz w:val="24"/>
          <w:szCs w:val="24"/>
          <w:lang w:val="sk-SK" w:eastAsia="sk-SK"/>
        </w:rPr>
      </w:pPr>
      <w:r>
        <w:rPr>
          <w:rFonts w:ascii="Times New Roman" w:hAnsi="Times New Roman"/>
          <w:sz w:val="24"/>
          <w:szCs w:val="24"/>
          <w:lang w:val="sk-SK" w:eastAsia="sk-SK"/>
        </w:rPr>
        <w:t xml:space="preserve">   Na základe mojich zistení obec úplne abstrahovala od účtovania odpisov dlhodobého hmotného a nehmotného majetku na účtoch 08. Tento nedostatok sa prejavil pri neúčtovaní odpisov na účte 384 pri už zaradenom majetku.</w:t>
      </w:r>
    </w:p>
    <w:p>
      <w:pPr>
        <w:spacing w:after="0" w:line="240" w:lineRule="auto"/>
        <w:jc w:val="both"/>
        <w:rPr>
          <w:rFonts w:ascii="Times New Roman" w:hAnsi="Times New Roman"/>
          <w:sz w:val="24"/>
          <w:szCs w:val="24"/>
          <w:lang w:val="sk-SK" w:eastAsia="sk-SK"/>
        </w:rPr>
      </w:pPr>
      <w:r>
        <w:rPr>
          <w:rFonts w:ascii="Times New Roman" w:hAnsi="Times New Roman"/>
          <w:sz w:val="24"/>
          <w:szCs w:val="24"/>
          <w:lang w:val="sk-SK" w:eastAsia="sk-SK"/>
        </w:rPr>
        <w:t xml:space="preserve">   Obec neprehodnocovala výšku a opodstatnenosť vytvorenej opravnej položky k pohľadávkam po lehote splatnosti.</w:t>
      </w:r>
    </w:p>
    <w:p>
      <w:pPr>
        <w:pStyle w:val="27"/>
        <w:jc w:val="both"/>
        <w:rPr>
          <w:rFonts w:ascii="Times New Roman" w:hAnsi="Times New Roman" w:cs="Times New Roman"/>
        </w:rPr>
      </w:pPr>
      <w:r>
        <w:rPr>
          <w:rFonts w:ascii="Times New Roman" w:hAnsi="Times New Roman" w:cs="Times New Roman"/>
        </w:rPr>
        <w:t xml:space="preserve">   Upozorňujem na skutočnosť, že obec nevykonala inventarizáciu plne v zmysle zákona o účtovníctve   (§ 29-30 zákona), kedy za inventúrne súpisy považuje výpisy obratov jednotlivých účtov.</w:t>
      </w:r>
    </w:p>
    <w:p>
      <w:pPr>
        <w:spacing w:after="0" w:line="240" w:lineRule="auto"/>
        <w:jc w:val="both"/>
        <w:rPr>
          <w:rFonts w:ascii="Times New Roman" w:hAnsi="Times New Roman"/>
          <w:sz w:val="24"/>
          <w:szCs w:val="24"/>
          <w:lang w:val="sk-SK" w:eastAsia="sk-SK"/>
        </w:rPr>
      </w:pPr>
      <w:r>
        <w:rPr>
          <w:rFonts w:ascii="Times New Roman" w:hAnsi="Times New Roman"/>
          <w:sz w:val="24"/>
          <w:szCs w:val="24"/>
          <w:lang w:val="sk-SK" w:eastAsia="sk-SK"/>
        </w:rPr>
        <w:t xml:space="preserve">                </w:t>
      </w:r>
    </w:p>
    <w:p>
      <w:pPr>
        <w:pStyle w:val="27"/>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pPr>
        <w:pStyle w:val="27"/>
        <w:jc w:val="both"/>
        <w:rPr>
          <w:rFonts w:ascii="Times New Roman" w:hAnsi="Times New Roman" w:cs="Times New Roman"/>
        </w:rPr>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podľa zákona o účtovníctve a za tie interné kontroly, ktoré považuje za potrebné na zostavenie účtovnej závierky, ktorá neobsahuje významné nesprávnosti, či už v dôsledku podvodu alebo chyby. </w:t>
      </w:r>
      <w:r>
        <w:rPr>
          <w:rFonts w:ascii="Times New Roman" w:hAnsi="Times New Roman" w:cs="Times New Roman"/>
        </w:rPr>
        <w:t>Pri zostavovaní účtovnej závierky je štatutárny orgán zodpovedný za zhodnotenie schopnosti obce</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w:t>
      </w:r>
    </w:p>
    <w:p>
      <w:pPr>
        <w:autoSpaceDE w:val="0"/>
        <w:spacing w:before="120" w:after="240"/>
        <w:jc w:val="both"/>
        <w:rPr>
          <w:rFonts w:ascii="Times New Roman" w:hAnsi="Times New Roman"/>
          <w:sz w:val="24"/>
          <w:szCs w:val="24"/>
        </w:rPr>
      </w:pPr>
      <w:r>
        <w:rPr>
          <w:rFonts w:ascii="Times New Roman" w:hAnsi="Times New Roman"/>
          <w:kern w:val="8"/>
          <w:sz w:val="24"/>
          <w:szCs w:val="24"/>
          <w:lang w:bidi="he-IL"/>
        </w:rPr>
        <w:t>Štatutárny orgán je</w:t>
      </w:r>
      <w:r>
        <w:rPr>
          <w:rFonts w:ascii="Times New Roman" w:hAnsi="Times New Roman"/>
          <w:sz w:val="24"/>
          <w:szCs w:val="24"/>
        </w:rPr>
        <w:t xml:space="preserve"> </w:t>
      </w:r>
      <w:r>
        <w:rPr>
          <w:rFonts w:ascii="Times New Roman" w:hAnsi="Times New Roman"/>
          <w:sz w:val="24"/>
          <w:szCs w:val="24"/>
          <w:lang w:val="sk-SK"/>
        </w:rPr>
        <w:t xml:space="preserve">ďalej </w:t>
      </w:r>
      <w:r>
        <w:rPr>
          <w:rFonts w:ascii="Times New Roman" w:hAnsi="Times New Roman"/>
          <w:sz w:val="24"/>
          <w:szCs w:val="24"/>
        </w:rPr>
        <w:t>zodpovedný za dodržiavanie povinností podľa Zákona č. 583/2004 Z.z. o rozpočtových pravidlách územnej samosprávy a o zmene a doplnení niektorých zákonov v platnom znení (ďalej len „zákon o rozpočtových pravidlách“).</w:t>
      </w:r>
    </w:p>
    <w:p>
      <w:pPr>
        <w:pStyle w:val="27"/>
        <w:rPr>
          <w:rFonts w:ascii="Times New Roman" w:hAnsi="Times New Roman" w:cs="Times New Roman"/>
          <w:bCs/>
          <w:u w:val="single"/>
        </w:rPr>
      </w:pPr>
    </w:p>
    <w:p>
      <w:pPr>
        <w:pStyle w:val="27"/>
        <w:rPr>
          <w:rFonts w:ascii="Times New Roman" w:hAnsi="Times New Roman" w:cs="Times New Roman"/>
          <w:bCs/>
          <w:u w:val="single"/>
        </w:rPr>
      </w:pPr>
      <w:r>
        <w:rPr>
          <w:rFonts w:ascii="Times New Roman" w:hAnsi="Times New Roman" w:cs="Times New Roman"/>
          <w:bCs/>
          <w:u w:val="single"/>
        </w:rPr>
        <w:t>Zodpovednosť audítora za audit účtovnej závierky</w:t>
      </w:r>
    </w:p>
    <w:p>
      <w:pPr>
        <w:pStyle w:val="27"/>
        <w:jc w:val="both"/>
        <w:rPr>
          <w:rFonts w:ascii="Times New Roman" w:hAnsi="Times New Roman" w:cs="Times New Roman"/>
          <w:bCs/>
        </w:rPr>
      </w:pPr>
      <w:r>
        <w:rPr>
          <w:rFonts w:ascii="Times New Roman" w:hAnsi="Times New Roman" w:cs="Times New Roman"/>
          <w:bCs/>
        </w:rPr>
        <w:t xml:space="preserve">   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pPr>
        <w:pStyle w:val="18"/>
        <w:widowControl w:val="0"/>
        <w:tabs>
          <w:tab w:val="left" w:pos="0"/>
          <w:tab w:val="clear" w:pos="576"/>
        </w:tabs>
        <w:spacing w:after="240" w:line="240" w:lineRule="auto"/>
        <w:ind w:left="0" w:firstLine="0"/>
        <w:rPr>
          <w:sz w:val="24"/>
          <w:szCs w:val="24"/>
          <w:lang w:val="sk-SK"/>
        </w:rPr>
      </w:pPr>
      <w:r>
        <w:rPr>
          <w:sz w:val="24"/>
          <w:szCs w:val="24"/>
        </w:rPr>
        <w:t xml:space="preserve">Súčasťou auditu je aj overenie dodržiavania povinností </w:t>
      </w:r>
      <w:r>
        <w:rPr>
          <w:sz w:val="24"/>
          <w:lang w:val="sk-SK"/>
        </w:rPr>
        <w:t>obce</w:t>
      </w:r>
      <w:r>
        <w:rPr>
          <w:sz w:val="24"/>
          <w:szCs w:val="24"/>
        </w:rPr>
        <w:t xml:space="preserve"> podľa požiadaviek zákona o rozpočtových pravidlách a v rozsahu, v ktorom zákon o rozpočtových pravidlách ukladá audítorovi toto overenie vykonať. </w:t>
      </w:r>
    </w:p>
    <w:p>
      <w:pPr>
        <w:spacing w:line="240" w:lineRule="auto"/>
        <w:jc w:val="both"/>
        <w:rPr>
          <w:rFonts w:ascii="Times New Roman" w:hAnsi="Times New Roman"/>
          <w:sz w:val="24"/>
          <w:szCs w:val="24"/>
          <w:lang w:val="en-GB"/>
        </w:rPr>
      </w:pPr>
      <w:r>
        <w:rPr>
          <w:rFonts w:ascii="Times New Roman" w:hAnsi="Times New Roman"/>
          <w:sz w:val="24"/>
          <w:szCs w:val="24"/>
          <w:lang w:val="sk-SK"/>
        </w:rPr>
        <w:t xml:space="preserve">  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pPr>
        <w:pStyle w:val="28"/>
        <w:numPr>
          <w:ilvl w:val="0"/>
          <w:numId w:val="2"/>
        </w:numPr>
        <w:jc w:val="both"/>
        <w:rPr>
          <w:lang w:val="en-GB"/>
        </w:rPr>
      </w:pPr>
      <w:r>
        <w:rPr>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pPr>
        <w:pStyle w:val="28"/>
        <w:numPr>
          <w:ilvl w:val="0"/>
          <w:numId w:val="2"/>
        </w:numPr>
        <w:jc w:val="both"/>
        <w:rPr>
          <w:lang w:val="en-GB"/>
        </w:rPr>
      </w:pPr>
      <w:r>
        <w:rPr>
          <w:lang w:val="sk-SK"/>
        </w:rPr>
        <w:t>Oboznamujem sa s internými kontrolami relevantnými pre audit, aby som mohol navrhnúť audítorské postupy vhodné za daných okolností, ale nie za účelom vyjadrenia názoru na efektívnosť interných kontrol obce</w:t>
      </w:r>
    </w:p>
    <w:p>
      <w:pPr>
        <w:pStyle w:val="28"/>
        <w:numPr>
          <w:ilvl w:val="0"/>
          <w:numId w:val="2"/>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pPr>
        <w:pStyle w:val="28"/>
        <w:numPr>
          <w:ilvl w:val="0"/>
          <w:numId w:val="2"/>
        </w:numPr>
        <w:jc w:val="both"/>
        <w:rPr>
          <w:lang w:val="en-GB"/>
        </w:rPr>
      </w:pPr>
      <w:r>
        <w:rPr>
          <w:lang w:val="sk-SK"/>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spoločnosti nepretržite pokračovať v činnosti.</w:t>
      </w:r>
      <w:r>
        <w:rPr>
          <w:lang w:val="en-GB"/>
        </w:rPr>
        <w:t xml:space="preserve"> </w:t>
      </w:r>
      <w:r>
        <w:rPr>
          <w:lang w:val="sk-SK"/>
        </w:rPr>
        <w:t>Ak dospejem k záveru, že významná neistota existuje, som povinný upozorniť v mojej správe audítora na súvisiace informácie uvedené v účtovnej závierke alebo, ak sú tieto informácie nedostatočné, modifikovať svoj názor.</w:t>
      </w:r>
      <w:r>
        <w:rPr>
          <w:lang w:val="en-GB"/>
        </w:rPr>
        <w:t xml:space="preserve"> </w:t>
      </w:r>
      <w:r>
        <w:rPr>
          <w:lang w:val="sk-SK"/>
        </w:rPr>
        <w:t>Moje závery vychádzajú z audítorských dôkazov získaných do dátumu vydania mojej správy audítora</w:t>
      </w:r>
    </w:p>
    <w:p>
      <w:pPr>
        <w:pStyle w:val="28"/>
        <w:numPr>
          <w:ilvl w:val="0"/>
          <w:numId w:val="3"/>
        </w:numPr>
        <w:jc w:val="both"/>
        <w:rPr>
          <w:lang w:val="en-GB"/>
        </w:rPr>
      </w:pPr>
      <w:r>
        <w:rPr>
          <w:lang w:val="sk-SK"/>
        </w:rPr>
        <w:t>Hodnotím celkovú prezentáciu, štruktúru a obsah účtovnej závierky vrátane informácií v nej uvedených, ako aj to, či účtovná závierka zachytáva uskutočnené transakcie a udalosti spôsobom, ktorý vedie k ich vernému zobrazeniu.</w:t>
      </w:r>
    </w:p>
    <w:p>
      <w:pPr>
        <w:pStyle w:val="18"/>
        <w:widowControl w:val="0"/>
        <w:tabs>
          <w:tab w:val="left" w:pos="0"/>
          <w:tab w:val="clear" w:pos="576"/>
        </w:tabs>
        <w:spacing w:after="240" w:line="240" w:lineRule="auto"/>
        <w:ind w:left="0" w:firstLine="0"/>
        <w:rPr>
          <w:b/>
          <w:i/>
          <w:sz w:val="24"/>
          <w:lang w:val="sk-SK"/>
        </w:rPr>
      </w:pPr>
    </w:p>
    <w:p>
      <w:pPr>
        <w:pStyle w:val="18"/>
        <w:widowControl w:val="0"/>
        <w:numPr>
          <w:ilvl w:val="0"/>
          <w:numId w:val="1"/>
        </w:numPr>
        <w:tabs>
          <w:tab w:val="left" w:pos="0"/>
          <w:tab w:val="clear" w:pos="576"/>
        </w:tabs>
        <w:spacing w:after="240" w:line="240" w:lineRule="auto"/>
        <w:rPr>
          <w:b/>
          <w:i/>
          <w:sz w:val="24"/>
          <w:lang w:val="sk-SK"/>
        </w:rPr>
      </w:pPr>
      <w:r>
        <w:rPr>
          <w:b/>
          <w:i/>
          <w:sz w:val="24"/>
          <w:lang w:val="sk-SK"/>
        </w:rPr>
        <w:t>Správy k ďalším požiadavkám zákonov a iných právnych predpisov</w:t>
      </w:r>
    </w:p>
    <w:p>
      <w:pPr>
        <w:pStyle w:val="18"/>
        <w:widowControl w:val="0"/>
        <w:tabs>
          <w:tab w:val="left" w:pos="0"/>
        </w:tabs>
        <w:spacing w:after="240" w:line="240" w:lineRule="auto"/>
        <w:rPr>
          <w:bCs/>
          <w:sz w:val="24"/>
          <w:u w:val="single"/>
          <w:lang w:val="sk-SK"/>
        </w:rPr>
      </w:pPr>
      <w:r>
        <w:rPr>
          <w:bCs/>
          <w:sz w:val="24"/>
          <w:u w:val="single"/>
          <w:lang w:val="sk-SK"/>
        </w:rPr>
        <w:t>Správa k informáciám, ktoré sa uvádzajú vo Výročnej správe</w:t>
      </w:r>
    </w:p>
    <w:p>
      <w:pPr>
        <w:pStyle w:val="18"/>
        <w:widowControl w:val="0"/>
        <w:tabs>
          <w:tab w:val="left" w:pos="0"/>
        </w:tabs>
        <w:spacing w:after="240" w:line="240" w:lineRule="auto"/>
        <w:ind w:left="567" w:firstLine="9"/>
        <w:rPr>
          <w:bCs/>
          <w:sz w:val="24"/>
          <w:lang w:val="sk-SK"/>
        </w:rPr>
      </w:pPr>
      <w:r>
        <w:rPr>
          <w:bCs/>
          <w:sz w:val="24"/>
          <w:lang w:val="sk-SK"/>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pPr>
        <w:pStyle w:val="18"/>
        <w:widowControl w:val="0"/>
        <w:tabs>
          <w:tab w:val="left" w:pos="0"/>
        </w:tabs>
        <w:spacing w:after="240" w:line="240" w:lineRule="auto"/>
        <w:ind w:left="567" w:firstLine="9"/>
        <w:rPr>
          <w:bCs/>
          <w:sz w:val="24"/>
          <w:lang w:val="sk-SK"/>
        </w:rPr>
      </w:pPr>
      <w:r>
        <w:rPr>
          <w:bCs/>
          <w:sz w:val="24"/>
          <w:lang w:val="sk-SK"/>
        </w:rPr>
        <w:t xml:space="preserve">V súvislosti s auditom účtovnej závierky je mojou zodpovednosťou oboznámenie sa s informáciami uvedenými vo Výročnej správe a posúdenie, či tieto informácie nie sú vo významnom nesúlade s auditovanou účtovnou závierkou alebo poznatkami, ktoré som získal počas auditu účtovnej závierky, alebo sa inak zdajú byť významne nesprávne. </w:t>
      </w:r>
    </w:p>
    <w:p>
      <w:pPr>
        <w:pStyle w:val="18"/>
        <w:widowControl w:val="0"/>
        <w:tabs>
          <w:tab w:val="left" w:pos="0"/>
        </w:tabs>
        <w:spacing w:after="240" w:line="240" w:lineRule="auto"/>
        <w:ind w:left="851" w:hanging="149"/>
        <w:rPr>
          <w:bCs/>
          <w:sz w:val="24"/>
          <w:lang w:val="sk-SK"/>
        </w:rPr>
      </w:pPr>
      <w:r>
        <w:rPr>
          <w:bCs/>
          <w:sz w:val="24"/>
          <w:lang w:val="sk-SK"/>
        </w:rPr>
        <w:t>- informácie uvedené vo Výročnej správe zostavenej za rok 2022 prezentujú nesprávnosti popísané v zdôraznených skutočnostiach a údaje nekorešpondujú so skutočnosťou</w:t>
      </w:r>
    </w:p>
    <w:p>
      <w:pPr>
        <w:pStyle w:val="18"/>
        <w:widowControl w:val="0"/>
        <w:tabs>
          <w:tab w:val="left" w:pos="0"/>
        </w:tabs>
        <w:spacing w:after="240" w:line="240" w:lineRule="auto"/>
        <w:rPr>
          <w:bCs/>
          <w:sz w:val="24"/>
          <w:lang w:val="sk-SK"/>
        </w:rPr>
      </w:pPr>
      <w:r>
        <w:rPr>
          <w:bCs/>
          <w:sz w:val="24"/>
          <w:lang w:val="sk-SK"/>
        </w:rPr>
        <w:t>-  Výročná správa obsahuje informácie podľa zákona o účtovníctve</w:t>
      </w:r>
    </w:p>
    <w:p>
      <w:pPr>
        <w:pStyle w:val="18"/>
        <w:widowControl w:val="0"/>
        <w:tabs>
          <w:tab w:val="left" w:pos="0"/>
        </w:tabs>
        <w:spacing w:after="240" w:line="240" w:lineRule="auto"/>
        <w:ind w:left="567" w:firstLine="9"/>
        <w:rPr>
          <w:bCs/>
          <w:sz w:val="24"/>
          <w:lang w:val="sk-SK"/>
        </w:rPr>
      </w:pPr>
      <w:r>
        <w:rPr>
          <w:bCs/>
          <w:sz w:val="24"/>
          <w:lang w:val="sk-SK"/>
        </w:rPr>
        <w:t>Okrem toho uvádzam, či som zistil významné nesprávnosti vo Výročnej správe na základe mojich poznatkov o účtovnej jednotke a situácii v nej, ktoré  som získal počas auditu riadnej účtovnej závierky. V tejto súvislosti neexistujú zistenia.</w:t>
      </w:r>
    </w:p>
    <w:p>
      <w:pPr>
        <w:pStyle w:val="18"/>
        <w:widowControl w:val="0"/>
        <w:tabs>
          <w:tab w:val="left" w:pos="0"/>
        </w:tabs>
        <w:spacing w:after="240" w:line="240" w:lineRule="auto"/>
        <w:ind w:left="567" w:firstLine="9"/>
        <w:rPr>
          <w:bCs/>
          <w:sz w:val="24"/>
          <w:lang w:val="sk-SK"/>
        </w:rPr>
      </w:pPr>
    </w:p>
    <w:p>
      <w:pPr>
        <w:pStyle w:val="27"/>
        <w:numPr>
          <w:ilvl w:val="0"/>
          <w:numId w:val="1"/>
        </w:numPr>
        <w:spacing w:before="120" w:after="120"/>
        <w:jc w:val="both"/>
        <w:rPr>
          <w:rFonts w:ascii="Times New Roman" w:hAnsi="Times New Roman" w:cs="Times New Roman"/>
          <w:b/>
          <w:bCs/>
          <w:i/>
        </w:rPr>
      </w:pPr>
      <w:r>
        <w:rPr>
          <w:rFonts w:ascii="Times New Roman" w:hAnsi="Times New Roman" w:cs="Times New Roman"/>
          <w:b/>
          <w:bCs/>
          <w:i/>
        </w:rPr>
        <w:t>Správa z overenia dodržiavania povinností obce Malý Slivník podľa požiadaviek zákona o rozpočtových pravidlách</w:t>
      </w:r>
    </w:p>
    <w:p>
      <w:pPr>
        <w:tabs>
          <w:tab w:val="left" w:pos="0"/>
        </w:tabs>
        <w:spacing w:before="120" w:after="240" w:line="240" w:lineRule="auto"/>
        <w:ind w:left="720" w:hanging="11"/>
        <w:jc w:val="both"/>
        <w:rPr>
          <w:rFonts w:ascii="Times New Roman" w:hAnsi="Times New Roman"/>
          <w:sz w:val="24"/>
          <w:szCs w:val="20"/>
          <w:lang w:val="sk-SK"/>
        </w:rPr>
      </w:pPr>
      <w:r>
        <w:rPr>
          <w:rFonts w:ascii="Times New Roman" w:hAnsi="Times New Roman"/>
          <w:sz w:val="24"/>
          <w:szCs w:val="20"/>
          <w:lang w:val="sk-SK"/>
        </w:rPr>
        <w:tab/>
      </w:r>
      <w:r>
        <w:rPr>
          <w:rFonts w:ascii="Times New Roman" w:hAnsi="Times New Roman"/>
          <w:sz w:val="24"/>
          <w:szCs w:val="20"/>
          <w:lang w:val="sk-SK"/>
        </w:rPr>
        <w:t xml:space="preserve">   Na základe overenia dodržiavania povinností podľa požiadaviek zákona o rozpočtových pravidlách, platných v SR pre územnú samosprávu v znení neskorších predpisov konštatujem:</w:t>
      </w:r>
    </w:p>
    <w:p>
      <w:pPr>
        <w:pStyle w:val="28"/>
        <w:numPr>
          <w:ilvl w:val="0"/>
          <w:numId w:val="4"/>
        </w:numPr>
        <w:tabs>
          <w:tab w:val="left" w:pos="0"/>
        </w:tabs>
        <w:spacing w:before="120" w:after="240"/>
        <w:jc w:val="both"/>
        <w:rPr>
          <w:szCs w:val="20"/>
          <w:lang w:val="sk-SK"/>
        </w:rPr>
      </w:pPr>
      <w:r>
        <w:rPr>
          <w:szCs w:val="20"/>
          <w:lang w:val="sk-SK"/>
        </w:rPr>
        <w:t>podľa môjho názoru obec nevylúčila všetky</w:t>
      </w:r>
      <w:r>
        <w:t xml:space="preserve">  prijaté a nevyčerpané účelové prostriedky, ktoré sa na účely tvorby peňažných fondov pri usporiadaní prebytku rozpočtu obce alebo rozpočtu vyššieho územného celku podľa § 10 ods. 3 písm. a) a b) zákona o rozpočtových pravidlách z tohto prebytku vylučujú</w:t>
      </w:r>
    </w:p>
    <w:p>
      <w:pPr>
        <w:pStyle w:val="28"/>
        <w:tabs>
          <w:tab w:val="left" w:pos="0"/>
        </w:tabs>
        <w:spacing w:before="120" w:after="240"/>
        <w:ind w:left="1069"/>
        <w:jc w:val="both"/>
        <w:rPr>
          <w:szCs w:val="20"/>
          <w:lang w:val="sk-SK"/>
        </w:rPr>
      </w:pPr>
    </w:p>
    <w:p>
      <w:pPr>
        <w:pStyle w:val="28"/>
        <w:numPr>
          <w:ilvl w:val="0"/>
          <w:numId w:val="4"/>
        </w:numPr>
        <w:tabs>
          <w:tab w:val="left" w:pos="0"/>
        </w:tabs>
        <w:spacing w:before="120" w:after="240"/>
        <w:jc w:val="both"/>
        <w:rPr>
          <w:szCs w:val="20"/>
          <w:lang w:val="sk-SK"/>
        </w:rPr>
      </w:pPr>
      <w:r>
        <w:t>okrem tohto zistenia</w:t>
      </w:r>
      <w:r>
        <w:rPr>
          <w:szCs w:val="20"/>
          <w:lang w:val="sk-SK"/>
        </w:rPr>
        <w:t xml:space="preserve"> obec Malý Slivník konala v súlade s požiadavkami platného zákona o rozpočtových pravidlách</w:t>
      </w:r>
    </w:p>
    <w:p>
      <w:pPr>
        <w:pStyle w:val="28"/>
        <w:rPr>
          <w:szCs w:val="20"/>
          <w:lang w:val="sk-SK"/>
        </w:rPr>
      </w:pPr>
    </w:p>
    <w:p>
      <w:pPr>
        <w:pStyle w:val="27"/>
        <w:rPr>
          <w:rFonts w:ascii="Times New Roman" w:hAnsi="Times New Roman" w:cs="Times New Roman"/>
          <w:i/>
        </w:rPr>
      </w:pPr>
    </w:p>
    <w:p>
      <w:pPr>
        <w:pStyle w:val="27"/>
        <w:rPr>
          <w:rFonts w:ascii="Times New Roman" w:hAnsi="Times New Roman" w:cs="Times New Roman"/>
          <w:i/>
        </w:rPr>
      </w:pPr>
      <w:r>
        <w:rPr>
          <w:rFonts w:ascii="Times New Roman" w:hAnsi="Times New Roman" w:cs="Times New Roman"/>
          <w:i/>
        </w:rPr>
        <w:t>Dňa 28.12.2023</w:t>
      </w:r>
    </w:p>
    <w:p>
      <w:pPr>
        <w:pStyle w:val="27"/>
        <w:rPr>
          <w:rFonts w:ascii="Times New Roman" w:hAnsi="Times New Roman" w:cs="Times New Roman"/>
          <w:i/>
        </w:rPr>
      </w:pPr>
      <w:r>
        <w:rPr>
          <w:rFonts w:ascii="Times New Roman" w:hAnsi="Times New Roman" w:cs="Times New Roman"/>
          <w:i/>
        </w:rPr>
        <w:t>Ing. Lipka Marek</w:t>
      </w:r>
    </w:p>
    <w:p>
      <w:pPr>
        <w:pStyle w:val="27"/>
        <w:rPr>
          <w:rFonts w:ascii="Times New Roman" w:hAnsi="Times New Roman" w:cs="Times New Roman"/>
          <w:i/>
        </w:rPr>
      </w:pPr>
      <w:r>
        <w:rPr>
          <w:rFonts w:ascii="Times New Roman" w:hAnsi="Times New Roman" w:cs="Times New Roman"/>
          <w:i/>
        </w:rPr>
        <w:t>č.licencie  705</w:t>
      </w:r>
    </w:p>
    <w:tbl>
      <w:tblPr>
        <w:tblStyle w:val="5"/>
        <w:tblW w:w="0" w:type="auto"/>
        <w:tblCellSpacing w:w="15" w:type="dxa"/>
        <w:tblInd w:w="0" w:type="dxa"/>
        <w:tblLayout w:type="autofit"/>
        <w:tblCellMar>
          <w:top w:w="15" w:type="dxa"/>
          <w:left w:w="15" w:type="dxa"/>
          <w:bottom w:w="15" w:type="dxa"/>
          <w:right w:w="15" w:type="dxa"/>
        </w:tblCellMar>
      </w:tblPr>
      <w:tblGrid>
        <w:gridCol w:w="81"/>
        <w:gridCol w:w="126"/>
      </w:tblGrid>
      <w:tr>
        <w:trPr>
          <w:gridAfter w:val="1"/>
          <w:wAfter w:w="81" w:type="dxa"/>
          <w:tblCellSpacing w:w="15" w:type="dxa"/>
        </w:trPr>
        <w:tc>
          <w:tcPr>
            <w:tcW w:w="0" w:type="auto"/>
            <w:vAlign w:val="center"/>
          </w:tcPr>
          <w:p>
            <w:pPr>
              <w:pStyle w:val="17"/>
            </w:pPr>
          </w:p>
        </w:tc>
      </w:tr>
      <w:tr>
        <w:trPr>
          <w:tblCellSpacing w:w="15" w:type="dxa"/>
        </w:trPr>
        <w:tc>
          <w:tcPr>
            <w:tcW w:w="0" w:type="auto"/>
            <w:vAlign w:val="center"/>
          </w:tcPr>
          <w:p/>
        </w:tc>
        <w:tc>
          <w:tcPr>
            <w:tcW w:w="0" w:type="auto"/>
            <w:vAlign w:val="center"/>
          </w:tcPr>
          <w:p>
            <w:pPr>
              <w:pStyle w:val="17"/>
            </w:pPr>
          </w:p>
        </w:tc>
      </w:tr>
    </w:tbl>
    <w:p>
      <w:pPr>
        <w:tabs>
          <w:tab w:val="left" w:pos="0"/>
        </w:tabs>
        <w:spacing w:before="120" w:after="240" w:line="240" w:lineRule="auto"/>
        <w:jc w:val="both"/>
        <w:rPr>
          <w:rFonts w:ascii="Times New Roman" w:hAnsi="Times New Roman"/>
          <w:sz w:val="24"/>
          <w:szCs w:val="20"/>
          <w:lang w:val="sk-SK"/>
        </w:rPr>
      </w:pPr>
    </w:p>
    <w:sectPr>
      <w:headerReference r:id="rId5" w:type="default"/>
      <w:pgSz w:w="11900" w:h="16840"/>
      <w:pgMar w:top="1134" w:right="1191" w:bottom="1077" w:left="964" w:header="284" w:footer="284"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Calibri">
    <w:panose1 w:val="020F0502020204030204"/>
    <w:charset w:val="EE"/>
    <w:family w:val="swiss"/>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w:panose1 w:val="020B0604020202020204"/>
    <w:charset w:val="EE"/>
    <w:family w:val="swiss"/>
    <w:pitch w:val="default"/>
    <w:sig w:usb0="E0002EFF" w:usb1="C000785B" w:usb2="00000009" w:usb3="00000000" w:csb0="400001FF" w:csb1="FFFF0000"/>
  </w:font>
  <w:font w:name="Arial Black">
    <w:panose1 w:val="020B0A04020102020204"/>
    <w:charset w:val="EE"/>
    <w:family w:val="swiss"/>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16"/>
        <w:szCs w:val="16"/>
        <w:lang w:val="sk-SK"/>
      </w:rPr>
    </w:pPr>
    <w:r>
      <w:rPr>
        <w:sz w:val="16"/>
        <w:szCs w:val="16"/>
        <w:lang w:val="sk-SK"/>
      </w:rPr>
      <w:t xml:space="preserve">                                                                                                                                                                                                                 Ing. Lipka Marek</w:t>
    </w:r>
  </w:p>
  <w:p>
    <w:pPr>
      <w:pStyle w:val="14"/>
      <w:rPr>
        <w:sz w:val="16"/>
        <w:szCs w:val="16"/>
        <w:lang w:val="sk-SK"/>
      </w:rPr>
    </w:pPr>
    <w:r>
      <w:rPr>
        <w:sz w:val="16"/>
        <w:szCs w:val="16"/>
        <w:lang w:val="sk-SK"/>
      </w:rPr>
      <w:tab/>
    </w:r>
    <w:r>
      <w:rPr>
        <w:sz w:val="16"/>
        <w:szCs w:val="16"/>
        <w:lang w:val="sk-SK"/>
      </w:rPr>
      <w:t xml:space="preserve">                                                                                                                                                                                                                     Tulčík 289</w:t>
    </w:r>
    <w:r>
      <w:rPr>
        <w:sz w:val="16"/>
        <w:szCs w:val="16"/>
        <w:lang w:val="sk-SK"/>
      </w:rPr>
      <w:tab/>
    </w:r>
  </w:p>
  <w:p>
    <w:pPr>
      <w:pStyle w:val="14"/>
      <w:rPr>
        <w:sz w:val="16"/>
        <w:szCs w:val="16"/>
        <w:lang w:val="sk-SK"/>
      </w:rPr>
    </w:pPr>
    <w:r>
      <w:rPr>
        <w:sz w:val="16"/>
        <w:szCs w:val="16"/>
        <w:lang w:val="sk-SK"/>
      </w:rPr>
      <w:t xml:space="preserve">                                                                                                                                                                                                                                   082 13  Tulčík</w:t>
    </w:r>
    <w:r>
      <w:rPr>
        <w:sz w:val="16"/>
        <w:szCs w:val="16"/>
        <w:lang w:val="sk-SK"/>
      </w:rPr>
      <w:tab/>
    </w:r>
  </w:p>
  <w:p>
    <w:pPr>
      <w:pStyle w:val="14"/>
      <w:tabs>
        <w:tab w:val="left" w:pos="8205"/>
      </w:tabs>
      <w:rPr>
        <w:sz w:val="16"/>
        <w:szCs w:val="16"/>
        <w:lang w:val="sk-SK"/>
      </w:rPr>
    </w:pPr>
    <w:r>
      <w:rPr>
        <w:sz w:val="16"/>
        <w:szCs w:val="16"/>
        <w:lang w:val="sk-SK"/>
      </w:rPr>
      <w:t xml:space="preserve">                                                                                                                                                                                                                                  Tel. +421 918 752077</w:t>
    </w:r>
  </w:p>
  <w:p>
    <w:pPr>
      <w:pStyle w:val="14"/>
      <w:tabs>
        <w:tab w:val="right" w:pos="10490"/>
      </w:tabs>
      <w:rPr>
        <w:sz w:val="16"/>
        <w:szCs w:val="16"/>
        <w:lang w:val="sk-SK"/>
      </w:rPr>
    </w:pPr>
    <w:r>
      <w:rPr>
        <w:sz w:val="16"/>
        <w:szCs w:val="16"/>
        <w:lang w:val="sk-SK"/>
      </w:rPr>
      <w:tab/>
    </w:r>
    <w:r>
      <w:rPr>
        <w:sz w:val="16"/>
        <w:szCs w:val="16"/>
        <w:lang w:val="sk-SK"/>
      </w:rPr>
      <w:tab/>
    </w:r>
    <w:r>
      <w:rPr>
        <w:sz w:val="16"/>
        <w:szCs w:val="16"/>
        <w:lang w:val="sk-SK"/>
      </w:rPr>
      <w:t xml:space="preserve">                                E-mail:  </w:t>
    </w:r>
    <w:r>
      <w:fldChar w:fldCharType="begin"/>
    </w:r>
    <w:r>
      <w:instrText xml:space="preserve"> HYPERLINK "mailto:lipka.marek65@gmail.com" </w:instrText>
    </w:r>
    <w:r>
      <w:fldChar w:fldCharType="separate"/>
    </w:r>
    <w:r>
      <w:rPr>
        <w:rStyle w:val="16"/>
        <w:sz w:val="16"/>
        <w:szCs w:val="16"/>
        <w:lang w:val="sk-SK"/>
      </w:rPr>
      <w:t>lipka.marek65@gmail.com</w:t>
    </w:r>
    <w:r>
      <w:rPr>
        <w:rStyle w:val="16"/>
        <w:sz w:val="16"/>
        <w:szCs w:val="16"/>
        <w:lang w:val="sk-SK"/>
      </w:rPr>
      <w:fldChar w:fldCharType="end"/>
    </w:r>
  </w:p>
  <w:p>
    <w:pPr>
      <w:pStyle w:val="14"/>
    </w:pPr>
    <w:r>
      <w:rPr>
        <w:sz w:val="16"/>
        <w:szCs w:val="16"/>
        <w:lang w:val="sk-SK"/>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C1294"/>
    <w:multiLevelType w:val="multilevel"/>
    <w:tmpl w:val="04EC1294"/>
    <w:lvl w:ilvl="0" w:tentative="0">
      <w:start w:val="1"/>
      <w:numFmt w:val="upperRoman"/>
      <w:lvlText w:val="%1."/>
      <w:lvlJc w:val="left"/>
      <w:pPr>
        <w:ind w:left="1080" w:hanging="720"/>
      </w:pPr>
      <w:rPr>
        <w:rFonts w:hint="default"/>
        <w:b/>
        <w:i/>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4EB0A79"/>
    <w:multiLevelType w:val="multilevel"/>
    <w:tmpl w:val="24EB0A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AF21484"/>
    <w:multiLevelType w:val="multilevel"/>
    <w:tmpl w:val="6AF21484"/>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3">
    <w:nsid w:val="6BD8168B"/>
    <w:multiLevelType w:val="multilevel"/>
    <w:tmpl w:val="6BD8168B"/>
    <w:lvl w:ilvl="0" w:tentative="0">
      <w:start w:val="0"/>
      <w:numFmt w:val="bullet"/>
      <w:lvlText w:val=""/>
      <w:lvlJc w:val="left"/>
      <w:pPr>
        <w:ind w:left="720" w:hanging="360"/>
      </w:pPr>
      <w:rPr>
        <w:rFonts w:hint="default" w:ascii="Symbol" w:hAnsi="Symbol"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2B2"/>
    <w:rsid w:val="00005C3B"/>
    <w:rsid w:val="000151C6"/>
    <w:rsid w:val="00023474"/>
    <w:rsid w:val="000369DD"/>
    <w:rsid w:val="000374BC"/>
    <w:rsid w:val="00052DFC"/>
    <w:rsid w:val="000538D1"/>
    <w:rsid w:val="00066261"/>
    <w:rsid w:val="000A7A79"/>
    <w:rsid w:val="000E0417"/>
    <w:rsid w:val="000E3B51"/>
    <w:rsid w:val="000E48A9"/>
    <w:rsid w:val="000F101D"/>
    <w:rsid w:val="000F3212"/>
    <w:rsid w:val="000F7757"/>
    <w:rsid w:val="001175C7"/>
    <w:rsid w:val="00132BFD"/>
    <w:rsid w:val="00177882"/>
    <w:rsid w:val="00193877"/>
    <w:rsid w:val="001B3379"/>
    <w:rsid w:val="001C4C6F"/>
    <w:rsid w:val="001C73E7"/>
    <w:rsid w:val="001D22D1"/>
    <w:rsid w:val="001E4B2C"/>
    <w:rsid w:val="001F2FB4"/>
    <w:rsid w:val="001F305D"/>
    <w:rsid w:val="001F53A9"/>
    <w:rsid w:val="00212BD0"/>
    <w:rsid w:val="00221920"/>
    <w:rsid w:val="00225D40"/>
    <w:rsid w:val="00231059"/>
    <w:rsid w:val="0024219D"/>
    <w:rsid w:val="0024671E"/>
    <w:rsid w:val="00265717"/>
    <w:rsid w:val="00267DBC"/>
    <w:rsid w:val="00270D89"/>
    <w:rsid w:val="00292D2E"/>
    <w:rsid w:val="002A3A61"/>
    <w:rsid w:val="002C125A"/>
    <w:rsid w:val="003033C3"/>
    <w:rsid w:val="00324581"/>
    <w:rsid w:val="00346310"/>
    <w:rsid w:val="00361835"/>
    <w:rsid w:val="0037584C"/>
    <w:rsid w:val="003E2D95"/>
    <w:rsid w:val="004002A5"/>
    <w:rsid w:val="004232A1"/>
    <w:rsid w:val="00431C4C"/>
    <w:rsid w:val="004611F8"/>
    <w:rsid w:val="0047350D"/>
    <w:rsid w:val="004835B8"/>
    <w:rsid w:val="0049054B"/>
    <w:rsid w:val="00493927"/>
    <w:rsid w:val="004E4A54"/>
    <w:rsid w:val="0055122A"/>
    <w:rsid w:val="005653FC"/>
    <w:rsid w:val="00571150"/>
    <w:rsid w:val="00573BC2"/>
    <w:rsid w:val="005A0552"/>
    <w:rsid w:val="005A099F"/>
    <w:rsid w:val="005A1118"/>
    <w:rsid w:val="005A768F"/>
    <w:rsid w:val="005D3419"/>
    <w:rsid w:val="005D6E27"/>
    <w:rsid w:val="005F799A"/>
    <w:rsid w:val="005F7B75"/>
    <w:rsid w:val="00642FDC"/>
    <w:rsid w:val="0064763B"/>
    <w:rsid w:val="006631E8"/>
    <w:rsid w:val="00665CBD"/>
    <w:rsid w:val="0068130B"/>
    <w:rsid w:val="006937FA"/>
    <w:rsid w:val="006A123E"/>
    <w:rsid w:val="006E1F83"/>
    <w:rsid w:val="0070698A"/>
    <w:rsid w:val="00726707"/>
    <w:rsid w:val="00742EB3"/>
    <w:rsid w:val="00747FF2"/>
    <w:rsid w:val="0075180E"/>
    <w:rsid w:val="007A0CB5"/>
    <w:rsid w:val="007B06E6"/>
    <w:rsid w:val="007E2D23"/>
    <w:rsid w:val="007E68C6"/>
    <w:rsid w:val="00831980"/>
    <w:rsid w:val="00850DCB"/>
    <w:rsid w:val="00857A7F"/>
    <w:rsid w:val="00866202"/>
    <w:rsid w:val="00867D1F"/>
    <w:rsid w:val="00870C58"/>
    <w:rsid w:val="008A1894"/>
    <w:rsid w:val="008E1142"/>
    <w:rsid w:val="008E7CC9"/>
    <w:rsid w:val="008F1EF0"/>
    <w:rsid w:val="0090194C"/>
    <w:rsid w:val="009250A7"/>
    <w:rsid w:val="009307D3"/>
    <w:rsid w:val="00943D3C"/>
    <w:rsid w:val="0095166D"/>
    <w:rsid w:val="00981522"/>
    <w:rsid w:val="00984002"/>
    <w:rsid w:val="0098636B"/>
    <w:rsid w:val="00987844"/>
    <w:rsid w:val="009A178C"/>
    <w:rsid w:val="009A4DA2"/>
    <w:rsid w:val="009B2882"/>
    <w:rsid w:val="009B606A"/>
    <w:rsid w:val="009F608B"/>
    <w:rsid w:val="00A05EE8"/>
    <w:rsid w:val="00A14734"/>
    <w:rsid w:val="00A623C2"/>
    <w:rsid w:val="00A704F8"/>
    <w:rsid w:val="00AC04F8"/>
    <w:rsid w:val="00AC1E21"/>
    <w:rsid w:val="00B47686"/>
    <w:rsid w:val="00B77711"/>
    <w:rsid w:val="00B83F2B"/>
    <w:rsid w:val="00BA3039"/>
    <w:rsid w:val="00BA3421"/>
    <w:rsid w:val="00BA4EAF"/>
    <w:rsid w:val="00BF69C3"/>
    <w:rsid w:val="00BF7818"/>
    <w:rsid w:val="00BF7CBC"/>
    <w:rsid w:val="00C54A4F"/>
    <w:rsid w:val="00C67B31"/>
    <w:rsid w:val="00C942B2"/>
    <w:rsid w:val="00CA4FF0"/>
    <w:rsid w:val="00CD4BB4"/>
    <w:rsid w:val="00CD696F"/>
    <w:rsid w:val="00CF32F1"/>
    <w:rsid w:val="00D15D2C"/>
    <w:rsid w:val="00D16BEB"/>
    <w:rsid w:val="00D209D1"/>
    <w:rsid w:val="00D20B95"/>
    <w:rsid w:val="00D25154"/>
    <w:rsid w:val="00D41AA5"/>
    <w:rsid w:val="00D44D66"/>
    <w:rsid w:val="00D4665E"/>
    <w:rsid w:val="00D80D0E"/>
    <w:rsid w:val="00DA3A9B"/>
    <w:rsid w:val="00DB6AB6"/>
    <w:rsid w:val="00DC6F87"/>
    <w:rsid w:val="00DE5E54"/>
    <w:rsid w:val="00DE5ECD"/>
    <w:rsid w:val="00DF4F82"/>
    <w:rsid w:val="00E170B8"/>
    <w:rsid w:val="00E42276"/>
    <w:rsid w:val="00E520E3"/>
    <w:rsid w:val="00E85411"/>
    <w:rsid w:val="00E91DBB"/>
    <w:rsid w:val="00E93A1F"/>
    <w:rsid w:val="00E96F09"/>
    <w:rsid w:val="00EC237D"/>
    <w:rsid w:val="00EC333D"/>
    <w:rsid w:val="00ED123E"/>
    <w:rsid w:val="00ED1546"/>
    <w:rsid w:val="00ED3B58"/>
    <w:rsid w:val="00ED770B"/>
    <w:rsid w:val="00EF2CE1"/>
    <w:rsid w:val="00EF6133"/>
    <w:rsid w:val="00F03487"/>
    <w:rsid w:val="00F1036E"/>
    <w:rsid w:val="00F1375A"/>
    <w:rsid w:val="00F204EC"/>
    <w:rsid w:val="00F32D47"/>
    <w:rsid w:val="00F52C47"/>
    <w:rsid w:val="00F71E17"/>
    <w:rsid w:val="00F730DC"/>
    <w:rsid w:val="00F83739"/>
    <w:rsid w:val="00F9405C"/>
    <w:rsid w:val="00F94087"/>
    <w:rsid w:val="00FA1FF8"/>
    <w:rsid w:val="00FB6EB9"/>
    <w:rsid w:val="00FC32BD"/>
    <w:rsid w:val="00FD365C"/>
    <w:rsid w:val="00FD7EC0"/>
    <w:rsid w:val="00FE6D85"/>
    <w:rsid w:val="74D163F4"/>
  </w:rsids>
  <m:mathPr>
    <m:mathFont m:val="Cambria Math"/>
    <m:brkBin m:val="before"/>
    <m:brkBinSub m:val="--"/>
    <m:smallFrac m:val="0"/>
    <m:dispDef m:val="0"/>
    <m:lMargin m:val="0"/>
    <m:rMargin m:val="0"/>
    <m:defJc m:val="centerGroup"/>
    <m:wrapRight m:val="1"/>
    <m:intLim m:val="subSup"/>
    <m:naryLim m:val="subSup"/>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2"/>
    <w:basedOn w:val="1"/>
    <w:next w:val="1"/>
    <w:link w:val="29"/>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rPr>
  </w:style>
  <w:style w:type="paragraph" w:styleId="3">
    <w:name w:val="heading 3"/>
    <w:basedOn w:val="1"/>
    <w:next w:val="1"/>
    <w:link w:val="26"/>
    <w:qFormat/>
    <w:uiPriority w:val="9"/>
    <w:pPr>
      <w:keepNext/>
      <w:spacing w:before="240" w:after="60"/>
      <w:outlineLvl w:val="2"/>
    </w:pPr>
    <w:rPr>
      <w:rFonts w:eastAsia="Times New Roman"/>
      <w:b/>
      <w:bCs/>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2"/>
    <w:semiHidden/>
    <w:unhideWhenUsed/>
    <w:uiPriority w:val="99"/>
    <w:pPr>
      <w:spacing w:after="0" w:line="240" w:lineRule="auto"/>
    </w:pPr>
    <w:rPr>
      <w:rFonts w:ascii="Tahoma" w:hAnsi="Tahoma" w:cs="Tahoma"/>
      <w:sz w:val="16"/>
      <w:szCs w:val="16"/>
    </w:rPr>
  </w:style>
  <w:style w:type="paragraph" w:styleId="7">
    <w:name w:val="Body Text Indent 3"/>
    <w:basedOn w:val="1"/>
    <w:link w:val="31"/>
    <w:semiHidden/>
    <w:uiPriority w:val="0"/>
    <w:pPr>
      <w:suppressAutoHyphens/>
      <w:spacing w:after="0" w:line="240" w:lineRule="auto"/>
      <w:ind w:firstLine="540"/>
    </w:pPr>
    <w:rPr>
      <w:rFonts w:ascii="Times New Roman" w:hAnsi="Times New Roman" w:eastAsia="Times New Roman"/>
      <w:sz w:val="24"/>
      <w:szCs w:val="24"/>
      <w:lang w:val="sk-SK" w:eastAsia="ar-SA"/>
    </w:rPr>
  </w:style>
  <w:style w:type="character" w:styleId="8">
    <w:name w:val="annotation reference"/>
    <w:semiHidden/>
    <w:unhideWhenUsed/>
    <w:uiPriority w:val="99"/>
    <w:rPr>
      <w:sz w:val="18"/>
      <w:szCs w:val="18"/>
    </w:rPr>
  </w:style>
  <w:style w:type="paragraph" w:styleId="9">
    <w:name w:val="annotation text"/>
    <w:basedOn w:val="1"/>
    <w:link w:val="23"/>
    <w:semiHidden/>
    <w:unhideWhenUsed/>
    <w:uiPriority w:val="99"/>
    <w:rPr>
      <w:sz w:val="24"/>
      <w:szCs w:val="24"/>
    </w:rPr>
  </w:style>
  <w:style w:type="paragraph" w:styleId="10">
    <w:name w:val="annotation subject"/>
    <w:basedOn w:val="9"/>
    <w:next w:val="9"/>
    <w:link w:val="24"/>
    <w:semiHidden/>
    <w:unhideWhenUsed/>
    <w:uiPriority w:val="99"/>
    <w:rPr>
      <w:b/>
      <w:bCs/>
      <w:sz w:val="20"/>
      <w:szCs w:val="20"/>
    </w:rPr>
  </w:style>
  <w:style w:type="paragraph" w:styleId="11">
    <w:name w:val="footer"/>
    <w:basedOn w:val="1"/>
    <w:link w:val="33"/>
    <w:unhideWhenUsed/>
    <w:uiPriority w:val="99"/>
    <w:pPr>
      <w:tabs>
        <w:tab w:val="center" w:pos="4536"/>
        <w:tab w:val="right" w:pos="9072"/>
      </w:tabs>
      <w:spacing w:after="0" w:line="240" w:lineRule="auto"/>
    </w:pPr>
  </w:style>
  <w:style w:type="character" w:styleId="12">
    <w:name w:val="footnote reference"/>
    <w:uiPriority w:val="0"/>
    <w:rPr>
      <w:vertAlign w:val="superscript"/>
    </w:rPr>
  </w:style>
  <w:style w:type="paragraph" w:styleId="13">
    <w:name w:val="footnote text"/>
    <w:basedOn w:val="1"/>
    <w:link w:val="20"/>
    <w:uiPriority w:val="99"/>
    <w:pPr>
      <w:tabs>
        <w:tab w:val="left" w:pos="480"/>
      </w:tabs>
      <w:spacing w:before="120" w:after="0" w:line="240" w:lineRule="exact"/>
      <w:ind w:left="480" w:hanging="480"/>
      <w:jc w:val="both"/>
    </w:pPr>
    <w:rPr>
      <w:rFonts w:ascii="Times New Roman" w:hAnsi="Times New Roman" w:eastAsia="Times New Roman"/>
      <w:kern w:val="8"/>
      <w:sz w:val="20"/>
      <w:szCs w:val="20"/>
      <w:lang w:bidi="he-IL"/>
    </w:rPr>
  </w:style>
  <w:style w:type="paragraph" w:styleId="14">
    <w:name w:val="header"/>
    <w:basedOn w:val="1"/>
    <w:link w:val="32"/>
    <w:unhideWhenUsed/>
    <w:uiPriority w:val="99"/>
    <w:pPr>
      <w:tabs>
        <w:tab w:val="center" w:pos="4536"/>
        <w:tab w:val="right" w:pos="9072"/>
      </w:tabs>
      <w:spacing w:after="0" w:line="240" w:lineRule="auto"/>
    </w:pPr>
  </w:style>
  <w:style w:type="character" w:styleId="15">
    <w:name w:val="HTML Variable"/>
    <w:basedOn w:val="4"/>
    <w:semiHidden/>
    <w:unhideWhenUsed/>
    <w:uiPriority w:val="99"/>
    <w:rPr>
      <w:i/>
      <w:iCs/>
    </w:rPr>
  </w:style>
  <w:style w:type="character" w:styleId="16">
    <w:name w:val="Hyperlink"/>
    <w:unhideWhenUsed/>
    <w:uiPriority w:val="99"/>
    <w:rPr>
      <w:color w:val="0000FF"/>
      <w:u w:val="single"/>
    </w:rPr>
  </w:style>
  <w:style w:type="paragraph" w:styleId="17">
    <w:name w:val="Normal (Web)"/>
    <w:basedOn w:val="1"/>
    <w:semiHidden/>
    <w:unhideWhenUsed/>
    <w:uiPriority w:val="99"/>
    <w:pPr>
      <w:spacing w:before="100" w:beforeAutospacing="1" w:after="100" w:afterAutospacing="1" w:line="240" w:lineRule="auto"/>
    </w:pPr>
    <w:rPr>
      <w:rFonts w:ascii="Times New Roman" w:hAnsi="Times New Roman" w:eastAsia="Times New Roman"/>
      <w:sz w:val="24"/>
      <w:szCs w:val="24"/>
      <w:lang w:val="sk-SK" w:eastAsia="sk-SK"/>
    </w:rPr>
  </w:style>
  <w:style w:type="paragraph" w:customStyle="1" w:styleId="18">
    <w:name w:val="level 2"/>
    <w:basedOn w:val="1"/>
    <w:uiPriority w:val="0"/>
    <w:pPr>
      <w:tabs>
        <w:tab w:val="right" w:pos="360"/>
        <w:tab w:val="left" w:pos="576"/>
      </w:tabs>
      <w:spacing w:before="120" w:after="120" w:line="220" w:lineRule="exact"/>
      <w:ind w:left="1008" w:hanging="432"/>
      <w:jc w:val="both"/>
    </w:pPr>
    <w:rPr>
      <w:rFonts w:ascii="Times New Roman" w:hAnsi="Times New Roman" w:eastAsia="Times New Roman"/>
      <w:kern w:val="8"/>
      <w:sz w:val="20"/>
      <w:szCs w:val="20"/>
      <w:lang w:bidi="he-IL"/>
    </w:rPr>
  </w:style>
  <w:style w:type="character" w:customStyle="1" w:styleId="19">
    <w:name w:val="Footnote Text Char"/>
    <w:semiHidden/>
    <w:uiPriority w:val="99"/>
    <w:rPr>
      <w:rFonts w:ascii="Calibri" w:hAnsi="Calibri" w:eastAsia="Calibri" w:cs="Times New Roman"/>
    </w:rPr>
  </w:style>
  <w:style w:type="character" w:customStyle="1" w:styleId="20">
    <w:name w:val="Text poznámky pod čiarou Char"/>
    <w:link w:val="13"/>
    <w:uiPriority w:val="0"/>
    <w:rPr>
      <w:rFonts w:ascii="Times New Roman" w:hAnsi="Times New Roman" w:eastAsia="Times New Roman" w:cs="Times New Roman"/>
      <w:kern w:val="8"/>
      <w:sz w:val="20"/>
      <w:szCs w:val="20"/>
      <w:lang w:bidi="he-IL"/>
    </w:rPr>
  </w:style>
  <w:style w:type="paragraph" w:customStyle="1" w:styleId="21">
    <w:name w:val="Numbered Paragraph Char Char"/>
    <w:basedOn w:val="1"/>
    <w:uiPriority w:val="0"/>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hAnsi="Times New Roman" w:eastAsia="Times New Roman"/>
      <w:kern w:val="8"/>
      <w:sz w:val="24"/>
      <w:szCs w:val="24"/>
      <w:lang w:bidi="he-IL"/>
    </w:rPr>
  </w:style>
  <w:style w:type="character" w:customStyle="1" w:styleId="22">
    <w:name w:val="Text bubliny Char"/>
    <w:link w:val="6"/>
    <w:semiHidden/>
    <w:uiPriority w:val="99"/>
    <w:rPr>
      <w:rFonts w:ascii="Tahoma" w:hAnsi="Tahoma" w:eastAsia="Calibri" w:cs="Tahoma"/>
      <w:sz w:val="16"/>
      <w:szCs w:val="16"/>
      <w:lang w:val="en-US" w:eastAsia="en-US"/>
    </w:rPr>
  </w:style>
  <w:style w:type="character" w:customStyle="1" w:styleId="23">
    <w:name w:val="Text komentára Char"/>
    <w:link w:val="9"/>
    <w:semiHidden/>
    <w:uiPriority w:val="99"/>
    <w:rPr>
      <w:rFonts w:ascii="Calibri" w:hAnsi="Calibri" w:eastAsia="Calibri"/>
      <w:sz w:val="24"/>
      <w:szCs w:val="24"/>
    </w:rPr>
  </w:style>
  <w:style w:type="character" w:customStyle="1" w:styleId="24">
    <w:name w:val="Predmet komentára Char"/>
    <w:link w:val="10"/>
    <w:semiHidden/>
    <w:uiPriority w:val="99"/>
    <w:rPr>
      <w:rFonts w:ascii="Calibri" w:hAnsi="Calibri" w:eastAsia="Calibri"/>
      <w:b/>
      <w:bCs/>
      <w:sz w:val="24"/>
      <w:szCs w:val="24"/>
    </w:rPr>
  </w:style>
  <w:style w:type="paragraph" w:customStyle="1" w:styleId="25">
    <w:name w:val="Heading 3/2"/>
    <w:basedOn w:val="3"/>
    <w:uiPriority w:val="0"/>
    <w:pPr>
      <w:keepNext w:val="0"/>
      <w:spacing w:before="120" w:after="0" w:line="240" w:lineRule="exact"/>
      <w:ind w:left="1236" w:right="360" w:hanging="527"/>
      <w:jc w:val="both"/>
    </w:pPr>
    <w:rPr>
      <w:rFonts w:ascii="Times New Roman" w:hAnsi="Times New Roman" w:cs="Arial"/>
      <w:sz w:val="20"/>
      <w:szCs w:val="20"/>
    </w:rPr>
  </w:style>
  <w:style w:type="character" w:customStyle="1" w:styleId="26">
    <w:name w:val="Nadpis 3 Char"/>
    <w:link w:val="3"/>
    <w:semiHidden/>
    <w:uiPriority w:val="9"/>
    <w:rPr>
      <w:rFonts w:ascii="Calibri" w:hAnsi="Calibri" w:eastAsia="Times New Roman" w:cs="Times New Roman"/>
      <w:b/>
      <w:bCs/>
      <w:sz w:val="26"/>
      <w:szCs w:val="26"/>
    </w:rPr>
  </w:style>
  <w:style w:type="paragraph" w:customStyle="1" w:styleId="27">
    <w:name w:val="Default"/>
    <w:uiPriority w:val="0"/>
    <w:pPr>
      <w:autoSpaceDE w:val="0"/>
      <w:autoSpaceDN w:val="0"/>
      <w:adjustRightInd w:val="0"/>
    </w:pPr>
    <w:rPr>
      <w:rFonts w:ascii="Arial" w:hAnsi="Arial" w:eastAsia="Calibri" w:cs="Arial"/>
      <w:color w:val="000000"/>
      <w:sz w:val="24"/>
      <w:szCs w:val="24"/>
      <w:lang w:val="sk-SK" w:eastAsia="sk-SK" w:bidi="ar-SA"/>
    </w:rPr>
  </w:style>
  <w:style w:type="paragraph" w:styleId="28">
    <w:name w:val="List Paragraph"/>
    <w:basedOn w:val="1"/>
    <w:qFormat/>
    <w:uiPriority w:val="34"/>
    <w:pPr>
      <w:spacing w:after="0" w:line="240" w:lineRule="auto"/>
      <w:ind w:left="720"/>
      <w:contextualSpacing/>
    </w:pPr>
    <w:rPr>
      <w:rFonts w:ascii="Times New Roman" w:hAnsi="Times New Roman"/>
      <w:sz w:val="24"/>
    </w:rPr>
  </w:style>
  <w:style w:type="character" w:customStyle="1" w:styleId="29">
    <w:name w:val="Nadpis 2 Char"/>
    <w:basedOn w:val="4"/>
    <w:link w:val="2"/>
    <w:semiHidden/>
    <w:uiPriority w:val="9"/>
    <w:rPr>
      <w:rFonts w:asciiTheme="majorHAnsi" w:hAnsiTheme="majorHAnsi" w:eastAsiaTheme="majorEastAsia" w:cstheme="majorBidi"/>
      <w:b/>
      <w:bCs/>
      <w:color w:val="5B9BD5" w:themeColor="accent1"/>
      <w:sz w:val="26"/>
      <w:szCs w:val="26"/>
    </w:rPr>
  </w:style>
  <w:style w:type="paragraph" w:customStyle="1" w:styleId="30">
    <w:name w:val="Index"/>
    <w:basedOn w:val="1"/>
    <w:uiPriority w:val="0"/>
    <w:pPr>
      <w:suppressLineNumbers/>
      <w:suppressAutoHyphens/>
      <w:spacing w:after="0" w:line="240" w:lineRule="auto"/>
    </w:pPr>
    <w:rPr>
      <w:rFonts w:ascii="Times New Roman" w:hAnsi="Times New Roman" w:eastAsia="Times New Roman" w:cs="Tahoma"/>
      <w:sz w:val="24"/>
      <w:szCs w:val="24"/>
      <w:lang w:val="cs-CZ" w:eastAsia="ar-SA"/>
    </w:rPr>
  </w:style>
  <w:style w:type="character" w:customStyle="1" w:styleId="31">
    <w:name w:val="Zarážka základného textu 3 Char"/>
    <w:basedOn w:val="4"/>
    <w:link w:val="7"/>
    <w:semiHidden/>
    <w:uiPriority w:val="0"/>
    <w:rPr>
      <w:rFonts w:ascii="Times New Roman" w:hAnsi="Times New Roman" w:eastAsia="Times New Roman"/>
      <w:sz w:val="24"/>
      <w:szCs w:val="24"/>
      <w:lang w:val="sk-SK" w:eastAsia="ar-SA"/>
    </w:rPr>
  </w:style>
  <w:style w:type="character" w:customStyle="1" w:styleId="32">
    <w:name w:val="Hlavička Char"/>
    <w:basedOn w:val="4"/>
    <w:link w:val="14"/>
    <w:uiPriority w:val="99"/>
    <w:rPr>
      <w:rFonts w:ascii="Calibri" w:hAnsi="Calibri" w:eastAsia="Calibri"/>
      <w:sz w:val="22"/>
      <w:szCs w:val="22"/>
    </w:rPr>
  </w:style>
  <w:style w:type="character" w:customStyle="1" w:styleId="33">
    <w:name w:val="Päta Char"/>
    <w:basedOn w:val="4"/>
    <w:link w:val="11"/>
    <w:uiPriority w:val="99"/>
    <w:rPr>
      <w:rFonts w:ascii="Calibri" w:hAnsi="Calibri" w:eastAsia="Calibr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C659B-3A23-4843-B69E-839685672936}">
  <ds:schemaRefs/>
</ds:datastoreItem>
</file>

<file path=docProps/app.xml><?xml version="1.0" encoding="utf-8"?>
<Properties xmlns="http://schemas.openxmlformats.org/officeDocument/2006/extended-properties" xmlns:vt="http://schemas.openxmlformats.org/officeDocument/2006/docPropsVTypes">
  <Template>Normal</Template>
  <Company>KPMG</Company>
  <Pages>4</Pages>
  <Words>1198</Words>
  <Characters>6835</Characters>
  <Lines>56</Lines>
  <Paragraphs>16</Paragraphs>
  <TotalTime>1019</TotalTime>
  <ScaleCrop>false</ScaleCrop>
  <LinksUpToDate>false</LinksUpToDate>
  <CharactersWithSpaces>8017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2016-12-17T11:54:00Z</dcterms:created>
  <dc:creator>Vlado Zima</dc:creator>
  <cp:lastModifiedBy>Úradovňa</cp:lastModifiedBy>
  <cp:lastPrinted>2022-12-22T02:30:00Z</cp:lastPrinted>
  <dcterms:modified xsi:type="dcterms:W3CDTF">2023-12-29T14:31:43Z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7B1B23C832494063A2C121BE08260D30_13</vt:lpwstr>
  </property>
</Properties>
</file>