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0B7F" w:rsidRDefault="00060B7F">
      <w:pPr>
        <w:pStyle w:val="Standard"/>
        <w:jc w:val="center"/>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DE5CF4">
      <w:pPr>
        <w:pStyle w:val="Standard"/>
        <w:spacing w:line="360" w:lineRule="auto"/>
        <w:jc w:val="center"/>
      </w:pPr>
      <w:r>
        <w:rPr>
          <w:rFonts w:ascii="Monotype Corsiva" w:eastAsia="Monotype Corsiva" w:hAnsi="Monotype Corsiva" w:cs="Monotype Corsiva"/>
          <w:b/>
          <w:color w:val="auto"/>
          <w:sz w:val="80"/>
        </w:rPr>
        <w:t>Výro</w:t>
      </w:r>
      <w:r>
        <w:rPr>
          <w:rFonts w:eastAsia="Calibri" w:cs="Calibri"/>
          <w:b/>
          <w:color w:val="auto"/>
          <w:sz w:val="80"/>
        </w:rPr>
        <w:t>č</w:t>
      </w:r>
      <w:r>
        <w:rPr>
          <w:rFonts w:ascii="Monotype Corsiva" w:eastAsia="Monotype Corsiva" w:hAnsi="Monotype Corsiva" w:cs="Monotype Corsiva"/>
          <w:b/>
          <w:color w:val="auto"/>
          <w:sz w:val="80"/>
        </w:rPr>
        <w:t>n</w:t>
      </w:r>
      <w:r>
        <w:rPr>
          <w:rFonts w:eastAsia="Calibri" w:cs="Calibri"/>
          <w:b/>
          <w:color w:val="auto"/>
          <w:sz w:val="80"/>
        </w:rPr>
        <w:t>á</w:t>
      </w:r>
      <w:r>
        <w:rPr>
          <w:rFonts w:ascii="Monotype Corsiva" w:eastAsia="Monotype Corsiva" w:hAnsi="Monotype Corsiva" w:cs="Monotype Corsiva"/>
          <w:b/>
          <w:color w:val="auto"/>
          <w:sz w:val="80"/>
        </w:rPr>
        <w:t xml:space="preserve"> spr</w:t>
      </w:r>
      <w:r>
        <w:rPr>
          <w:rFonts w:eastAsia="Calibri" w:cs="Calibri"/>
          <w:b/>
          <w:color w:val="auto"/>
          <w:sz w:val="80"/>
        </w:rPr>
        <w:t>á</w:t>
      </w:r>
      <w:r>
        <w:rPr>
          <w:rFonts w:ascii="Monotype Corsiva" w:eastAsia="Monotype Corsiva" w:hAnsi="Monotype Corsiva" w:cs="Monotype Corsiva"/>
          <w:b/>
          <w:color w:val="auto"/>
          <w:sz w:val="80"/>
        </w:rPr>
        <w:t>va</w:t>
      </w:r>
    </w:p>
    <w:p w:rsidR="00060B7F" w:rsidRDefault="00DE5CF4">
      <w:pPr>
        <w:pStyle w:val="Standard"/>
        <w:spacing w:line="360" w:lineRule="auto"/>
        <w:jc w:val="center"/>
        <w:rPr>
          <w:rFonts w:ascii="Monotype Corsiva" w:eastAsia="Monotype Corsiva" w:hAnsi="Monotype Corsiva" w:cs="Monotype Corsiva"/>
          <w:b/>
          <w:color w:val="auto"/>
          <w:sz w:val="80"/>
        </w:rPr>
      </w:pPr>
      <w:r>
        <w:rPr>
          <w:rFonts w:ascii="Monotype Corsiva" w:eastAsia="Monotype Corsiva" w:hAnsi="Monotype Corsiva" w:cs="Monotype Corsiva"/>
          <w:b/>
          <w:color w:val="auto"/>
          <w:sz w:val="80"/>
        </w:rPr>
        <w:t>Obce</w:t>
      </w:r>
    </w:p>
    <w:p w:rsidR="00060B7F" w:rsidRDefault="00DE5CF4">
      <w:pPr>
        <w:pStyle w:val="Standard"/>
        <w:spacing w:line="360" w:lineRule="auto"/>
        <w:jc w:val="center"/>
        <w:rPr>
          <w:rFonts w:ascii="Monotype Corsiva" w:eastAsia="Monotype Corsiva" w:hAnsi="Monotype Corsiva" w:cs="Monotype Corsiva"/>
          <w:b/>
          <w:color w:val="auto"/>
          <w:sz w:val="80"/>
        </w:rPr>
      </w:pPr>
      <w:r>
        <w:rPr>
          <w:rFonts w:ascii="Monotype Corsiva" w:eastAsia="Monotype Corsiva" w:hAnsi="Monotype Corsiva" w:cs="Monotype Corsiva"/>
          <w:b/>
          <w:color w:val="auto"/>
          <w:sz w:val="80"/>
        </w:rPr>
        <w:t>Detrík</w:t>
      </w:r>
    </w:p>
    <w:p w:rsidR="00060B7F" w:rsidRDefault="00CA6D8C">
      <w:pPr>
        <w:pStyle w:val="Standard"/>
        <w:spacing w:line="360" w:lineRule="auto"/>
        <w:jc w:val="center"/>
        <w:rPr>
          <w:rFonts w:ascii="Monotype Corsiva" w:eastAsia="Monotype Corsiva" w:hAnsi="Monotype Corsiva" w:cs="Monotype Corsiva"/>
          <w:b/>
          <w:color w:val="auto"/>
          <w:sz w:val="80"/>
        </w:rPr>
      </w:pPr>
      <w:r>
        <w:rPr>
          <w:rFonts w:ascii="Monotype Corsiva" w:eastAsia="Monotype Corsiva" w:hAnsi="Monotype Corsiva" w:cs="Monotype Corsiva"/>
          <w:b/>
          <w:color w:val="auto"/>
          <w:sz w:val="80"/>
        </w:rPr>
        <w:t>za rok 2022</w:t>
      </w:r>
    </w:p>
    <w:p w:rsidR="00060B7F" w:rsidRDefault="00DE5CF4">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 xml:space="preserve">    </w:t>
      </w:r>
    </w:p>
    <w:p w:rsidR="00060B7F" w:rsidRDefault="00DE5CF4">
      <w:pPr>
        <w:pStyle w:val="Standard"/>
        <w:rPr>
          <w:rFonts w:ascii="Times New Roman" w:eastAsia="Times New Roman" w:hAnsi="Times New Roman" w:cs="Times New Roman"/>
          <w:color w:val="auto"/>
          <w:sz w:val="28"/>
        </w:rPr>
      </w:pPr>
      <w:r>
        <w:rPr>
          <w:rFonts w:ascii="Times New Roman" w:eastAsia="Times New Roman" w:hAnsi="Times New Roman" w:cs="Times New Roman"/>
          <w:color w:val="auto"/>
          <w:sz w:val="28"/>
        </w:rPr>
        <w:t xml:space="preserve">  </w:t>
      </w: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060B7F">
      <w:pPr>
        <w:pStyle w:val="Standard"/>
        <w:rPr>
          <w:rFonts w:eastAsia="Calibri" w:cs="Calibri"/>
          <w:color w:val="auto"/>
          <w:sz w:val="22"/>
        </w:rPr>
      </w:pPr>
    </w:p>
    <w:p w:rsidR="00060B7F" w:rsidRDefault="00DE5CF4">
      <w:pPr>
        <w:pStyle w:val="Standard"/>
        <w:rPr>
          <w:rFonts w:ascii="Times New Roman" w:eastAsia="Times New Roman" w:hAnsi="Times New Roman" w:cs="Times New Roman"/>
          <w:color w:val="auto"/>
          <w:sz w:val="28"/>
        </w:rPr>
      </w:pPr>
      <w:r>
        <w:rPr>
          <w:rFonts w:ascii="Times New Roman" w:eastAsia="Times New Roman" w:hAnsi="Times New Roman" w:cs="Times New Roman"/>
          <w:color w:val="auto"/>
          <w:sz w:val="28"/>
        </w:rPr>
        <w:t>Vypracovala: Lešková Beáta                                   Voľanská Ľubica</w:t>
      </w:r>
    </w:p>
    <w:p w:rsidR="00060B7F" w:rsidRDefault="00DE5CF4">
      <w:pPr>
        <w:pStyle w:val="Standard"/>
        <w:rPr>
          <w:rFonts w:ascii="Times New Roman" w:eastAsia="Times New Roman" w:hAnsi="Times New Roman" w:cs="Times New Roman"/>
          <w:color w:val="auto"/>
          <w:sz w:val="28"/>
        </w:rPr>
      </w:pPr>
      <w:r>
        <w:rPr>
          <w:rFonts w:ascii="Times New Roman" w:eastAsia="Times New Roman" w:hAnsi="Times New Roman" w:cs="Times New Roman"/>
          <w:color w:val="auto"/>
          <w:sz w:val="28"/>
        </w:rPr>
        <w:t xml:space="preserve">                                                                                         starosta obce</w:t>
      </w:r>
    </w:p>
    <w:p w:rsidR="00060B7F" w:rsidRDefault="00060B7F">
      <w:pPr>
        <w:pStyle w:val="Standard"/>
        <w:rPr>
          <w:rFonts w:ascii="Times New Roman" w:eastAsia="Times New Roman" w:hAnsi="Times New Roman" w:cs="Times New Roman"/>
          <w:b/>
          <w:color w:val="auto"/>
          <w:sz w:val="30"/>
        </w:rPr>
      </w:pPr>
    </w:p>
    <w:p w:rsidR="00060B7F" w:rsidRDefault="00060B7F">
      <w:pPr>
        <w:pStyle w:val="Standard"/>
        <w:rPr>
          <w:rFonts w:ascii="Times New Roman" w:eastAsia="Times New Roman" w:hAnsi="Times New Roman" w:cs="Times New Roman"/>
          <w:b/>
          <w:color w:val="auto"/>
          <w:sz w:val="30"/>
        </w:rPr>
      </w:pPr>
    </w:p>
    <w:p w:rsidR="00060B7F" w:rsidRDefault="00060B7F">
      <w:pPr>
        <w:pStyle w:val="Standard"/>
        <w:rPr>
          <w:rFonts w:ascii="Times New Roman" w:eastAsia="Times New Roman" w:hAnsi="Times New Roman" w:cs="Times New Roman"/>
          <w:b/>
          <w:color w:val="auto"/>
          <w:sz w:val="30"/>
        </w:rPr>
      </w:pPr>
    </w:p>
    <w:p w:rsidR="00060B7F" w:rsidRDefault="00DE5CF4">
      <w:pPr>
        <w:pStyle w:val="Standard"/>
      </w:pPr>
      <w:r>
        <w:rPr>
          <w:rFonts w:ascii="Times New Roman" w:eastAsia="Times New Roman" w:hAnsi="Times New Roman" w:cs="Times New Roman"/>
          <w:b/>
          <w:color w:val="auto"/>
          <w:sz w:val="30"/>
        </w:rPr>
        <w:lastRenderedPageBreak/>
        <w:t>Identifikačné údaje:</w:t>
      </w:r>
    </w:p>
    <w:p w:rsidR="00060B7F" w:rsidRDefault="00060B7F">
      <w:pPr>
        <w:pStyle w:val="Standard"/>
        <w:jc w:val="both"/>
        <w:rPr>
          <w:rFonts w:eastAsia="Calibri" w:cs="Calibri"/>
          <w:color w:val="auto"/>
          <w:sz w:val="22"/>
        </w:rPr>
      </w:pPr>
    </w:p>
    <w:p w:rsidR="00060B7F" w:rsidRDefault="00DE5CF4">
      <w:pPr>
        <w:pStyle w:val="Standard"/>
        <w:jc w:val="both"/>
      </w:pPr>
      <w:r>
        <w:rPr>
          <w:rFonts w:ascii="Times New Roman" w:eastAsia="Times New Roman" w:hAnsi="Times New Roman" w:cs="Times New Roman"/>
          <w:b/>
          <w:i/>
          <w:color w:val="auto"/>
          <w:sz w:val="26"/>
        </w:rPr>
        <w:t xml:space="preserve">Názov: </w:t>
      </w:r>
      <w:r>
        <w:rPr>
          <w:rFonts w:ascii="Times New Roman" w:eastAsia="Times New Roman" w:hAnsi="Times New Roman" w:cs="Times New Roman"/>
          <w:color w:val="auto"/>
          <w:sz w:val="26"/>
        </w:rPr>
        <w:t>Obec Detrík</w:t>
      </w:r>
    </w:p>
    <w:p w:rsidR="00060B7F" w:rsidRDefault="00DE5CF4">
      <w:pPr>
        <w:pStyle w:val="Standard"/>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 xml:space="preserve">             adresa pre poštový styk: Obecný úrad, 094 31 Detrík 1</w:t>
      </w:r>
    </w:p>
    <w:p w:rsidR="00060B7F" w:rsidRDefault="00DE5CF4">
      <w:pPr>
        <w:pStyle w:val="Standard"/>
        <w:jc w:val="both"/>
      </w:pPr>
      <w:r>
        <w:rPr>
          <w:rFonts w:ascii="Times New Roman" w:eastAsia="Times New Roman" w:hAnsi="Times New Roman" w:cs="Times New Roman"/>
          <w:b/>
          <w:i/>
          <w:color w:val="auto"/>
          <w:sz w:val="26"/>
        </w:rPr>
        <w:t>Tel. a fax:</w:t>
      </w:r>
      <w:r>
        <w:rPr>
          <w:rFonts w:ascii="Times New Roman" w:eastAsia="Times New Roman" w:hAnsi="Times New Roman" w:cs="Times New Roman"/>
          <w:color w:val="auto"/>
          <w:sz w:val="26"/>
        </w:rPr>
        <w:t xml:space="preserve"> 057/4452365</w:t>
      </w:r>
    </w:p>
    <w:p w:rsidR="00060B7F" w:rsidRDefault="00DE5CF4">
      <w:pPr>
        <w:pStyle w:val="Standard"/>
        <w:jc w:val="both"/>
      </w:pPr>
      <w:r>
        <w:rPr>
          <w:rFonts w:ascii="Times New Roman" w:eastAsia="Times New Roman" w:hAnsi="Times New Roman" w:cs="Times New Roman"/>
          <w:b/>
          <w:i/>
          <w:color w:val="auto"/>
          <w:sz w:val="26"/>
        </w:rPr>
        <w:t xml:space="preserve">e-mail: </w:t>
      </w:r>
      <w:hyperlink r:id="rId7" w:history="1">
        <w:r>
          <w:rPr>
            <w:rFonts w:ascii="Times New Roman" w:eastAsia="Times New Roman" w:hAnsi="Times New Roman" w:cs="Times New Roman"/>
            <w:color w:val="0000FF"/>
            <w:sz w:val="26"/>
            <w:u w:val="single"/>
          </w:rPr>
          <w:t>obec.detrik@gmail.com</w:t>
        </w:r>
      </w:hyperlink>
    </w:p>
    <w:p w:rsidR="00060B7F" w:rsidRDefault="00DE5CF4">
      <w:pPr>
        <w:pStyle w:val="Standard"/>
        <w:jc w:val="both"/>
        <w:rPr>
          <w:rFonts w:ascii="Times New Roman" w:eastAsia="Times New Roman" w:hAnsi="Times New Roman" w:cs="Times New Roman"/>
          <w:b/>
          <w:i/>
          <w:color w:val="auto"/>
          <w:sz w:val="26"/>
        </w:rPr>
      </w:pPr>
      <w:r>
        <w:rPr>
          <w:rFonts w:ascii="Times New Roman" w:eastAsia="Times New Roman" w:hAnsi="Times New Roman" w:cs="Times New Roman"/>
          <w:b/>
          <w:i/>
          <w:color w:val="auto"/>
          <w:sz w:val="26"/>
        </w:rPr>
        <w:t>Okres: Vranov nad Topľou</w:t>
      </w:r>
    </w:p>
    <w:p w:rsidR="00060B7F" w:rsidRDefault="00DE5CF4">
      <w:pPr>
        <w:pStyle w:val="Standard"/>
        <w:jc w:val="both"/>
      </w:pPr>
      <w:r>
        <w:rPr>
          <w:rFonts w:ascii="Times New Roman" w:eastAsia="Times New Roman" w:hAnsi="Times New Roman" w:cs="Times New Roman"/>
          <w:b/>
          <w:i/>
          <w:color w:val="auto"/>
          <w:sz w:val="26"/>
        </w:rPr>
        <w:t>IČO:</w:t>
      </w:r>
      <w:r>
        <w:rPr>
          <w:rFonts w:ascii="Times New Roman" w:eastAsia="Times New Roman" w:hAnsi="Times New Roman" w:cs="Times New Roman"/>
          <w:color w:val="auto"/>
          <w:sz w:val="26"/>
        </w:rPr>
        <w:t xml:space="preserve"> 00332548</w:t>
      </w:r>
    </w:p>
    <w:p w:rsidR="00060B7F" w:rsidRDefault="00DE5CF4">
      <w:pPr>
        <w:pStyle w:val="Standard"/>
        <w:jc w:val="both"/>
      </w:pPr>
      <w:r>
        <w:rPr>
          <w:rFonts w:ascii="Times New Roman" w:eastAsia="Times New Roman" w:hAnsi="Times New Roman" w:cs="Times New Roman"/>
          <w:b/>
          <w:i/>
          <w:color w:val="auto"/>
          <w:sz w:val="26"/>
        </w:rPr>
        <w:t>DIČ:</w:t>
      </w:r>
      <w:r>
        <w:rPr>
          <w:rFonts w:ascii="Times New Roman" w:eastAsia="Times New Roman" w:hAnsi="Times New Roman" w:cs="Times New Roman"/>
          <w:color w:val="auto"/>
          <w:sz w:val="26"/>
        </w:rPr>
        <w:t xml:space="preserve"> 2020640963</w:t>
      </w:r>
    </w:p>
    <w:p w:rsidR="00060B7F" w:rsidRDefault="00DE5CF4">
      <w:pPr>
        <w:pStyle w:val="Standard"/>
        <w:jc w:val="both"/>
      </w:pPr>
      <w:r>
        <w:rPr>
          <w:rFonts w:ascii="Times New Roman" w:eastAsia="Times New Roman" w:hAnsi="Times New Roman" w:cs="Times New Roman"/>
          <w:b/>
          <w:i/>
          <w:color w:val="auto"/>
          <w:sz w:val="26"/>
        </w:rPr>
        <w:t>Právna forma:</w:t>
      </w:r>
      <w:r>
        <w:rPr>
          <w:rFonts w:ascii="Times New Roman" w:eastAsia="Times New Roman" w:hAnsi="Times New Roman" w:cs="Times New Roman"/>
          <w:color w:val="auto"/>
          <w:sz w:val="26"/>
        </w:rPr>
        <w:t xml:space="preserve"> právnická osoba</w:t>
      </w:r>
    </w:p>
    <w:p w:rsidR="00060B7F" w:rsidRDefault="00DE5CF4">
      <w:pPr>
        <w:pStyle w:val="Standard"/>
        <w:jc w:val="both"/>
      </w:pPr>
      <w:r>
        <w:rPr>
          <w:rFonts w:ascii="Times New Roman" w:eastAsia="Times New Roman" w:hAnsi="Times New Roman" w:cs="Times New Roman"/>
          <w:b/>
          <w:i/>
          <w:color w:val="auto"/>
          <w:sz w:val="26"/>
        </w:rPr>
        <w:t>Deň vzniku:</w:t>
      </w:r>
      <w:r>
        <w:rPr>
          <w:rFonts w:ascii="Times New Roman" w:eastAsia="Times New Roman" w:hAnsi="Times New Roman" w:cs="Times New Roman"/>
          <w:color w:val="auto"/>
          <w:sz w:val="26"/>
        </w:rPr>
        <w:t xml:space="preserve"> Obec ako samostatný územný samosprávny a správny celok sa riadi zákonom č. 369/1990 Zb. o obecnom zriadení v znení neskorších zmien a doplnkov a Ústavou SR</w:t>
      </w:r>
    </w:p>
    <w:p w:rsidR="00060B7F" w:rsidRDefault="00DE5CF4">
      <w:pPr>
        <w:pStyle w:val="Standard"/>
        <w:jc w:val="both"/>
      </w:pPr>
      <w:r>
        <w:rPr>
          <w:rFonts w:ascii="Times New Roman" w:eastAsia="Times New Roman" w:hAnsi="Times New Roman" w:cs="Times New Roman"/>
          <w:b/>
          <w:i/>
          <w:color w:val="auto"/>
          <w:sz w:val="26"/>
        </w:rPr>
        <w:t>Rozloha obce:</w:t>
      </w:r>
      <w:r>
        <w:rPr>
          <w:rFonts w:ascii="Times New Roman" w:eastAsia="Times New Roman" w:hAnsi="Times New Roman" w:cs="Times New Roman"/>
          <w:color w:val="auto"/>
          <w:sz w:val="26"/>
        </w:rPr>
        <w:t xml:space="preserve"> 953 ha</w:t>
      </w:r>
    </w:p>
    <w:p w:rsidR="00060B7F" w:rsidRDefault="00DE5CF4">
      <w:pPr>
        <w:pStyle w:val="Standard"/>
        <w:jc w:val="both"/>
      </w:pPr>
      <w:r>
        <w:rPr>
          <w:rFonts w:ascii="Times New Roman" w:eastAsia="Times New Roman" w:hAnsi="Times New Roman" w:cs="Times New Roman"/>
          <w:b/>
          <w:i/>
          <w:color w:val="auto"/>
          <w:sz w:val="26"/>
        </w:rPr>
        <w:t>Počet obyvateľov k 31.12.20</w:t>
      </w:r>
      <w:r w:rsidR="00BB44A2">
        <w:rPr>
          <w:rFonts w:ascii="Times New Roman" w:eastAsia="Times New Roman" w:hAnsi="Times New Roman" w:cs="Times New Roman"/>
          <w:b/>
          <w:i/>
          <w:color w:val="auto"/>
          <w:sz w:val="26"/>
        </w:rPr>
        <w:t>2</w:t>
      </w:r>
      <w:r w:rsidR="00CA6D8C">
        <w:rPr>
          <w:rFonts w:ascii="Times New Roman" w:eastAsia="Times New Roman" w:hAnsi="Times New Roman" w:cs="Times New Roman"/>
          <w:b/>
          <w:i/>
          <w:color w:val="auto"/>
          <w:sz w:val="26"/>
        </w:rPr>
        <w:t>2</w:t>
      </w:r>
      <w:r>
        <w:rPr>
          <w:rFonts w:ascii="Times New Roman" w:eastAsia="Times New Roman" w:hAnsi="Times New Roman" w:cs="Times New Roman"/>
          <w:b/>
          <w:i/>
          <w:color w:val="auto"/>
          <w:sz w:val="26"/>
        </w:rPr>
        <w:t>:</w:t>
      </w:r>
      <w:r>
        <w:rPr>
          <w:rFonts w:ascii="Times New Roman" w:eastAsia="Times New Roman" w:hAnsi="Times New Roman" w:cs="Times New Roman"/>
          <w:color w:val="auto"/>
          <w:sz w:val="26"/>
        </w:rPr>
        <w:t xml:space="preserve"> </w:t>
      </w:r>
      <w:r w:rsidR="00012C9C" w:rsidRPr="00CA6D8C">
        <w:rPr>
          <w:rFonts w:ascii="Times New Roman" w:eastAsia="Times New Roman" w:hAnsi="Times New Roman" w:cs="Times New Roman"/>
          <w:color w:val="C00000"/>
          <w:sz w:val="26"/>
        </w:rPr>
        <w:t>55</w:t>
      </w:r>
    </w:p>
    <w:p w:rsidR="00060B7F" w:rsidRDefault="00060B7F">
      <w:pPr>
        <w:pStyle w:val="Standard"/>
        <w:jc w:val="both"/>
        <w:rPr>
          <w:rFonts w:eastAsia="Calibri" w:cs="Calibri"/>
          <w:color w:val="FF0000"/>
          <w:sz w:val="22"/>
        </w:rPr>
      </w:pPr>
    </w:p>
    <w:tbl>
      <w:tblPr>
        <w:tblW w:w="9074" w:type="dxa"/>
        <w:tblLayout w:type="fixed"/>
        <w:tblCellMar>
          <w:left w:w="10" w:type="dxa"/>
          <w:right w:w="10" w:type="dxa"/>
        </w:tblCellMar>
        <w:tblLook w:val="0000" w:firstRow="0" w:lastRow="0" w:firstColumn="0" w:lastColumn="0" w:noHBand="0" w:noVBand="0"/>
      </w:tblPr>
      <w:tblGrid>
        <w:gridCol w:w="2266"/>
        <w:gridCol w:w="2268"/>
        <w:gridCol w:w="2267"/>
        <w:gridCol w:w="2273"/>
      </w:tblGrid>
      <w:tr w:rsidR="00060B7F">
        <w:tc>
          <w:tcPr>
            <w:tcW w:w="2266" w:type="dxa"/>
            <w:tcBorders>
              <w:top w:val="single" w:sz="2" w:space="0" w:color="000001"/>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b/>
                <w:i/>
                <w:color w:val="FF0000"/>
              </w:rPr>
            </w:pPr>
            <w:r>
              <w:rPr>
                <w:rFonts w:ascii="Times New Roman" w:eastAsia="Times New Roman" w:hAnsi="Times New Roman" w:cs="Times New Roman"/>
                <w:b/>
                <w:i/>
                <w:color w:val="FF0000"/>
              </w:rPr>
              <w:t>Kategória</w:t>
            </w:r>
          </w:p>
        </w:tc>
        <w:tc>
          <w:tcPr>
            <w:tcW w:w="2268" w:type="dxa"/>
            <w:tcBorders>
              <w:top w:val="single" w:sz="2" w:space="0" w:color="000001"/>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b/>
                <w:i/>
                <w:color w:val="FF0000"/>
              </w:rPr>
            </w:pPr>
            <w:r>
              <w:rPr>
                <w:rFonts w:ascii="Times New Roman" w:eastAsia="Times New Roman" w:hAnsi="Times New Roman" w:cs="Times New Roman"/>
                <w:b/>
                <w:i/>
                <w:color w:val="FF0000"/>
              </w:rPr>
              <w:t>Spolu</w:t>
            </w:r>
          </w:p>
        </w:tc>
        <w:tc>
          <w:tcPr>
            <w:tcW w:w="2267" w:type="dxa"/>
            <w:tcBorders>
              <w:top w:val="single" w:sz="2" w:space="0" w:color="000001"/>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b/>
                <w:i/>
                <w:color w:val="FF0000"/>
              </w:rPr>
            </w:pPr>
            <w:r>
              <w:rPr>
                <w:rFonts w:ascii="Times New Roman" w:eastAsia="Times New Roman" w:hAnsi="Times New Roman" w:cs="Times New Roman"/>
                <w:b/>
                <w:i/>
                <w:color w:val="FF0000"/>
              </w:rPr>
              <w:t>Muži</w:t>
            </w:r>
          </w:p>
        </w:tc>
        <w:tc>
          <w:tcPr>
            <w:tcW w:w="2273" w:type="dxa"/>
            <w:tcBorders>
              <w:top w:val="single" w:sz="2" w:space="0" w:color="000001"/>
              <w:left w:val="single" w:sz="2" w:space="0" w:color="000001"/>
              <w:bottom w:val="single" w:sz="2" w:space="0" w:color="000001"/>
              <w:right w:val="single" w:sz="2" w:space="0" w:color="000001"/>
            </w:tcBorders>
            <w:shd w:val="clear" w:color="auto" w:fill="99CC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b/>
                <w:i/>
                <w:color w:val="FF0000"/>
              </w:rPr>
            </w:pPr>
            <w:r>
              <w:rPr>
                <w:rFonts w:ascii="Times New Roman" w:eastAsia="Times New Roman" w:hAnsi="Times New Roman" w:cs="Times New Roman"/>
                <w:b/>
                <w:i/>
                <w:color w:val="FF0000"/>
              </w:rPr>
              <w:t>Ženy</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od 0 – 4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0</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od 4 – 8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2</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od 8 – 15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230E68">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7</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230E68">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4</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3</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od 15 – 18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3</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230E68">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2</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od 18 – 60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30</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12</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04684F">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18</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color w:val="FF0000"/>
              </w:rPr>
            </w:pPr>
            <w:r>
              <w:rPr>
                <w:rFonts w:ascii="Times New Roman" w:eastAsia="Times New Roman" w:hAnsi="Times New Roman" w:cs="Times New Roman"/>
                <w:color w:val="FF0000"/>
              </w:rPr>
              <w:t>Vek nad 60 rokov</w:t>
            </w:r>
          </w:p>
        </w:tc>
        <w:tc>
          <w:tcPr>
            <w:tcW w:w="2268"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DE5CF4">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12</w:t>
            </w:r>
          </w:p>
        </w:tc>
        <w:tc>
          <w:tcPr>
            <w:tcW w:w="2267" w:type="dxa"/>
            <w:tcBorders>
              <w:top w:val="single" w:sz="2" w:space="0" w:color="000000"/>
              <w:left w:val="single" w:sz="2" w:space="0" w:color="000001"/>
              <w:bottom w:val="single" w:sz="2" w:space="0" w:color="000001"/>
              <w:right w:val="single" w:sz="2" w:space="0" w:color="000000"/>
            </w:tcBorders>
            <w:shd w:val="clear" w:color="auto" w:fill="FFFFFF"/>
            <w:tcMar>
              <w:top w:w="0" w:type="dxa"/>
              <w:left w:w="55" w:type="dxa"/>
              <w:bottom w:w="0" w:type="dxa"/>
              <w:right w:w="55" w:type="dxa"/>
            </w:tcMar>
          </w:tcPr>
          <w:p w:rsidR="00060B7F" w:rsidRDefault="0004684F">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4</w:t>
            </w:r>
          </w:p>
        </w:tc>
        <w:tc>
          <w:tcPr>
            <w:tcW w:w="2273" w:type="dxa"/>
            <w:tcBorders>
              <w:top w:val="single" w:sz="2" w:space="0" w:color="000000"/>
              <w:left w:val="single" w:sz="2" w:space="0" w:color="000001"/>
              <w:bottom w:val="single" w:sz="2" w:space="0" w:color="000001"/>
              <w:right w:val="single" w:sz="2" w:space="0" w:color="000001"/>
            </w:tcBorders>
            <w:shd w:val="clear" w:color="auto" w:fill="FFFFFF"/>
            <w:tcMar>
              <w:top w:w="0" w:type="dxa"/>
              <w:left w:w="55" w:type="dxa"/>
              <w:bottom w:w="0" w:type="dxa"/>
              <w:right w:w="55" w:type="dxa"/>
            </w:tcMar>
          </w:tcPr>
          <w:p w:rsidR="00060B7F" w:rsidRDefault="0004684F">
            <w:pPr>
              <w:pStyle w:val="Standard"/>
              <w:jc w:val="center"/>
              <w:rPr>
                <w:rFonts w:ascii="Times New Roman" w:eastAsia="Times New Roman" w:hAnsi="Times New Roman" w:cs="Times New Roman"/>
                <w:color w:val="FF0000"/>
              </w:rPr>
            </w:pPr>
            <w:r>
              <w:rPr>
                <w:rFonts w:ascii="Times New Roman" w:eastAsia="Times New Roman" w:hAnsi="Times New Roman" w:cs="Times New Roman"/>
                <w:color w:val="FF0000"/>
              </w:rPr>
              <w:t>8</w:t>
            </w:r>
          </w:p>
        </w:tc>
      </w:tr>
      <w:tr w:rsidR="00060B7F">
        <w:tc>
          <w:tcPr>
            <w:tcW w:w="2266" w:type="dxa"/>
            <w:tcBorders>
              <w:top w:val="single" w:sz="2" w:space="0" w:color="000000"/>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DE5CF4">
            <w:pPr>
              <w:pStyle w:val="Standard"/>
              <w:jc w:val="both"/>
              <w:rPr>
                <w:rFonts w:ascii="Times New Roman" w:eastAsia="Times New Roman" w:hAnsi="Times New Roman" w:cs="Times New Roman"/>
                <w:b/>
                <w:color w:val="FF0000"/>
              </w:rPr>
            </w:pPr>
            <w:r>
              <w:rPr>
                <w:rFonts w:ascii="Times New Roman" w:eastAsia="Times New Roman" w:hAnsi="Times New Roman" w:cs="Times New Roman"/>
                <w:b/>
                <w:color w:val="FF0000"/>
              </w:rPr>
              <w:t>Spolu</w:t>
            </w:r>
          </w:p>
        </w:tc>
        <w:tc>
          <w:tcPr>
            <w:tcW w:w="2268" w:type="dxa"/>
            <w:tcBorders>
              <w:top w:val="single" w:sz="2" w:space="0" w:color="000000"/>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55</w:t>
            </w:r>
          </w:p>
        </w:tc>
        <w:tc>
          <w:tcPr>
            <w:tcW w:w="2267" w:type="dxa"/>
            <w:tcBorders>
              <w:top w:val="single" w:sz="2" w:space="0" w:color="000000"/>
              <w:left w:val="single" w:sz="2" w:space="0" w:color="000001"/>
              <w:bottom w:val="single" w:sz="2" w:space="0" w:color="000001"/>
              <w:right w:val="single" w:sz="2" w:space="0" w:color="000000"/>
            </w:tcBorders>
            <w:shd w:val="clear" w:color="auto" w:fill="99CC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22</w:t>
            </w:r>
          </w:p>
        </w:tc>
        <w:tc>
          <w:tcPr>
            <w:tcW w:w="2273" w:type="dxa"/>
            <w:tcBorders>
              <w:top w:val="single" w:sz="2" w:space="0" w:color="000000"/>
              <w:left w:val="single" w:sz="2" w:space="0" w:color="000001"/>
              <w:bottom w:val="single" w:sz="2" w:space="0" w:color="000001"/>
              <w:right w:val="single" w:sz="2" w:space="0" w:color="000001"/>
            </w:tcBorders>
            <w:shd w:val="clear" w:color="auto" w:fill="99CCFF"/>
            <w:tcMar>
              <w:top w:w="0" w:type="dxa"/>
              <w:left w:w="55" w:type="dxa"/>
              <w:bottom w:w="0" w:type="dxa"/>
              <w:right w:w="55" w:type="dxa"/>
            </w:tcMar>
          </w:tcPr>
          <w:p w:rsidR="00060B7F" w:rsidRDefault="00012C9C">
            <w:pPr>
              <w:pStyle w:val="Standard"/>
              <w:jc w:val="center"/>
              <w:rPr>
                <w:rFonts w:ascii="Times New Roman" w:eastAsia="Times New Roman" w:hAnsi="Times New Roman" w:cs="Times New Roman"/>
                <w:b/>
                <w:color w:val="FF0000"/>
              </w:rPr>
            </w:pPr>
            <w:r>
              <w:rPr>
                <w:rFonts w:ascii="Times New Roman" w:eastAsia="Times New Roman" w:hAnsi="Times New Roman" w:cs="Times New Roman"/>
                <w:b/>
                <w:color w:val="FF0000"/>
              </w:rPr>
              <w:t>33</w:t>
            </w:r>
          </w:p>
        </w:tc>
      </w:tr>
    </w:tbl>
    <w:p w:rsidR="00060B7F" w:rsidRDefault="00060B7F">
      <w:pPr>
        <w:pStyle w:val="Standard"/>
        <w:jc w:val="both"/>
        <w:rPr>
          <w:rFonts w:eastAsia="Calibri" w:cs="Calibri"/>
          <w:color w:val="auto"/>
          <w:sz w:val="22"/>
        </w:rPr>
      </w:pPr>
    </w:p>
    <w:p w:rsidR="00060B7F" w:rsidRDefault="00DE5CF4">
      <w:pPr>
        <w:pStyle w:val="Standard"/>
        <w:numPr>
          <w:ilvl w:val="0"/>
          <w:numId w:val="3"/>
        </w:numPr>
        <w:ind w:left="-360" w:firstLine="360"/>
        <w:jc w:val="both"/>
        <w:rPr>
          <w:rFonts w:ascii="Times New Roman" w:eastAsia="Times New Roman" w:hAnsi="Times New Roman" w:cs="Times New Roman"/>
          <w:b/>
          <w:color w:val="auto"/>
          <w:sz w:val="26"/>
        </w:rPr>
      </w:pPr>
      <w:r>
        <w:rPr>
          <w:rFonts w:ascii="Times New Roman" w:eastAsia="Times New Roman" w:hAnsi="Times New Roman" w:cs="Times New Roman"/>
          <w:b/>
          <w:color w:val="auto"/>
          <w:sz w:val="26"/>
        </w:rPr>
        <w:t>Základné orgány obce</w:t>
      </w:r>
    </w:p>
    <w:p w:rsidR="00060B7F" w:rsidRDefault="00060B7F">
      <w:pPr>
        <w:pStyle w:val="Standard"/>
        <w:rPr>
          <w:rFonts w:eastAsia="Calibri" w:cs="Calibri"/>
          <w:color w:val="auto"/>
          <w:sz w:val="22"/>
        </w:rPr>
      </w:pPr>
    </w:p>
    <w:p w:rsidR="00060B7F" w:rsidRDefault="00DE5CF4">
      <w:pPr>
        <w:pStyle w:val="Standard"/>
        <w:numPr>
          <w:ilvl w:val="0"/>
          <w:numId w:val="4"/>
        </w:numPr>
        <w:ind w:left="-360" w:firstLine="360"/>
        <w:jc w:val="both"/>
      </w:pPr>
      <w:r>
        <w:rPr>
          <w:rFonts w:ascii="Times New Roman" w:eastAsia="Times New Roman" w:hAnsi="Times New Roman" w:cs="Times New Roman"/>
          <w:color w:val="auto"/>
          <w:sz w:val="26"/>
        </w:rPr>
        <w:t>Obecné zastupiteľstvo</w:t>
      </w:r>
    </w:p>
    <w:p w:rsidR="00060B7F" w:rsidRDefault="00DE5CF4">
      <w:pPr>
        <w:pStyle w:val="Standard"/>
        <w:numPr>
          <w:ilvl w:val="0"/>
          <w:numId w:val="4"/>
        </w:numPr>
        <w:ind w:left="-360" w:firstLine="360"/>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starosta obce</w:t>
      </w:r>
    </w:p>
    <w:p w:rsidR="00060B7F" w:rsidRDefault="00060B7F">
      <w:pPr>
        <w:pStyle w:val="Standard"/>
        <w:jc w:val="both"/>
        <w:rPr>
          <w:rFonts w:eastAsia="Calibri" w:cs="Calibri"/>
          <w:color w:val="auto"/>
          <w:sz w:val="22"/>
        </w:rPr>
      </w:pPr>
    </w:p>
    <w:p w:rsidR="00060B7F" w:rsidRDefault="00DE5CF4">
      <w:pPr>
        <w:pStyle w:val="Standard"/>
        <w:jc w:val="both"/>
      </w:pPr>
      <w:r>
        <w:rPr>
          <w:rFonts w:ascii="Times New Roman" w:eastAsia="Times New Roman" w:hAnsi="Times New Roman" w:cs="Times New Roman"/>
          <w:b/>
          <w:i/>
          <w:color w:val="auto"/>
          <w:sz w:val="28"/>
        </w:rPr>
        <w:t>Obecné zastupiteľstvo</w:t>
      </w:r>
      <w:r>
        <w:rPr>
          <w:rFonts w:ascii="Times New Roman" w:eastAsia="Times New Roman" w:hAnsi="Times New Roman" w:cs="Times New Roman"/>
          <w:color w:val="auto"/>
        </w:rPr>
        <w:t xml:space="preserve"> je zastupiteľský zbor zložený z poslancov zvolených v priamych voľbách, ktoré sa konali v roku 20</w:t>
      </w:r>
      <w:r w:rsidR="007F2CAB">
        <w:rPr>
          <w:rFonts w:ascii="Times New Roman" w:eastAsia="Times New Roman" w:hAnsi="Times New Roman" w:cs="Times New Roman"/>
          <w:color w:val="auto"/>
        </w:rPr>
        <w:t>22</w:t>
      </w:r>
      <w:r>
        <w:rPr>
          <w:rFonts w:ascii="Times New Roman" w:eastAsia="Times New Roman" w:hAnsi="Times New Roman" w:cs="Times New Roman"/>
          <w:color w:val="auto"/>
        </w:rPr>
        <w:t xml:space="preserve"> na obdobie 4 rokov v počte 5.</w:t>
      </w:r>
    </w:p>
    <w:p w:rsidR="00060B7F" w:rsidRDefault="00DE5CF4">
      <w:pPr>
        <w:pStyle w:val="Standard"/>
        <w:jc w:val="both"/>
      </w:pPr>
      <w:r>
        <w:rPr>
          <w:rFonts w:ascii="Times New Roman" w:eastAsia="Times New Roman" w:hAnsi="Times New Roman" w:cs="Times New Roman"/>
          <w:color w:val="auto"/>
        </w:rPr>
        <w:t>Poslanci obecného zastupiteľstva:</w:t>
      </w:r>
    </w:p>
    <w:p w:rsidR="00060B7F" w:rsidRDefault="00DE5CF4">
      <w:pPr>
        <w:pStyle w:val="Standard"/>
        <w:numPr>
          <w:ilvl w:val="0"/>
          <w:numId w:val="5"/>
        </w:numPr>
        <w:ind w:left="-360" w:firstLine="360"/>
        <w:jc w:val="both"/>
        <w:rPr>
          <w:rFonts w:ascii="Times New Roman" w:eastAsia="Times New Roman" w:hAnsi="Times New Roman" w:cs="Times New Roman"/>
          <w:color w:val="auto"/>
        </w:rPr>
      </w:pPr>
      <w:r>
        <w:rPr>
          <w:rFonts w:ascii="Times New Roman" w:eastAsia="Times New Roman" w:hAnsi="Times New Roman" w:cs="Times New Roman"/>
          <w:color w:val="auto"/>
        </w:rPr>
        <w:t>Pavliško Vladimír, Detrík 23</w:t>
      </w:r>
    </w:p>
    <w:p w:rsidR="00060B7F" w:rsidRDefault="00DE5CF4">
      <w:pPr>
        <w:pStyle w:val="Standard"/>
        <w:numPr>
          <w:ilvl w:val="0"/>
          <w:numId w:val="5"/>
        </w:numPr>
        <w:ind w:left="-360" w:firstLine="360"/>
        <w:jc w:val="both"/>
        <w:rPr>
          <w:rFonts w:ascii="Times New Roman" w:eastAsia="Times New Roman" w:hAnsi="Times New Roman" w:cs="Times New Roman"/>
          <w:color w:val="auto"/>
        </w:rPr>
      </w:pPr>
      <w:r>
        <w:rPr>
          <w:rFonts w:ascii="Times New Roman" w:eastAsia="Times New Roman" w:hAnsi="Times New Roman" w:cs="Times New Roman"/>
          <w:color w:val="auto"/>
        </w:rPr>
        <w:t>Pavliško Ján, Detrík 23</w:t>
      </w:r>
    </w:p>
    <w:p w:rsidR="00060B7F" w:rsidRDefault="00DE5CF4">
      <w:pPr>
        <w:pStyle w:val="Standard"/>
        <w:numPr>
          <w:ilvl w:val="0"/>
          <w:numId w:val="5"/>
        </w:numPr>
        <w:ind w:left="-360" w:firstLine="360"/>
        <w:jc w:val="both"/>
        <w:rPr>
          <w:rFonts w:ascii="Times New Roman" w:eastAsia="Times New Roman" w:hAnsi="Times New Roman" w:cs="Times New Roman"/>
          <w:color w:val="auto"/>
        </w:rPr>
      </w:pPr>
      <w:r>
        <w:rPr>
          <w:rFonts w:ascii="Times New Roman" w:eastAsia="Times New Roman" w:hAnsi="Times New Roman" w:cs="Times New Roman"/>
          <w:color w:val="auto"/>
        </w:rPr>
        <w:t>Voľanský Martin,Detrík 25</w:t>
      </w:r>
    </w:p>
    <w:p w:rsidR="00060B7F" w:rsidRDefault="00DE5CF4">
      <w:pPr>
        <w:pStyle w:val="Standard"/>
        <w:numPr>
          <w:ilvl w:val="0"/>
          <w:numId w:val="5"/>
        </w:numPr>
        <w:ind w:left="-360" w:firstLine="360"/>
        <w:jc w:val="both"/>
        <w:rPr>
          <w:rFonts w:ascii="Times New Roman" w:eastAsia="Times New Roman" w:hAnsi="Times New Roman" w:cs="Times New Roman"/>
          <w:color w:val="auto"/>
        </w:rPr>
      </w:pPr>
      <w:r>
        <w:rPr>
          <w:rFonts w:ascii="Times New Roman" w:eastAsia="Times New Roman" w:hAnsi="Times New Roman" w:cs="Times New Roman"/>
          <w:color w:val="auto"/>
        </w:rPr>
        <w:t>Janočko Jaroslav,Detrík 30</w:t>
      </w:r>
    </w:p>
    <w:p w:rsidR="00060B7F" w:rsidRDefault="00DE5CF4">
      <w:pPr>
        <w:pStyle w:val="Standard"/>
        <w:numPr>
          <w:ilvl w:val="0"/>
          <w:numId w:val="5"/>
        </w:numPr>
        <w:ind w:left="-360" w:firstLine="360"/>
        <w:jc w:val="both"/>
        <w:rPr>
          <w:rFonts w:ascii="Times New Roman" w:eastAsia="Times New Roman" w:hAnsi="Times New Roman" w:cs="Times New Roman"/>
          <w:color w:val="auto"/>
        </w:rPr>
      </w:pPr>
      <w:r>
        <w:rPr>
          <w:rFonts w:ascii="Times New Roman" w:eastAsia="Times New Roman" w:hAnsi="Times New Roman" w:cs="Times New Roman"/>
          <w:color w:val="auto"/>
        </w:rPr>
        <w:t>Voľanská Monika 15</w:t>
      </w:r>
    </w:p>
    <w:p w:rsidR="00060B7F" w:rsidRDefault="00060B7F">
      <w:pPr>
        <w:pStyle w:val="Standard"/>
        <w:jc w:val="both"/>
        <w:rPr>
          <w:rFonts w:ascii="Times New Roman" w:eastAsia="Times New Roman" w:hAnsi="Times New Roman" w:cs="Times New Roman"/>
          <w:color w:val="auto"/>
        </w:rPr>
      </w:pPr>
    </w:p>
    <w:p w:rsidR="00060B7F" w:rsidRDefault="00DE5CF4">
      <w:pPr>
        <w:pStyle w:val="Standard"/>
        <w:numPr>
          <w:ilvl w:val="0"/>
          <w:numId w:val="5"/>
        </w:numPr>
        <w:ind w:left="-360" w:firstLine="360"/>
        <w:jc w:val="both"/>
        <w:rPr>
          <w:rFonts w:eastAsia="Calibri" w:cs="Calibri"/>
          <w:color w:val="auto"/>
          <w:sz w:val="22"/>
        </w:rPr>
      </w:pPr>
      <w:r>
        <w:rPr>
          <w:rFonts w:eastAsia="Calibri" w:cs="Calibri"/>
          <w:color w:val="auto"/>
          <w:sz w:val="22"/>
        </w:rPr>
        <w:t>zástupca starostu obce Ján Pavliško, Detrík 23</w:t>
      </w:r>
    </w:p>
    <w:p w:rsidR="00060B7F" w:rsidRDefault="00DE5CF4">
      <w:pPr>
        <w:pStyle w:val="Standard"/>
        <w:jc w:val="both"/>
      </w:pPr>
      <w:r>
        <w:rPr>
          <w:rFonts w:ascii="Times New Roman" w:eastAsia="Times New Roman" w:hAnsi="Times New Roman" w:cs="Times New Roman"/>
          <w:color w:val="auto"/>
        </w:rPr>
        <w:t>Obecné zastupiteľstvo rozhodovalo na svojich zasadnutiach o základných otázkach života obce.</w:t>
      </w:r>
      <w:r w:rsidR="00552A83" w:rsidRPr="00552A83">
        <w:rPr>
          <w:rFonts w:ascii="Times New Roman" w:eastAsia="Times New Roman" w:hAnsi="Times New Roman" w:cs="Times New Roman"/>
          <w:color w:val="000000" w:themeColor="text1"/>
        </w:rPr>
        <w:t>.</w:t>
      </w:r>
      <w:r w:rsidR="00552A83">
        <w:rPr>
          <w:rFonts w:ascii="Times New Roman" w:eastAsia="Times New Roman" w:hAnsi="Times New Roman" w:cs="Times New Roman"/>
          <w:color w:val="FFFFFF" w:themeColor="background1"/>
        </w:rPr>
        <w:t>05.4.201</w:t>
      </w:r>
      <w:r w:rsidR="00395AE9" w:rsidRPr="00552A83">
        <w:rPr>
          <w:rFonts w:ascii="Times New Roman" w:eastAsia="Times New Roman" w:hAnsi="Times New Roman" w:cs="Times New Roman"/>
          <w:color w:val="FFFFFF" w:themeColor="background1"/>
        </w:rPr>
        <w:t xml:space="preserve">03.5.2019, 20.8.2019, </w:t>
      </w:r>
      <w:r w:rsidRPr="00552A83">
        <w:rPr>
          <w:rFonts w:ascii="Times New Roman" w:eastAsia="Times New Roman" w:hAnsi="Times New Roman" w:cs="Times New Roman"/>
          <w:color w:val="FFFFFF" w:themeColor="background1"/>
        </w:rPr>
        <w:t xml:space="preserve"> 13.12.2019. </w:t>
      </w:r>
    </w:p>
    <w:p w:rsidR="00060B7F" w:rsidRDefault="00DE5CF4">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 Každé zasadnutie OZ sa konalo v zasadačke obecného úradu.</w:t>
      </w:r>
    </w:p>
    <w:p w:rsidR="00060B7F" w:rsidRDefault="00060B7F">
      <w:pPr>
        <w:pStyle w:val="Standard"/>
        <w:jc w:val="both"/>
        <w:rPr>
          <w:rFonts w:eastAsia="Calibri" w:cs="Calibri"/>
          <w:color w:val="auto"/>
          <w:sz w:val="22"/>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DE5CF4">
      <w:pPr>
        <w:pStyle w:val="Standard"/>
        <w:jc w:val="both"/>
      </w:pPr>
      <w:r>
        <w:rPr>
          <w:rFonts w:ascii="Times New Roman" w:eastAsia="Times New Roman" w:hAnsi="Times New Roman" w:cs="Times New Roman"/>
          <w:b/>
          <w:i/>
          <w:color w:val="auto"/>
          <w:sz w:val="28"/>
        </w:rPr>
        <w:t>Prvá písomná zmienka o obci:</w:t>
      </w:r>
      <w:r>
        <w:rPr>
          <w:rFonts w:ascii="Times New Roman" w:eastAsia="Times New Roman" w:hAnsi="Times New Roman" w:cs="Times New Roman"/>
          <w:b/>
          <w:color w:val="auto"/>
        </w:rPr>
        <w:t xml:space="preserve"> </w:t>
      </w:r>
      <w:r>
        <w:rPr>
          <w:rFonts w:ascii="Times New Roman" w:eastAsia="Times New Roman" w:hAnsi="Times New Roman" w:cs="Times New Roman"/>
          <w:color w:val="auto"/>
        </w:rPr>
        <w:t>z roku 1363</w:t>
      </w:r>
    </w:p>
    <w:p w:rsidR="00060B7F" w:rsidRDefault="00060B7F">
      <w:pPr>
        <w:pStyle w:val="Standard"/>
        <w:rPr>
          <w:rFonts w:ascii="Times New Roman" w:eastAsia="Times New Roman" w:hAnsi="Times New Roman" w:cs="Times New Roman"/>
          <w:color w:val="auto"/>
        </w:rPr>
      </w:pPr>
    </w:p>
    <w:p w:rsidR="00060B7F" w:rsidRDefault="00060B7F">
      <w:pPr>
        <w:pStyle w:val="Standard"/>
        <w:rPr>
          <w:rFonts w:ascii="Times New Roman" w:eastAsia="Times New Roman" w:hAnsi="Times New Roman" w:cs="Times New Roman"/>
          <w:color w:val="auto"/>
        </w:rPr>
      </w:pPr>
    </w:p>
    <w:p w:rsidR="00060B7F" w:rsidRDefault="00060B7F">
      <w:pPr>
        <w:pStyle w:val="Standard"/>
        <w:rPr>
          <w:rFonts w:ascii="Times New Roman" w:eastAsia="Times New Roman" w:hAnsi="Times New Roman" w:cs="Times New Roman"/>
          <w:color w:val="auto"/>
        </w:rPr>
      </w:pPr>
    </w:p>
    <w:p w:rsidR="00060B7F" w:rsidRDefault="00060B7F">
      <w:pPr>
        <w:pStyle w:val="Standard"/>
        <w:rPr>
          <w:rFonts w:ascii="Times New Roman" w:eastAsia="Times New Roman" w:hAnsi="Times New Roman" w:cs="Times New Roman"/>
          <w:b/>
          <w:bCs/>
          <w:i/>
          <w:iCs/>
          <w:color w:val="auto"/>
        </w:rPr>
      </w:pPr>
    </w:p>
    <w:p w:rsidR="00060B7F" w:rsidRDefault="00DE5CF4">
      <w:pPr>
        <w:pStyle w:val="Standard"/>
        <w:rPr>
          <w:rFonts w:ascii="Times New Roman" w:eastAsia="Times New Roman" w:hAnsi="Times New Roman" w:cs="Times New Roman"/>
          <w:b/>
          <w:bCs/>
          <w:i/>
          <w:iCs/>
          <w:color w:val="auto"/>
          <w:sz w:val="28"/>
          <w:szCs w:val="28"/>
        </w:rPr>
      </w:pPr>
      <w:r>
        <w:rPr>
          <w:rFonts w:ascii="Times New Roman" w:eastAsia="Times New Roman" w:hAnsi="Times New Roman" w:cs="Times New Roman"/>
          <w:b/>
          <w:bCs/>
          <w:i/>
          <w:iCs/>
          <w:color w:val="auto"/>
          <w:sz w:val="28"/>
          <w:szCs w:val="28"/>
        </w:rPr>
        <w:t>Zaujímavosti z histórie a súčasnosti obce:</w:t>
      </w:r>
    </w:p>
    <w:p w:rsidR="00060B7F" w:rsidRDefault="00060B7F">
      <w:pPr>
        <w:pStyle w:val="Standard"/>
        <w:rPr>
          <w:rFonts w:ascii="Times New Roman" w:eastAsia="Times New Roman" w:hAnsi="Times New Roman" w:cs="Times New Roman"/>
          <w:color w:val="auto"/>
        </w:rPr>
      </w:pPr>
    </w:p>
    <w:p w:rsidR="00060B7F" w:rsidRDefault="00DE5CF4">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Obec Detrík leží v Nizkych Beskydách západne od vodnej nádrže Veľká Domaša. Obec založili na zákupnom práve.Doložená je z roku 1363. Patrila panstvu Čičava, je v 16.stor. Panstvu hradu Skrabské, neskoršie Bartoryovcom,Czákovcov.</w:t>
      </w:r>
    </w:p>
    <w:p w:rsidR="00060B7F" w:rsidRDefault="00DE5CF4">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V roku 1363 sa už obec spomína pod názvom Dythryhaugasa v roku 1410 Detreh a v roku 1808 ako Detrík.</w:t>
      </w:r>
    </w:p>
    <w:p w:rsidR="00060B7F" w:rsidRDefault="00DE5CF4">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V roku 1493 mala obec 3 usadlosti, v roku 1787- 46 domov a 317 obyvateľov. V roku 1948 mala obec 148 obyvateľov a v roku 1970 – 124 obyvateľov. Obyvatelia sa v minulosti zaoberlai hlavne poľnohospodárstvom,povozníctvom a drevorubáčstvom. Počas SNP v obci pôsobili partizánske skupiny. Rozloha obce je 953 ha. Počet obyvateľov obce k roku 2001 je 52. Celý chotár je hornatý. Jeho povrch tvorí pieskovec a ilovec. Odlesnený je len v okolí obce, inde je nesúvislý les s porastom buka,duba, hrabu a brezy. V obci je grécko-katolícky kostol zachovaný z roku 1808-1812. Obec Detrík leží v blízkosti rekreačnej oblasti Domaša vzdialenej od obce 7 km. Za posledné desaťročie pribudlo 7 nových rekreačných domčekov, neobývané domi boli odpredané a prerobené na rekreačné účely. V obci sa vybudovali aj nové rodinné domy. Aj keď je táto obec veľmi malá ľudia tu radi prichádzajú za oddychom, hubami a lesnými plodmi.</w:t>
      </w:r>
    </w:p>
    <w:p w:rsidR="00060B7F" w:rsidRDefault="00060B7F">
      <w:pPr>
        <w:pStyle w:val="Standard"/>
        <w:rPr>
          <w:rFonts w:eastAsia="Calibri" w:cs="Calibri"/>
          <w:color w:val="auto"/>
          <w:sz w:val="22"/>
        </w:rPr>
      </w:pPr>
    </w:p>
    <w:p w:rsidR="00060B7F" w:rsidRDefault="00060B7F">
      <w:pPr>
        <w:pStyle w:val="Standard"/>
        <w:rPr>
          <w:rFonts w:ascii="Times New Roman" w:eastAsia="Times New Roman" w:hAnsi="Times New Roman" w:cs="Times New Roman"/>
          <w:b/>
          <w:i/>
          <w:color w:val="auto"/>
          <w:sz w:val="28"/>
        </w:rPr>
      </w:pPr>
    </w:p>
    <w:p w:rsidR="00060B7F" w:rsidRDefault="00060B7F">
      <w:pPr>
        <w:pStyle w:val="Standard"/>
        <w:rPr>
          <w:rFonts w:ascii="Times New Roman" w:eastAsia="Times New Roman" w:hAnsi="Times New Roman" w:cs="Times New Roman"/>
          <w:b/>
          <w:i/>
          <w:color w:val="auto"/>
          <w:sz w:val="28"/>
        </w:rPr>
      </w:pPr>
    </w:p>
    <w:p w:rsidR="00060B7F" w:rsidRDefault="00DE5CF4">
      <w:pPr>
        <w:pStyle w:val="Standard"/>
        <w:rPr>
          <w:rFonts w:ascii="Times New Roman" w:eastAsia="Times New Roman" w:hAnsi="Times New Roman" w:cs="Times New Roman"/>
          <w:b/>
          <w:i/>
          <w:color w:val="auto"/>
          <w:sz w:val="28"/>
        </w:rPr>
      </w:pPr>
      <w:r>
        <w:rPr>
          <w:rFonts w:ascii="Times New Roman" w:eastAsia="Times New Roman" w:hAnsi="Times New Roman" w:cs="Times New Roman"/>
          <w:b/>
          <w:i/>
          <w:color w:val="auto"/>
          <w:sz w:val="28"/>
        </w:rPr>
        <w:t>Symboly obce:</w:t>
      </w:r>
    </w:p>
    <w:p w:rsidR="00060B7F" w:rsidRDefault="00DE5CF4">
      <w:pPr>
        <w:pStyle w:val="Standard"/>
        <w:rPr>
          <w:rFonts w:ascii="Times New Roman" w:eastAsia="Times New Roman" w:hAnsi="Times New Roman" w:cs="Times New Roman"/>
          <w:color w:val="auto"/>
          <w:sz w:val="28"/>
        </w:rPr>
      </w:pPr>
      <w:r>
        <w:rPr>
          <w:rFonts w:ascii="Times New Roman" w:eastAsia="Times New Roman" w:hAnsi="Times New Roman" w:cs="Times New Roman"/>
          <w:color w:val="auto"/>
          <w:sz w:val="28"/>
        </w:rPr>
        <w:t xml:space="preserve"> </w:t>
      </w:r>
    </w:p>
    <w:p w:rsidR="00060B7F" w:rsidRDefault="00DE5CF4">
      <w:pPr>
        <w:pStyle w:val="Standard"/>
        <w:rPr>
          <w:rFonts w:ascii="Times New Roman" w:eastAsia="Times New Roman" w:hAnsi="Times New Roman" w:cs="Times New Roman"/>
          <w:color w:val="auto"/>
        </w:rPr>
      </w:pPr>
      <w:r>
        <w:rPr>
          <w:rFonts w:ascii="Times New Roman" w:eastAsia="Times New Roman" w:hAnsi="Times New Roman" w:cs="Times New Roman"/>
          <w:color w:val="auto"/>
        </w:rPr>
        <w:t>Heraldická komisia Ministerstva vnútra Slovenskej republiky prerokovala návrh erbu obce Detrík a odporučila ho na prijatie obecným zastupiteľstvom a na zapísanie do Heraldického registra Slovenskej republiky v tejto dobe:</w:t>
      </w:r>
    </w:p>
    <w:p w:rsidR="00060B7F" w:rsidRDefault="00060B7F">
      <w:pPr>
        <w:pStyle w:val="Standard"/>
        <w:rPr>
          <w:rFonts w:ascii="Times New Roman" w:eastAsia="Times New Roman" w:hAnsi="Times New Roman" w:cs="Times New Roman"/>
          <w:color w:val="auto"/>
        </w:rPr>
      </w:pPr>
    </w:p>
    <w:p w:rsidR="00060B7F" w:rsidRDefault="00DE5CF4">
      <w:pPr>
        <w:pStyle w:val="Standard"/>
        <w:rPr>
          <w:rFonts w:ascii="Times New Roman" w:eastAsia="Times New Roman" w:hAnsi="Times New Roman" w:cs="Times New Roman"/>
          <w:b/>
          <w:bCs/>
          <w:color w:val="auto"/>
        </w:rPr>
      </w:pPr>
      <w:r>
        <w:rPr>
          <w:rFonts w:ascii="Times New Roman" w:eastAsia="Times New Roman" w:hAnsi="Times New Roman" w:cs="Times New Roman"/>
          <w:b/>
          <w:bCs/>
          <w:color w:val="auto"/>
        </w:rPr>
        <w:t>v červenom štíte striebornými retiazkami opatrené zlaté váhy, spočivajúce na hrote strieborného meča so zlatou rukoväťou, postavenou na zlatom kolese, vyrastajúcom zo spodného okraja štítu.</w:t>
      </w:r>
    </w:p>
    <w:p w:rsidR="00060B7F" w:rsidRDefault="00060B7F">
      <w:pPr>
        <w:pStyle w:val="Standard"/>
        <w:rPr>
          <w:rFonts w:ascii="Times New Roman" w:eastAsia="Times New Roman" w:hAnsi="Times New Roman" w:cs="Times New Roman"/>
          <w:b/>
          <w:bCs/>
          <w:color w:val="auto"/>
        </w:rPr>
      </w:pPr>
    </w:p>
    <w:p w:rsidR="00060B7F" w:rsidRDefault="00DE5CF4">
      <w:pPr>
        <w:pStyle w:val="Standard"/>
      </w:pPr>
      <w:r>
        <w:rPr>
          <w:rFonts w:ascii="Times New Roman" w:eastAsia="Times New Roman" w:hAnsi="Times New Roman" w:cs="Times New Roman"/>
          <w:noProof/>
          <w:color w:val="auto"/>
          <w:lang w:val="sk-SK" w:eastAsia="sk-SK" w:bidi="ar-SA"/>
        </w:rPr>
        <w:drawing>
          <wp:anchor distT="0" distB="0" distL="114300" distR="114300" simplePos="0" relativeHeight="251658240" behindDoc="0" locked="0" layoutInCell="1" allowOverlap="1">
            <wp:simplePos x="0" y="0"/>
            <wp:positionH relativeFrom="column">
              <wp:posOffset>231123</wp:posOffset>
            </wp:positionH>
            <wp:positionV relativeFrom="paragraph">
              <wp:posOffset>764639</wp:posOffset>
            </wp:positionV>
            <wp:extent cx="1114918" cy="1438918"/>
            <wp:effectExtent l="0" t="0" r="9032" b="8882"/>
            <wp:wrapTopAndBottom/>
            <wp:docPr id="1" name="obrázky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bright="-50000"/>
                      <a:alphaModFix/>
                    </a:blip>
                    <a:srcRect/>
                    <a:stretch>
                      <a:fillRect/>
                    </a:stretch>
                  </pic:blipFill>
                  <pic:spPr>
                    <a:xfrm>
                      <a:off x="0" y="0"/>
                      <a:ext cx="1114918" cy="1438918"/>
                    </a:xfrm>
                    <a:prstGeom prst="rect">
                      <a:avLst/>
                    </a:prstGeom>
                    <a:noFill/>
                    <a:ln>
                      <a:noFill/>
                      <a:prstDash/>
                    </a:ln>
                  </pic:spPr>
                </pic:pic>
              </a:graphicData>
            </a:graphic>
          </wp:anchor>
        </w:drawing>
      </w:r>
      <w:r>
        <w:rPr>
          <w:rFonts w:ascii="Times New Roman" w:eastAsia="Times New Roman" w:hAnsi="Times New Roman" w:cs="Times New Roman"/>
          <w:color w:val="auto"/>
        </w:rPr>
        <w:t>Vlajka obce Detrík pozostáva z ôsmich pozdĺžných pruhov a vo farbách žltej,bielej,žltej,bielej,žltej,červenej,žltej a červenej. Vlajka má pomer strán 2:3 a ukončená tromi cípmi,t.j. Dvomi zástrihmi, siahajúcimi do tretiny jej listu.</w:t>
      </w:r>
    </w:p>
    <w:p w:rsidR="00060B7F" w:rsidRDefault="00060B7F">
      <w:pPr>
        <w:pStyle w:val="Standard"/>
        <w:rPr>
          <w:rFonts w:ascii="Times New Roman" w:eastAsia="Times New Roman" w:hAnsi="Times New Roman" w:cs="Times New Roman"/>
          <w:color w:val="auto"/>
        </w:rPr>
      </w:pPr>
    </w:p>
    <w:p w:rsidR="00060B7F" w:rsidRDefault="00060B7F">
      <w:pPr>
        <w:pStyle w:val="Standard"/>
        <w:jc w:val="both"/>
        <w:rPr>
          <w:rFonts w:eastAsia="Calibri" w:cs="Calibri"/>
          <w:color w:val="auto"/>
          <w:sz w:val="22"/>
        </w:rPr>
      </w:pPr>
    </w:p>
    <w:p w:rsidR="00060B7F" w:rsidRDefault="00DE5CF4">
      <w:pPr>
        <w:pStyle w:val="Standard"/>
        <w:jc w:val="both"/>
      </w:pPr>
      <w:r>
        <w:rPr>
          <w:rFonts w:ascii="Times New Roman" w:eastAsia="Times New Roman" w:hAnsi="Times New Roman" w:cs="Times New Roman"/>
          <w:b/>
          <w:i/>
          <w:noProof/>
          <w:color w:val="auto"/>
          <w:sz w:val="28"/>
          <w:lang w:val="sk-SK" w:eastAsia="sk-SK" w:bidi="ar-SA"/>
        </w:rPr>
        <w:lastRenderedPageBreak/>
        <w:drawing>
          <wp:anchor distT="0" distB="0" distL="114300" distR="114300" simplePos="0" relativeHeight="251659264" behindDoc="0" locked="0" layoutInCell="1" allowOverlap="1">
            <wp:simplePos x="0" y="0"/>
            <wp:positionH relativeFrom="column">
              <wp:posOffset>135724</wp:posOffset>
            </wp:positionH>
            <wp:positionV relativeFrom="paragraph">
              <wp:posOffset>200162</wp:posOffset>
            </wp:positionV>
            <wp:extent cx="2610355" cy="1735558"/>
            <wp:effectExtent l="0" t="0" r="0" b="0"/>
            <wp:wrapTopAndBottom/>
            <wp:docPr id="2" name="obrázky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bright="-50000"/>
                      <a:alphaModFix/>
                    </a:blip>
                    <a:srcRect/>
                    <a:stretch>
                      <a:fillRect/>
                    </a:stretch>
                  </pic:blipFill>
                  <pic:spPr>
                    <a:xfrm>
                      <a:off x="0" y="0"/>
                      <a:ext cx="2610355" cy="1735558"/>
                    </a:xfrm>
                    <a:prstGeom prst="rect">
                      <a:avLst/>
                    </a:prstGeom>
                    <a:noFill/>
                    <a:ln>
                      <a:noFill/>
                      <a:prstDash/>
                    </a:ln>
                  </pic:spPr>
                </pic:pic>
              </a:graphicData>
            </a:graphic>
          </wp:anchor>
        </w:drawing>
      </w:r>
      <w:r>
        <w:rPr>
          <w:rFonts w:ascii="Times New Roman" w:eastAsia="Times New Roman" w:hAnsi="Times New Roman" w:cs="Times New Roman"/>
          <w:b/>
          <w:i/>
          <w:noProof/>
          <w:color w:val="auto"/>
          <w:sz w:val="28"/>
          <w:lang w:val="sk-SK" w:eastAsia="sk-SK" w:bidi="ar-SA"/>
        </w:rPr>
        <w:drawing>
          <wp:anchor distT="0" distB="0" distL="114300" distR="114300" simplePos="0" relativeHeight="2" behindDoc="0" locked="0" layoutInCell="1" allowOverlap="1">
            <wp:simplePos x="0" y="0"/>
            <wp:positionH relativeFrom="column">
              <wp:posOffset>3406322</wp:posOffset>
            </wp:positionH>
            <wp:positionV relativeFrom="paragraph">
              <wp:posOffset>628558</wp:posOffset>
            </wp:positionV>
            <wp:extent cx="2031842" cy="1523884"/>
            <wp:effectExtent l="0" t="0" r="6508" b="116"/>
            <wp:wrapTopAndBottom/>
            <wp:docPr id="3" name="obrázky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bright="-50000"/>
                      <a:alphaModFix/>
                    </a:blip>
                    <a:srcRect/>
                    <a:stretch>
                      <a:fillRect/>
                    </a:stretch>
                  </pic:blipFill>
                  <pic:spPr>
                    <a:xfrm>
                      <a:off x="0" y="0"/>
                      <a:ext cx="2031842" cy="1523884"/>
                    </a:xfrm>
                    <a:prstGeom prst="rect">
                      <a:avLst/>
                    </a:prstGeom>
                    <a:noFill/>
                    <a:ln>
                      <a:noFill/>
                      <a:prstDash/>
                    </a:ln>
                  </pic:spPr>
                </pic:pic>
              </a:graphicData>
            </a:graphic>
          </wp:anchor>
        </w:drawing>
      </w: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060B7F">
      <w:pPr>
        <w:pStyle w:val="Standard"/>
        <w:jc w:val="both"/>
        <w:rPr>
          <w:rFonts w:ascii="Times New Roman" w:eastAsia="Times New Roman" w:hAnsi="Times New Roman" w:cs="Times New Roman"/>
          <w:b/>
          <w:i/>
          <w:color w:val="auto"/>
          <w:sz w:val="28"/>
        </w:rPr>
      </w:pPr>
    </w:p>
    <w:p w:rsidR="00060B7F" w:rsidRDefault="00DE5CF4">
      <w:pPr>
        <w:pStyle w:val="Standard"/>
        <w:jc w:val="both"/>
      </w:pPr>
      <w:r>
        <w:rPr>
          <w:rFonts w:ascii="Times New Roman" w:eastAsia="Times New Roman" w:hAnsi="Times New Roman" w:cs="Times New Roman"/>
          <w:b/>
          <w:i/>
          <w:color w:val="auto"/>
          <w:sz w:val="28"/>
        </w:rPr>
        <w:t>Obecný úrad</w:t>
      </w:r>
      <w:r>
        <w:rPr>
          <w:rFonts w:ascii="Times New Roman" w:eastAsia="Times New Roman" w:hAnsi="Times New Roman" w:cs="Times New Roman"/>
          <w:color w:val="auto"/>
        </w:rPr>
        <w:t xml:space="preserve"> </w:t>
      </w:r>
      <w:r>
        <w:rPr>
          <w:rFonts w:ascii="Times New Roman" w:eastAsia="Times New Roman" w:hAnsi="Times New Roman" w:cs="Times New Roman"/>
          <w:color w:val="auto"/>
          <w:sz w:val="26"/>
        </w:rPr>
        <w:t>je výkonným orgánom obecného zastupiteľstva a starostu obce, zabezpečuje organizačné a administratívne veci. Prácu obecného úradu organizuje starosta obce</w:t>
      </w:r>
    </w:p>
    <w:p w:rsidR="00060B7F" w:rsidRDefault="00DE5CF4">
      <w:pPr>
        <w:pStyle w:val="Standard"/>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Zamestnanci obecného úradu:</w:t>
      </w:r>
    </w:p>
    <w:p w:rsidR="00060B7F" w:rsidRDefault="00DE5CF4">
      <w:pPr>
        <w:pStyle w:val="Standard"/>
        <w:numPr>
          <w:ilvl w:val="0"/>
          <w:numId w:val="6"/>
        </w:numPr>
        <w:ind w:left="-360" w:firstLine="360"/>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Voľanská Ľubica bytom Detrík – starosta obce, samostatný odborný referent, zamestnaná od 19.12.21998 – náplň práce je určená schváleným pracovným poriadkom</w:t>
      </w:r>
    </w:p>
    <w:p w:rsidR="00060B7F" w:rsidRDefault="00060B7F">
      <w:pPr>
        <w:pStyle w:val="Standard"/>
        <w:numPr>
          <w:ilvl w:val="0"/>
          <w:numId w:val="6"/>
        </w:numPr>
        <w:ind w:left="-360" w:firstLine="360"/>
        <w:jc w:val="both"/>
        <w:rPr>
          <w:rFonts w:ascii="Times New Roman" w:eastAsia="Times New Roman" w:hAnsi="Times New Roman" w:cs="Times New Roman"/>
          <w:color w:val="auto"/>
          <w:sz w:val="26"/>
        </w:rPr>
      </w:pPr>
    </w:p>
    <w:p w:rsidR="00060B7F" w:rsidRDefault="00060B7F">
      <w:pPr>
        <w:pStyle w:val="Standard"/>
        <w:ind w:left="360"/>
        <w:jc w:val="both"/>
        <w:rPr>
          <w:rFonts w:eastAsia="Calibri" w:cs="Calibri"/>
          <w:color w:val="auto"/>
          <w:sz w:val="22"/>
        </w:rPr>
      </w:pPr>
    </w:p>
    <w:p w:rsidR="00060B7F" w:rsidRDefault="00DE5CF4">
      <w:pPr>
        <w:pStyle w:val="Standard"/>
        <w:jc w:val="both"/>
        <w:rPr>
          <w:rFonts w:ascii="Times New Roman" w:eastAsia="Times New Roman" w:hAnsi="Times New Roman" w:cs="Times New Roman"/>
          <w:color w:val="auto"/>
        </w:rPr>
      </w:pPr>
      <w:r>
        <w:rPr>
          <w:rFonts w:ascii="Times New Roman" w:eastAsia="Times New Roman" w:hAnsi="Times New Roman" w:cs="Times New Roman"/>
          <w:color w:val="auto"/>
        </w:rPr>
        <w:t xml:space="preserve">     </w:t>
      </w: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060B7F">
      <w:pPr>
        <w:pStyle w:val="Standard"/>
        <w:jc w:val="both"/>
        <w:rPr>
          <w:rFonts w:ascii="Times New Roman" w:eastAsia="Times New Roman" w:hAnsi="Times New Roman" w:cs="Times New Roman"/>
          <w:color w:val="auto"/>
        </w:rPr>
      </w:pPr>
    </w:p>
    <w:p w:rsidR="00060B7F" w:rsidRDefault="00DE5CF4">
      <w:pPr>
        <w:pStyle w:val="Standard"/>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lastRenderedPageBreak/>
        <w:t>Obec Detrík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060B7F" w:rsidRDefault="00DE5CF4">
      <w:pPr>
        <w:pStyle w:val="Standard"/>
        <w:jc w:val="both"/>
      </w:pPr>
      <w:r>
        <w:rPr>
          <w:rFonts w:ascii="Times New Roman" w:eastAsia="Times New Roman" w:hAnsi="Times New Roman" w:cs="Times New Roman"/>
          <w:color w:val="auto"/>
          <w:sz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w:t>
      </w:r>
    </w:p>
    <w:p w:rsidR="00060B7F" w:rsidRDefault="00DE5CF4">
      <w:pPr>
        <w:pStyle w:val="Standard"/>
        <w:jc w:val="both"/>
      </w:pPr>
      <w:r>
        <w:rPr>
          <w:rFonts w:ascii="Times New Roman" w:eastAsia="Times New Roman" w:hAnsi="Times New Roman" w:cs="Times New Roman"/>
          <w:color w:val="auto"/>
          <w:sz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60B7F" w:rsidRDefault="00DE5CF4">
      <w:pPr>
        <w:pStyle w:val="Standard"/>
        <w:jc w:val="both"/>
      </w:pPr>
      <w:r>
        <w:rPr>
          <w:rFonts w:ascii="Times New Roman" w:eastAsia="Times New Roman" w:hAnsi="Times New Roman" w:cs="Times New Roman"/>
          <w:color w:val="auto"/>
          <w:sz w:val="26"/>
        </w:rPr>
        <w:t xml:space="preserve">     Podiely na daniach v správe štátu upravuje zákon č. 564/2004 Z.z. o rozpočtovom určení výnosu dane z príjmov územnej samospráve a o zmene a doplnení niektorých zákonov.</w:t>
      </w:r>
    </w:p>
    <w:p w:rsidR="00060B7F" w:rsidRDefault="00DE5CF4">
      <w:pPr>
        <w:pStyle w:val="Standard"/>
        <w:jc w:val="both"/>
      </w:pPr>
      <w:r>
        <w:rPr>
          <w:rFonts w:ascii="Times New Roman" w:eastAsia="Times New Roman" w:hAnsi="Times New Roman" w:cs="Times New Roman"/>
          <w:color w:val="auto"/>
          <w:sz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60B7F" w:rsidRDefault="00DE5CF4">
      <w:pPr>
        <w:pStyle w:val="Standard"/>
        <w:jc w:val="both"/>
      </w:pPr>
      <w:r>
        <w:rPr>
          <w:rFonts w:ascii="Times New Roman" w:eastAsia="Times New Roman" w:hAnsi="Times New Roman" w:cs="Times New Roman"/>
          <w:color w:val="auto"/>
          <w:sz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60B7F" w:rsidRDefault="00DE5CF4">
      <w:pPr>
        <w:pStyle w:val="Standard"/>
        <w:jc w:val="both"/>
      </w:pPr>
      <w:r>
        <w:rPr>
          <w:rFonts w:ascii="Times New Roman" w:eastAsia="Times New Roman" w:hAnsi="Times New Roman" w:cs="Times New Roman"/>
          <w:color w:val="auto"/>
          <w:sz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rFonts w:ascii="Times New Roman" w:eastAsia="Times New Roman" w:hAnsi="Times New Roman" w:cs="Times New Roman"/>
          <w:color w:val="auto"/>
          <w:sz w:val="26"/>
        </w:rPr>
        <w:tab/>
      </w:r>
    </w:p>
    <w:p w:rsidR="00060B7F" w:rsidRDefault="00DE5CF4">
      <w:pPr>
        <w:pStyle w:val="Standard"/>
        <w:jc w:val="both"/>
      </w:pPr>
      <w:r>
        <w:rPr>
          <w:rFonts w:ascii="Times New Roman" w:eastAsia="Times New Roman" w:hAnsi="Times New Roman" w:cs="Times New Roman"/>
          <w:color w:val="auto"/>
        </w:rPr>
        <w:t xml:space="preserve">   </w:t>
      </w:r>
      <w:r>
        <w:rPr>
          <w:rFonts w:ascii="Times New Roman" w:eastAsia="Times New Roman" w:hAnsi="Times New Roman" w:cs="Times New Roman"/>
          <w:color w:val="auto"/>
          <w:sz w:val="26"/>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060B7F" w:rsidRDefault="00DE5CF4">
      <w:pPr>
        <w:pStyle w:val="Standard"/>
        <w:jc w:val="both"/>
      </w:pPr>
      <w:r>
        <w:rPr>
          <w:rFonts w:ascii="Times New Roman" w:eastAsia="Times New Roman" w:hAnsi="Times New Roman" w:cs="Times New Roman"/>
          <w:color w:val="auto"/>
        </w:rPr>
        <w:t xml:space="preserve">     Ú</w:t>
      </w:r>
      <w:r>
        <w:rPr>
          <w:rFonts w:ascii="Times New Roman" w:eastAsia="Times New Roman" w:hAnsi="Times New Roman" w:cs="Times New Roman"/>
          <w:color w:val="auto"/>
          <w:sz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60B7F" w:rsidRDefault="00DE5CF4">
      <w:pPr>
        <w:pStyle w:val="Standard"/>
        <w:jc w:val="both"/>
      </w:pPr>
      <w:r>
        <w:rPr>
          <w:rFonts w:ascii="Times New Roman" w:eastAsia="Times New Roman" w:hAnsi="Times New Roman" w:cs="Times New Roman"/>
          <w:color w:val="auto"/>
          <w:sz w:val="26"/>
        </w:rPr>
        <w:t xml:space="preserve">     Cieľom účtovnej závierky je poskytnúť verný a pravdivý obraz o účtovnej závierke. Informácie v účtovnej závierke sú užitočné, ak sú posudzované z hľadiska významnosti, </w:t>
      </w:r>
      <w:r>
        <w:rPr>
          <w:rFonts w:ascii="Times New Roman" w:eastAsia="Times New Roman" w:hAnsi="Times New Roman" w:cs="Times New Roman"/>
          <w:color w:val="auto"/>
          <w:sz w:val="26"/>
        </w:rPr>
        <w:lastRenderedPageBreak/>
        <w:t>zrozumiteľné, porovnateľné a spoľahlivé.</w:t>
      </w:r>
    </w:p>
    <w:p w:rsidR="00060B7F" w:rsidRDefault="00DE5CF4">
      <w:pPr>
        <w:pStyle w:val="Standard"/>
        <w:jc w:val="both"/>
      </w:pPr>
      <w:r>
        <w:rPr>
          <w:rFonts w:ascii="Times New Roman" w:eastAsia="Times New Roman" w:hAnsi="Times New Roman" w:cs="Times New Roman"/>
          <w:color w:val="auto"/>
          <w:sz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60B7F" w:rsidRDefault="00DE5CF4">
      <w:pPr>
        <w:pStyle w:val="Standard"/>
        <w:jc w:val="both"/>
      </w:pPr>
      <w:r>
        <w:rPr>
          <w:rFonts w:ascii="Times New Roman" w:eastAsia="Times New Roman" w:hAnsi="Times New Roman" w:cs="Times New Roman"/>
          <w:color w:val="auto"/>
          <w:sz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60B7F" w:rsidRDefault="00DE5CF4">
      <w:pPr>
        <w:pStyle w:val="Standard"/>
        <w:jc w:val="both"/>
      </w:pPr>
      <w:r>
        <w:rPr>
          <w:rFonts w:ascii="Times New Roman" w:eastAsia="Times New Roman" w:hAnsi="Times New Roman" w:cs="Times New Roman"/>
          <w:color w:val="auto"/>
          <w:sz w:val="26"/>
        </w:rPr>
        <w:t>Prípravné práce sa  uskutočnili pred uzavretím účtovných kníh a zahŕňali tieto okruhy činností:</w:t>
      </w:r>
    </w:p>
    <w:p w:rsidR="00060B7F" w:rsidRDefault="00DE5CF4">
      <w:pPr>
        <w:pStyle w:val="Standard"/>
        <w:numPr>
          <w:ilvl w:val="0"/>
          <w:numId w:val="7"/>
        </w:numPr>
        <w:ind w:left="-360" w:firstLine="360"/>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 inventarizáciu,</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kontrolu bilančnej kontinuity,</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kontrolu nadväznosti analytických účtov a analytickej evidencie na syntetické účty,</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zaúčtovanie účtovných prípadov na účtoch, ktoré nesmú mať konečný zostatok,</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kontrolu účtu výsledku hospodárenia,</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kontrola zaúčtovania odpisov,</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doúčtovanie účtovných prípadov bežného účtovného obdobia,</w:t>
      </w:r>
    </w:p>
    <w:p w:rsidR="00060B7F" w:rsidRDefault="00DE5CF4">
      <w:pPr>
        <w:pStyle w:val="Standard"/>
        <w:numPr>
          <w:ilvl w:val="0"/>
          <w:numId w:val="7"/>
        </w:numPr>
        <w:ind w:left="-360" w:firstLine="360"/>
        <w:jc w:val="both"/>
      </w:pPr>
      <w:r>
        <w:rPr>
          <w:rFonts w:ascii="Times New Roman" w:eastAsia="Times New Roman" w:hAnsi="Times New Roman" w:cs="Times New Roman"/>
          <w:color w:val="auto"/>
          <w:sz w:val="26"/>
        </w:rPr>
        <w:t>- kontrolu formálnej správnosti účtovných zápisov.</w:t>
      </w:r>
    </w:p>
    <w:p w:rsidR="00060B7F" w:rsidRDefault="00060B7F">
      <w:pPr>
        <w:pStyle w:val="Standard"/>
        <w:jc w:val="both"/>
        <w:rPr>
          <w:rFonts w:eastAsia="Calibri" w:cs="Calibri"/>
          <w:color w:val="auto"/>
          <w:sz w:val="22"/>
        </w:rPr>
      </w:pPr>
    </w:p>
    <w:p w:rsidR="00060B7F" w:rsidRDefault="00DE5CF4">
      <w:pPr>
        <w:pStyle w:val="Standard"/>
        <w:jc w:val="both"/>
      </w:pPr>
      <w:r>
        <w:rPr>
          <w:rFonts w:ascii="Times New Roman" w:eastAsia="Times New Roman" w:hAnsi="Times New Roman" w:cs="Times New Roman"/>
          <w:color w:val="auto"/>
          <w:sz w:val="26"/>
        </w:rPr>
        <w:t>Pri uzatváraní účtovných kníh obec postupuje nasledovne:</w:t>
      </w:r>
    </w:p>
    <w:p w:rsidR="00060B7F" w:rsidRDefault="00DE5CF4">
      <w:pPr>
        <w:pStyle w:val="Standard"/>
        <w:numPr>
          <w:ilvl w:val="0"/>
          <w:numId w:val="8"/>
        </w:numPr>
        <w:ind w:left="-360" w:firstLine="360"/>
        <w:jc w:val="both"/>
      </w:pPr>
      <w:r>
        <w:rPr>
          <w:rFonts w:ascii="Times New Roman" w:eastAsia="Times New Roman" w:hAnsi="Times New Roman" w:cs="Times New Roman"/>
          <w:color w:val="auto"/>
          <w:sz w:val="26"/>
        </w:rPr>
        <w:t>- zisťujú sa obraty jednotlivých účtov,</w:t>
      </w:r>
    </w:p>
    <w:p w:rsidR="00060B7F" w:rsidRDefault="00DE5CF4">
      <w:pPr>
        <w:pStyle w:val="Standard"/>
        <w:numPr>
          <w:ilvl w:val="0"/>
          <w:numId w:val="8"/>
        </w:numPr>
        <w:ind w:left="-360" w:firstLine="360"/>
        <w:jc w:val="both"/>
      </w:pPr>
      <w:r>
        <w:rPr>
          <w:rFonts w:ascii="Times New Roman" w:eastAsia="Times New Roman" w:hAnsi="Times New Roman" w:cs="Times New Roman"/>
          <w:color w:val="auto"/>
          <w:sz w:val="26"/>
        </w:rPr>
        <w:t>- zisťujú sa konečné stavy účtov prostriedkov a zdrojov rozpočtového hospodárenia,</w:t>
      </w:r>
    </w:p>
    <w:p w:rsidR="00060B7F" w:rsidRDefault="00DE5CF4">
      <w:pPr>
        <w:pStyle w:val="Standard"/>
        <w:numPr>
          <w:ilvl w:val="0"/>
          <w:numId w:val="8"/>
        </w:numPr>
        <w:ind w:left="-360" w:firstLine="360"/>
        <w:jc w:val="both"/>
      </w:pPr>
      <w:r>
        <w:rPr>
          <w:rFonts w:ascii="Times New Roman" w:eastAsia="Times New Roman" w:hAnsi="Times New Roman" w:cs="Times New Roman"/>
          <w:color w:val="auto"/>
          <w:sz w:val="26"/>
        </w:rPr>
        <w:t>- zisťuje sa účtovný výsledok hospodárenia za účtovné obdobie</w:t>
      </w:r>
    </w:p>
    <w:p w:rsidR="00060B7F" w:rsidRDefault="00060B7F">
      <w:pPr>
        <w:pStyle w:val="Standard"/>
        <w:jc w:val="both"/>
        <w:rPr>
          <w:rFonts w:eastAsia="Calibri" w:cs="Calibri"/>
          <w:color w:val="auto"/>
          <w:sz w:val="22"/>
        </w:rPr>
      </w:pPr>
    </w:p>
    <w:p w:rsidR="00060B7F" w:rsidRDefault="00DE5CF4">
      <w:pPr>
        <w:pStyle w:val="Standard"/>
        <w:jc w:val="both"/>
        <w:rPr>
          <w:rFonts w:ascii="Times New Roman" w:eastAsia="Times New Roman" w:hAnsi="Times New Roman" w:cs="Times New Roman"/>
          <w:color w:val="auto"/>
          <w:sz w:val="26"/>
        </w:rPr>
      </w:pPr>
      <w:r>
        <w:rPr>
          <w:rFonts w:ascii="Times New Roman" w:eastAsia="Times New Roman" w:hAnsi="Times New Roman" w:cs="Times New Roman"/>
          <w:color w:val="auto"/>
          <w:sz w:val="26"/>
        </w:rPr>
        <w:t>Obec Detrík od 1.1.2009 účtovala v mene euro.</w:t>
      </w: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060B7F">
      <w:pPr>
        <w:pStyle w:val="Standard"/>
        <w:spacing w:before="240" w:after="60"/>
        <w:ind w:left="-360" w:firstLine="360"/>
        <w:rPr>
          <w:rFonts w:ascii="Times New Roman" w:eastAsia="Times New Roman" w:hAnsi="Times New Roman" w:cs="Times New Roman"/>
          <w:b/>
          <w:i/>
          <w:color w:val="auto"/>
          <w:sz w:val="28"/>
        </w:rPr>
      </w:pPr>
    </w:p>
    <w:p w:rsidR="00060B7F" w:rsidRDefault="00DE5CF4">
      <w:pPr>
        <w:pStyle w:val="Standard"/>
        <w:numPr>
          <w:ilvl w:val="0"/>
          <w:numId w:val="9"/>
        </w:numPr>
        <w:spacing w:before="240" w:after="60"/>
        <w:ind w:left="-360" w:firstLine="360"/>
        <w:rPr>
          <w:rFonts w:ascii="Times New Roman" w:eastAsia="Times New Roman" w:hAnsi="Times New Roman" w:cs="Times New Roman"/>
          <w:b/>
          <w:i/>
          <w:color w:val="auto"/>
          <w:sz w:val="28"/>
        </w:rPr>
      </w:pPr>
      <w:r>
        <w:rPr>
          <w:rFonts w:ascii="Times New Roman" w:eastAsia="Times New Roman" w:hAnsi="Times New Roman" w:cs="Times New Roman"/>
          <w:b/>
          <w:i/>
          <w:color w:val="auto"/>
          <w:sz w:val="28"/>
        </w:rPr>
        <w:t>Inštitúcie v obci - žiadne</w:t>
      </w:r>
    </w:p>
    <w:p w:rsidR="00060B7F" w:rsidRDefault="00060B7F">
      <w:pPr>
        <w:pStyle w:val="Standard"/>
        <w:spacing w:before="240" w:after="60"/>
        <w:rPr>
          <w:rFonts w:ascii="Times New Roman" w:eastAsia="Times New Roman" w:hAnsi="Times New Roman" w:cs="Times New Roman"/>
          <w:b/>
          <w:i/>
          <w:color w:val="auto"/>
          <w:sz w:val="26"/>
        </w:rPr>
      </w:pPr>
    </w:p>
    <w:p w:rsidR="0091212A" w:rsidRDefault="0091212A" w:rsidP="0091212A">
      <w:pPr>
        <w:pStyle w:val="Standard"/>
        <w:rPr>
          <w:b/>
          <w:bCs/>
          <w:sz w:val="28"/>
          <w:szCs w:val="28"/>
        </w:rPr>
      </w:pPr>
      <w:r>
        <w:rPr>
          <w:b/>
          <w:bCs/>
          <w:sz w:val="28"/>
          <w:szCs w:val="28"/>
        </w:rPr>
        <w:lastRenderedPageBreak/>
        <w:t>Rozpočet obce v eurách.</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w:t>
      </w:r>
    </w:p>
    <w:tbl>
      <w:tblPr>
        <w:tblW w:w="7234" w:type="dxa"/>
        <w:tblLayout w:type="fixed"/>
        <w:tblCellMar>
          <w:left w:w="10" w:type="dxa"/>
          <w:right w:w="10" w:type="dxa"/>
        </w:tblCellMar>
        <w:tblLook w:val="0000" w:firstRow="0" w:lastRow="0" w:firstColumn="0" w:lastColumn="0" w:noHBand="0" w:noVBand="0"/>
      </w:tblPr>
      <w:tblGrid>
        <w:gridCol w:w="4785"/>
        <w:gridCol w:w="2449"/>
      </w:tblGrid>
      <w:tr w:rsidR="0091212A" w:rsidTr="00457A28">
        <w:tblPrEx>
          <w:tblCellMar>
            <w:top w:w="0" w:type="dxa"/>
            <w:bottom w:w="0" w:type="dxa"/>
          </w:tblCellMar>
        </w:tblPrEx>
        <w:tc>
          <w:tcPr>
            <w:tcW w:w="478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Príjmy celkom</w:t>
            </w:r>
          </w:p>
        </w:tc>
        <w:tc>
          <w:tcPr>
            <w:tcW w:w="244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28 225</w:t>
            </w:r>
          </w:p>
        </w:tc>
      </w:tr>
      <w:tr w:rsidR="0091212A" w:rsidTr="00457A28">
        <w:tblPrEx>
          <w:tblCellMar>
            <w:top w:w="0" w:type="dxa"/>
            <w:bottom w:w="0" w:type="dxa"/>
          </w:tblCellMar>
        </w:tblPrEx>
        <w:tc>
          <w:tcPr>
            <w:tcW w:w="4785"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Výdavky celkom</w:t>
            </w:r>
          </w:p>
        </w:tc>
        <w:tc>
          <w:tcPr>
            <w:tcW w:w="244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28 225</w:t>
            </w:r>
          </w:p>
        </w:tc>
      </w:tr>
    </w:tbl>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rPr>
          <w:b/>
          <w:bCs/>
          <w:sz w:val="28"/>
          <w:szCs w:val="28"/>
        </w:rPr>
      </w:pPr>
    </w:p>
    <w:tbl>
      <w:tblPr>
        <w:tblW w:w="7219" w:type="dxa"/>
        <w:tblLayout w:type="fixed"/>
        <w:tblCellMar>
          <w:left w:w="10" w:type="dxa"/>
          <w:right w:w="10" w:type="dxa"/>
        </w:tblCellMar>
        <w:tblLook w:val="0000" w:firstRow="0" w:lastRow="0" w:firstColumn="0" w:lastColumn="0" w:noHBand="0" w:noVBand="0"/>
      </w:tblPr>
      <w:tblGrid>
        <w:gridCol w:w="4819"/>
        <w:gridCol w:w="2400"/>
      </w:tblGrid>
      <w:tr w:rsidR="0091212A" w:rsidTr="00457A28">
        <w:tblPrEx>
          <w:tblCellMar>
            <w:top w:w="0" w:type="dxa"/>
            <w:bottom w:w="0" w:type="dxa"/>
          </w:tblCellMar>
        </w:tblPrEx>
        <w:tc>
          <w:tcPr>
            <w:tcW w:w="481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Bežné príjmy – upravený rozpočet</w:t>
            </w:r>
          </w:p>
        </w:tc>
        <w:tc>
          <w:tcPr>
            <w:tcW w:w="24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34 983</w:t>
            </w:r>
          </w:p>
        </w:tc>
      </w:tr>
      <w:tr w:rsidR="0091212A" w:rsidTr="00457A28">
        <w:tblPrEx>
          <w:tblCellMar>
            <w:top w:w="0" w:type="dxa"/>
            <w:bottom w:w="0" w:type="dxa"/>
          </w:tblCellMar>
        </w:tblPrEx>
        <w:tc>
          <w:tcPr>
            <w:tcW w:w="48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Bežné výdavky- upravený rozpočet</w:t>
            </w:r>
          </w:p>
        </w:tc>
        <w:tc>
          <w:tcPr>
            <w:tcW w:w="24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38 223</w:t>
            </w:r>
          </w:p>
        </w:tc>
      </w:tr>
    </w:tbl>
    <w:p w:rsidR="0091212A" w:rsidRDefault="0091212A" w:rsidP="0091212A">
      <w:pPr>
        <w:pStyle w:val="Standard"/>
      </w:pPr>
    </w:p>
    <w:p w:rsidR="0091212A" w:rsidRDefault="0091212A" w:rsidP="0091212A">
      <w:pPr>
        <w:pStyle w:val="Standard"/>
        <w:rPr>
          <w:b/>
          <w:bCs/>
          <w:sz w:val="28"/>
          <w:szCs w:val="28"/>
        </w:rPr>
      </w:pPr>
    </w:p>
    <w:p w:rsidR="0091212A" w:rsidRDefault="0091212A" w:rsidP="0091212A">
      <w:pPr>
        <w:pStyle w:val="Standard"/>
        <w:rPr>
          <w:b/>
          <w:bCs/>
          <w:sz w:val="28"/>
          <w:szCs w:val="28"/>
        </w:rPr>
      </w:pPr>
    </w:p>
    <w:tbl>
      <w:tblPr>
        <w:tblW w:w="7219" w:type="dxa"/>
        <w:tblLayout w:type="fixed"/>
        <w:tblCellMar>
          <w:left w:w="10" w:type="dxa"/>
          <w:right w:w="10" w:type="dxa"/>
        </w:tblCellMar>
        <w:tblLook w:val="0000" w:firstRow="0" w:lastRow="0" w:firstColumn="0" w:lastColumn="0" w:noHBand="0" w:noVBand="0"/>
      </w:tblPr>
      <w:tblGrid>
        <w:gridCol w:w="4819"/>
        <w:gridCol w:w="2400"/>
      </w:tblGrid>
      <w:tr w:rsidR="0091212A" w:rsidTr="00457A28">
        <w:tblPrEx>
          <w:tblCellMar>
            <w:top w:w="0" w:type="dxa"/>
            <w:bottom w:w="0" w:type="dxa"/>
          </w:tblCellMar>
        </w:tblPrEx>
        <w:tc>
          <w:tcPr>
            <w:tcW w:w="4819" w:type="dxa"/>
            <w:tcBorders>
              <w:top w:val="single" w:sz="2" w:space="0" w:color="000000"/>
              <w:lef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Bežné príjmy  skutočnosť</w:t>
            </w:r>
          </w:p>
        </w:tc>
        <w:tc>
          <w:tcPr>
            <w:tcW w:w="2400" w:type="dxa"/>
            <w:tcBorders>
              <w:top w:val="single" w:sz="2" w:space="0" w:color="000000"/>
              <w:left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34 396,57</w:t>
            </w:r>
          </w:p>
        </w:tc>
      </w:tr>
      <w:tr w:rsidR="0091212A" w:rsidTr="00457A28">
        <w:tblPrEx>
          <w:tblCellMar>
            <w:top w:w="0" w:type="dxa"/>
            <w:bottom w:w="0" w:type="dxa"/>
          </w:tblCellMar>
        </w:tblPrEx>
        <w:tc>
          <w:tcPr>
            <w:tcW w:w="4819" w:type="dxa"/>
            <w:tcBorders>
              <w:lef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Bežné výdavky skutočnosť</w:t>
            </w:r>
          </w:p>
        </w:tc>
        <w:tc>
          <w:tcPr>
            <w:tcW w:w="2400" w:type="dxa"/>
            <w:tcBorders>
              <w:left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37 278,62</w:t>
            </w:r>
          </w:p>
        </w:tc>
      </w:tr>
      <w:tr w:rsidR="0091212A" w:rsidTr="00457A28">
        <w:tblPrEx>
          <w:tblCellMar>
            <w:top w:w="0" w:type="dxa"/>
            <w:bottom w:w="0" w:type="dxa"/>
          </w:tblCellMar>
        </w:tblPrEx>
        <w:tc>
          <w:tcPr>
            <w:tcW w:w="48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Schodok BR</w:t>
            </w:r>
          </w:p>
        </w:tc>
        <w:tc>
          <w:tcPr>
            <w:tcW w:w="24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2 882,05  </w:t>
            </w:r>
          </w:p>
        </w:tc>
      </w:tr>
    </w:tbl>
    <w:p w:rsidR="0091212A" w:rsidRDefault="0091212A" w:rsidP="0091212A">
      <w:pPr>
        <w:pStyle w:val="Standard"/>
      </w:pPr>
    </w:p>
    <w:p w:rsidR="0091212A" w:rsidRDefault="0091212A" w:rsidP="0091212A">
      <w:pPr>
        <w:pStyle w:val="Standard"/>
        <w:rPr>
          <w:bCs/>
          <w:sz w:val="22"/>
          <w:szCs w:val="22"/>
        </w:rPr>
      </w:pPr>
      <w:r>
        <w:rPr>
          <w:bCs/>
          <w:sz w:val="22"/>
          <w:szCs w:val="22"/>
        </w:rPr>
        <w:t>Celkový rozpočet –príjmy                                               37 632,94</w:t>
      </w:r>
    </w:p>
    <w:p w:rsidR="0091212A" w:rsidRDefault="0091212A" w:rsidP="0091212A">
      <w:pPr>
        <w:pStyle w:val="Standard"/>
        <w:rPr>
          <w:bCs/>
          <w:sz w:val="22"/>
          <w:szCs w:val="22"/>
        </w:rPr>
      </w:pPr>
      <w:r>
        <w:rPr>
          <w:bCs/>
          <w:sz w:val="22"/>
          <w:szCs w:val="22"/>
        </w:rPr>
        <w:t>Celkový rozpočet – výdaje                                              37 278,62</w:t>
      </w:r>
    </w:p>
    <w:p w:rsidR="0091212A" w:rsidRDefault="0091212A" w:rsidP="0091212A">
      <w:pPr>
        <w:pStyle w:val="Standard"/>
        <w:rPr>
          <w:b/>
          <w:bCs/>
          <w:sz w:val="28"/>
          <w:szCs w:val="28"/>
        </w:rPr>
      </w:pPr>
    </w:p>
    <w:tbl>
      <w:tblPr>
        <w:tblW w:w="7219" w:type="dxa"/>
        <w:tblLayout w:type="fixed"/>
        <w:tblCellMar>
          <w:left w:w="10" w:type="dxa"/>
          <w:right w:w="10" w:type="dxa"/>
        </w:tblCellMar>
        <w:tblLook w:val="0000" w:firstRow="0" w:lastRow="0" w:firstColumn="0" w:lastColumn="0" w:noHBand="0" w:noVBand="0"/>
      </w:tblPr>
      <w:tblGrid>
        <w:gridCol w:w="4819"/>
        <w:gridCol w:w="2400"/>
      </w:tblGrid>
      <w:tr w:rsidR="0091212A" w:rsidTr="00457A28">
        <w:tblPrEx>
          <w:tblCellMar>
            <w:top w:w="0" w:type="dxa"/>
            <w:bottom w:w="0" w:type="dxa"/>
          </w:tblCellMar>
        </w:tblPrEx>
        <w:tc>
          <w:tcPr>
            <w:tcW w:w="481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Kapitálové príjmy </w:t>
            </w:r>
          </w:p>
        </w:tc>
        <w:tc>
          <w:tcPr>
            <w:tcW w:w="24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r>
      <w:tr w:rsidR="0091212A" w:rsidTr="00457A28">
        <w:tblPrEx>
          <w:tblCellMar>
            <w:top w:w="0" w:type="dxa"/>
            <w:bottom w:w="0" w:type="dxa"/>
          </w:tblCellMar>
        </w:tblPrEx>
        <w:tc>
          <w:tcPr>
            <w:tcW w:w="48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Kapitálové výdavky</w:t>
            </w:r>
          </w:p>
        </w:tc>
        <w:tc>
          <w:tcPr>
            <w:tcW w:w="24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r>
    </w:tbl>
    <w:p w:rsidR="0091212A" w:rsidRDefault="0091212A" w:rsidP="0091212A">
      <w:pPr>
        <w:pStyle w:val="Standard"/>
      </w:pPr>
      <w:r>
        <w:t xml:space="preserve"> </w:t>
      </w:r>
    </w:p>
    <w:p w:rsidR="0091212A" w:rsidRDefault="0091212A" w:rsidP="0091212A">
      <w:pPr>
        <w:pStyle w:val="Standard"/>
      </w:pPr>
      <w:r>
        <w:t>Použitie RF obce na bežné výdaje                            3 236,37</w:t>
      </w: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2. Rozbor plnenia príjmov za rok 2022 v eurách</w:t>
      </w:r>
    </w:p>
    <w:p w:rsidR="0091212A" w:rsidRDefault="0091212A" w:rsidP="0091212A">
      <w:pPr>
        <w:pStyle w:val="Standard"/>
        <w:rPr>
          <w:b/>
          <w:bCs/>
          <w:sz w:val="28"/>
          <w:szCs w:val="28"/>
        </w:rPr>
      </w:pPr>
    </w:p>
    <w:tbl>
      <w:tblPr>
        <w:tblW w:w="9672" w:type="dxa"/>
        <w:tblLayout w:type="fixed"/>
        <w:tblCellMar>
          <w:left w:w="10" w:type="dxa"/>
          <w:right w:w="10" w:type="dxa"/>
        </w:tblCellMar>
        <w:tblLook w:val="0000" w:firstRow="0" w:lastRow="0" w:firstColumn="0" w:lastColumn="0" w:noHBand="0" w:noVBand="0"/>
      </w:tblPr>
      <w:tblGrid>
        <w:gridCol w:w="3212"/>
        <w:gridCol w:w="3213"/>
        <w:gridCol w:w="3247"/>
      </w:tblGrid>
      <w:tr w:rsidR="0091212A" w:rsidTr="00457A28">
        <w:tblPrEx>
          <w:tblCellMar>
            <w:top w:w="0" w:type="dxa"/>
            <w:bottom w:w="0" w:type="dxa"/>
          </w:tblCellMar>
        </w:tblPrEx>
        <w:tc>
          <w:tcPr>
            <w:tcW w:w="32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Rozpočet na rok 2022</w:t>
            </w:r>
          </w:p>
        </w:tc>
        <w:tc>
          <w:tcPr>
            <w:tcW w:w="32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Skutočnosť k 31.12.2022</w:t>
            </w:r>
          </w:p>
        </w:tc>
        <w:tc>
          <w:tcPr>
            <w:tcW w:w="3247"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%plnenie</w:t>
            </w:r>
          </w:p>
        </w:tc>
      </w:tr>
      <w:tr w:rsidR="0091212A" w:rsidTr="00457A28">
        <w:tblPrEx>
          <w:tblCellMar>
            <w:top w:w="0" w:type="dxa"/>
            <w:bottom w:w="0" w:type="dxa"/>
          </w:tblCellMar>
        </w:tblPrEx>
        <w:tc>
          <w:tcPr>
            <w:tcW w:w="3212"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38 223</w:t>
            </w:r>
          </w:p>
        </w:tc>
        <w:tc>
          <w:tcPr>
            <w:tcW w:w="3213"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37 632,94</w:t>
            </w:r>
          </w:p>
        </w:tc>
        <w:tc>
          <w:tcPr>
            <w:tcW w:w="324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98,46</w:t>
            </w:r>
          </w:p>
        </w:tc>
      </w:tr>
    </w:tbl>
    <w:p w:rsidR="0091212A" w:rsidRDefault="0091212A" w:rsidP="0091212A">
      <w:pPr>
        <w:pStyle w:val="Standard"/>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3. Rozbor plnenia výdavkov za rok 2022 v eurách</w:t>
      </w:r>
    </w:p>
    <w:p w:rsidR="0091212A" w:rsidRDefault="0091212A" w:rsidP="0091212A">
      <w:pPr>
        <w:pStyle w:val="Standard"/>
        <w:rPr>
          <w:b/>
          <w:bCs/>
          <w:sz w:val="28"/>
          <w:szCs w:val="28"/>
        </w:rPr>
      </w:pPr>
    </w:p>
    <w:tbl>
      <w:tblPr>
        <w:tblW w:w="9670" w:type="dxa"/>
        <w:tblLayout w:type="fixed"/>
        <w:tblCellMar>
          <w:left w:w="10" w:type="dxa"/>
          <w:right w:w="10" w:type="dxa"/>
        </w:tblCellMar>
        <w:tblLook w:val="0000" w:firstRow="0" w:lastRow="0" w:firstColumn="0" w:lastColumn="0" w:noHBand="0" w:noVBand="0"/>
      </w:tblPr>
      <w:tblGrid>
        <w:gridCol w:w="3212"/>
        <w:gridCol w:w="3213"/>
        <w:gridCol w:w="3245"/>
      </w:tblGrid>
      <w:tr w:rsidR="0091212A" w:rsidTr="00457A28">
        <w:tblPrEx>
          <w:tblCellMar>
            <w:top w:w="0" w:type="dxa"/>
            <w:bottom w:w="0" w:type="dxa"/>
          </w:tblCellMar>
        </w:tblPrEx>
        <w:tc>
          <w:tcPr>
            <w:tcW w:w="32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Rozpočet na rok 2022</w:t>
            </w:r>
          </w:p>
        </w:tc>
        <w:tc>
          <w:tcPr>
            <w:tcW w:w="32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Skutočnosť k 31.12.2022</w:t>
            </w:r>
          </w:p>
        </w:tc>
        <w:tc>
          <w:tcPr>
            <w:tcW w:w="32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%plnenie</w:t>
            </w:r>
          </w:p>
        </w:tc>
      </w:tr>
      <w:tr w:rsidR="0091212A" w:rsidTr="00457A28">
        <w:tblPrEx>
          <w:tblCellMar>
            <w:top w:w="0" w:type="dxa"/>
            <w:bottom w:w="0" w:type="dxa"/>
          </w:tblCellMar>
        </w:tblPrEx>
        <w:tc>
          <w:tcPr>
            <w:tcW w:w="3212"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38 223</w:t>
            </w:r>
          </w:p>
        </w:tc>
        <w:tc>
          <w:tcPr>
            <w:tcW w:w="3213"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37 278,62</w:t>
            </w:r>
          </w:p>
        </w:tc>
        <w:tc>
          <w:tcPr>
            <w:tcW w:w="32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97,53</w:t>
            </w:r>
          </w:p>
        </w:tc>
      </w:tr>
    </w:tbl>
    <w:p w:rsidR="0091212A" w:rsidRDefault="0091212A" w:rsidP="0091212A">
      <w:pPr>
        <w:pStyle w:val="Standard"/>
      </w:pPr>
    </w:p>
    <w:p w:rsidR="0091212A" w:rsidRDefault="0091212A" w:rsidP="0091212A">
      <w:pPr>
        <w:pStyle w:val="Standard"/>
      </w:pPr>
      <w:r>
        <w:t xml:space="preserve">Z bežného príjmu je vylúčená suma 152,- Eur a to vlastný príjem od obyvateľov za vývoz fekálií. </w:t>
      </w:r>
      <w:r>
        <w:lastRenderedPageBreak/>
        <w:t>Taktiež z bežného výdaja je vylúčený vlastný výdaj vo výške 152,- Eur a to platby za vývoz fekálií.</w:t>
      </w:r>
    </w:p>
    <w:p w:rsidR="0091212A" w:rsidRDefault="0091212A" w:rsidP="0091212A">
      <w:pPr>
        <w:pStyle w:val="Standard"/>
      </w:pPr>
      <w:r>
        <w:t xml:space="preserve">Skutočný príjem je vo výške </w:t>
      </w:r>
      <w:r>
        <w:rPr>
          <w:b/>
        </w:rPr>
        <w:t>37480,94 a </w:t>
      </w:r>
      <w:r>
        <w:t xml:space="preserve">výdaj vo výške </w:t>
      </w:r>
      <w:r>
        <w:rPr>
          <w:b/>
        </w:rPr>
        <w:t>37128,62</w:t>
      </w:r>
    </w:p>
    <w:p w:rsidR="0091212A" w:rsidRDefault="0091212A" w:rsidP="0091212A">
      <w:pPr>
        <w:pStyle w:val="Standard"/>
        <w:rPr>
          <w:b/>
          <w:bCs/>
          <w:sz w:val="28"/>
          <w:szCs w:val="28"/>
          <w:u w:val="single"/>
        </w:rPr>
      </w:pPr>
    </w:p>
    <w:p w:rsidR="0091212A" w:rsidRDefault="0091212A" w:rsidP="0091212A">
      <w:pPr>
        <w:pStyle w:val="Standard"/>
        <w:rPr>
          <w:b/>
          <w:bCs/>
          <w:sz w:val="28"/>
          <w:szCs w:val="28"/>
          <w:u w:val="single"/>
        </w:rPr>
      </w:pPr>
      <w:r>
        <w:rPr>
          <w:b/>
          <w:bCs/>
          <w:sz w:val="28"/>
          <w:szCs w:val="28"/>
          <w:u w:val="single"/>
        </w:rPr>
        <w:t>Prebytok hospodárenia celkového rozpočtu je vo výške 352,32 Eur</w:t>
      </w:r>
    </w:p>
    <w:p w:rsidR="0091212A" w:rsidRDefault="0091212A" w:rsidP="0091212A">
      <w:pPr>
        <w:pStyle w:val="Standard"/>
        <w:rPr>
          <w:b/>
          <w:bCs/>
          <w:sz w:val="28"/>
          <w:szCs w:val="28"/>
          <w:u w:val="single"/>
        </w:rPr>
      </w:pPr>
    </w:p>
    <w:p w:rsidR="0091212A" w:rsidRDefault="0091212A" w:rsidP="0091212A">
      <w:pPr>
        <w:pStyle w:val="Standard"/>
        <w:rPr>
          <w:b/>
          <w:bCs/>
          <w:sz w:val="28"/>
          <w:szCs w:val="28"/>
        </w:rPr>
      </w:pPr>
    </w:p>
    <w:p w:rsidR="0091212A" w:rsidRDefault="0091212A" w:rsidP="0091212A">
      <w:pPr>
        <w:pStyle w:val="Standard"/>
        <w:numPr>
          <w:ilvl w:val="0"/>
          <w:numId w:val="14"/>
        </w:numPr>
        <w:tabs>
          <w:tab w:val="left" w:pos="-26640"/>
        </w:tabs>
        <w:ind w:left="720" w:hanging="360"/>
        <w:rPr>
          <w:b/>
          <w:bCs/>
          <w:sz w:val="28"/>
          <w:szCs w:val="28"/>
        </w:rPr>
      </w:pPr>
      <w:r>
        <w:rPr>
          <w:b/>
          <w:bCs/>
          <w:sz w:val="28"/>
          <w:szCs w:val="28"/>
        </w:rPr>
        <w:t>Údaje o plnení príjmov a výdavkov za rok  2022.</w:t>
      </w:r>
    </w:p>
    <w:p w:rsidR="0091212A" w:rsidRDefault="0091212A" w:rsidP="0091212A">
      <w:pPr>
        <w:pStyle w:val="Standard"/>
        <w:ind w:left="720"/>
        <w:rPr>
          <w:b/>
          <w:bCs/>
          <w:sz w:val="28"/>
          <w:szCs w:val="28"/>
        </w:rPr>
      </w:pPr>
    </w:p>
    <w:p w:rsidR="0091212A" w:rsidRDefault="0091212A" w:rsidP="0091212A">
      <w:pPr>
        <w:pStyle w:val="Standard"/>
        <w:ind w:left="720"/>
        <w:rPr>
          <w:b/>
          <w:bCs/>
          <w:sz w:val="28"/>
          <w:szCs w:val="28"/>
        </w:rPr>
      </w:pPr>
      <w:r>
        <w:rPr>
          <w:b/>
          <w:bCs/>
          <w:sz w:val="28"/>
          <w:szCs w:val="28"/>
        </w:rPr>
        <w:t>Rozpočet obce Detrík  bol schválený v mesiaci december 2021 kde príjmy boli 28 225 a vydaje 28 225 Rozpočet bol upravovaný v priebehu roka a to: rozpočtovým opatrením č.1 zo dňa 27.06.2022, č.2 30.09.2022, č.3 12.12.2022.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2. Rozbor plnenia príjmov za rok 2022 v eurách</w:t>
      </w:r>
    </w:p>
    <w:p w:rsidR="0091212A" w:rsidRDefault="0091212A" w:rsidP="0091212A">
      <w:pPr>
        <w:pStyle w:val="Standard"/>
        <w:rPr>
          <w:b/>
          <w:bCs/>
          <w:sz w:val="28"/>
          <w:szCs w:val="28"/>
        </w:rPr>
      </w:pPr>
    </w:p>
    <w:tbl>
      <w:tblPr>
        <w:tblW w:w="9672" w:type="dxa"/>
        <w:tblLayout w:type="fixed"/>
        <w:tblCellMar>
          <w:left w:w="10" w:type="dxa"/>
          <w:right w:w="10" w:type="dxa"/>
        </w:tblCellMar>
        <w:tblLook w:val="0000" w:firstRow="0" w:lastRow="0" w:firstColumn="0" w:lastColumn="0" w:noHBand="0" w:noVBand="0"/>
      </w:tblPr>
      <w:tblGrid>
        <w:gridCol w:w="3212"/>
        <w:gridCol w:w="3213"/>
        <w:gridCol w:w="3247"/>
      </w:tblGrid>
      <w:tr w:rsidR="0091212A" w:rsidTr="00457A28">
        <w:tblPrEx>
          <w:tblCellMar>
            <w:top w:w="0" w:type="dxa"/>
            <w:bottom w:w="0" w:type="dxa"/>
          </w:tblCellMar>
        </w:tblPrEx>
        <w:tc>
          <w:tcPr>
            <w:tcW w:w="32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Rozpočet na rok 2022</w:t>
            </w:r>
          </w:p>
        </w:tc>
        <w:tc>
          <w:tcPr>
            <w:tcW w:w="32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Skutočnosť k 31.12.2022</w:t>
            </w:r>
          </w:p>
        </w:tc>
        <w:tc>
          <w:tcPr>
            <w:tcW w:w="3247"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%plnenie</w:t>
            </w:r>
          </w:p>
        </w:tc>
      </w:tr>
      <w:tr w:rsidR="0091212A" w:rsidTr="00457A28">
        <w:tblPrEx>
          <w:tblCellMar>
            <w:top w:w="0" w:type="dxa"/>
            <w:bottom w:w="0" w:type="dxa"/>
          </w:tblCellMar>
        </w:tblPrEx>
        <w:tc>
          <w:tcPr>
            <w:tcW w:w="3212"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38 233</w:t>
            </w:r>
          </w:p>
        </w:tc>
        <w:tc>
          <w:tcPr>
            <w:tcW w:w="3213"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37 480,94</w:t>
            </w:r>
          </w:p>
        </w:tc>
        <w:tc>
          <w:tcPr>
            <w:tcW w:w="3247"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98,46</w:t>
            </w:r>
          </w:p>
        </w:tc>
      </w:tr>
    </w:tbl>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A/ Výnos dane z príjmov poukázaný územnej samospráve</w:t>
      </w:r>
    </w:p>
    <w:p w:rsidR="0091212A" w:rsidRDefault="0091212A" w:rsidP="0091212A">
      <w:pPr>
        <w:pStyle w:val="Standard"/>
        <w:rPr>
          <w:sz w:val="28"/>
          <w:szCs w:val="28"/>
        </w:rPr>
      </w:pPr>
      <w:r>
        <w:rPr>
          <w:sz w:val="28"/>
          <w:szCs w:val="28"/>
        </w:rPr>
        <w:t>Z predpokladanej finančnej čiastky vo výške 15 500,- eur z výnosu dane z príjmov boli k 31.12.2022 poukázané prostriedky zo ŠR vo výške 15 500,31 eur, čo predstavuje plnenie na 100%.</w:t>
      </w:r>
    </w:p>
    <w:p w:rsidR="0091212A" w:rsidRDefault="0091212A" w:rsidP="0091212A">
      <w:pPr>
        <w:pStyle w:val="Standard"/>
        <w:rPr>
          <w:sz w:val="28"/>
          <w:szCs w:val="28"/>
        </w:rPr>
      </w:pPr>
    </w:p>
    <w:p w:rsidR="0091212A" w:rsidRDefault="0091212A" w:rsidP="0091212A">
      <w:pPr>
        <w:pStyle w:val="Standard"/>
        <w:rPr>
          <w:sz w:val="28"/>
          <w:szCs w:val="28"/>
        </w:rPr>
      </w:pPr>
    </w:p>
    <w:p w:rsidR="0091212A" w:rsidRDefault="0091212A" w:rsidP="0091212A">
      <w:pPr>
        <w:pStyle w:val="Standard"/>
        <w:rPr>
          <w:sz w:val="28"/>
          <w:szCs w:val="28"/>
        </w:rPr>
      </w:pPr>
    </w:p>
    <w:p w:rsidR="0091212A" w:rsidRDefault="0091212A" w:rsidP="0091212A">
      <w:pPr>
        <w:pStyle w:val="Standard"/>
      </w:pPr>
      <w:r>
        <w:rPr>
          <w:sz w:val="28"/>
          <w:szCs w:val="28"/>
        </w:rPr>
        <w:t xml:space="preserve">B/  </w:t>
      </w:r>
      <w:r>
        <w:rPr>
          <w:b/>
          <w:bCs/>
          <w:sz w:val="28"/>
          <w:szCs w:val="28"/>
        </w:rPr>
        <w:t xml:space="preserve">Daň z nehnuteľností- Daňová trieda 1 </w:t>
      </w:r>
    </w:p>
    <w:p w:rsidR="0091212A" w:rsidRDefault="0091212A" w:rsidP="0091212A">
      <w:pPr>
        <w:pStyle w:val="Standard"/>
      </w:pPr>
    </w:p>
    <w:p w:rsidR="0091212A" w:rsidRDefault="0091212A" w:rsidP="0091212A">
      <w:pPr>
        <w:pStyle w:val="Standard"/>
        <w:rPr>
          <w:sz w:val="28"/>
          <w:szCs w:val="28"/>
        </w:rPr>
      </w:pPr>
      <w:r>
        <w:rPr>
          <w:sz w:val="28"/>
          <w:szCs w:val="28"/>
        </w:rPr>
        <w:t>Z rozpočtovaných 22 835 eur bol skutočný príjem k 31.12.2022 vo výške 22 801,28 eur čo je 99,85%</w:t>
      </w:r>
    </w:p>
    <w:p w:rsidR="0091212A" w:rsidRDefault="0091212A" w:rsidP="0091212A">
      <w:pPr>
        <w:pStyle w:val="Standard"/>
        <w:rPr>
          <w:sz w:val="28"/>
          <w:szCs w:val="28"/>
        </w:rPr>
      </w:pPr>
    </w:p>
    <w:p w:rsidR="0091212A" w:rsidRDefault="0091212A" w:rsidP="0091212A">
      <w:pPr>
        <w:pStyle w:val="Standard"/>
        <w:rPr>
          <w:sz w:val="28"/>
          <w:szCs w:val="28"/>
        </w:rPr>
      </w:pPr>
    </w:p>
    <w:p w:rsidR="0091212A" w:rsidRDefault="0091212A" w:rsidP="0091212A">
      <w:pPr>
        <w:pStyle w:val="Standard"/>
        <w:rPr>
          <w:b/>
          <w:bCs/>
          <w:sz w:val="28"/>
          <w:szCs w:val="28"/>
        </w:rPr>
      </w:pPr>
      <w:r>
        <w:rPr>
          <w:b/>
          <w:bCs/>
          <w:sz w:val="28"/>
          <w:szCs w:val="28"/>
        </w:rPr>
        <w:t xml:space="preserve">                                                                     Rozpočet          Skutočnosť k 31.12.2022  </w:t>
      </w:r>
    </w:p>
    <w:tbl>
      <w:tblPr>
        <w:tblW w:w="9670" w:type="dxa"/>
        <w:tblLayout w:type="fixed"/>
        <w:tblCellMar>
          <w:left w:w="10" w:type="dxa"/>
          <w:right w:w="10" w:type="dxa"/>
        </w:tblCellMar>
        <w:tblLook w:val="0000" w:firstRow="0" w:lastRow="0" w:firstColumn="0" w:lastColumn="0" w:noHBand="0" w:noVBand="0"/>
      </w:tblPr>
      <w:tblGrid>
        <w:gridCol w:w="9670"/>
      </w:tblGrid>
      <w:tr w:rsidR="0091212A" w:rsidTr="00457A28">
        <w:tblPrEx>
          <w:tblCellMar>
            <w:top w:w="0" w:type="dxa"/>
            <w:bottom w:w="0" w:type="dxa"/>
          </w:tblCellMar>
        </w:tblPrEx>
        <w:tc>
          <w:tcPr>
            <w:tcW w:w="967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Standard"/>
              <w:snapToGrid w:val="0"/>
              <w:rPr>
                <w:b/>
                <w:bCs/>
                <w:sz w:val="28"/>
                <w:szCs w:val="28"/>
              </w:rPr>
            </w:pPr>
            <w:r>
              <w:rPr>
                <w:b/>
                <w:bCs/>
                <w:sz w:val="28"/>
                <w:szCs w:val="28"/>
              </w:rPr>
              <w:t>Trieda 1 – Dańové príjmy - PD                 15 500              15 500,31          100,00%</w:t>
            </w:r>
          </w:p>
        </w:tc>
      </w:tr>
      <w:tr w:rsidR="0091212A" w:rsidTr="00457A28">
        <w:tblPrEx>
          <w:tblCellMar>
            <w:top w:w="0" w:type="dxa"/>
            <w:bottom w:w="0" w:type="dxa"/>
          </w:tblCellMar>
        </w:tblPrEx>
        <w:tc>
          <w:tcPr>
            <w:tcW w:w="96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Standard"/>
              <w:snapToGrid w:val="0"/>
              <w:rPr>
                <w:b/>
                <w:bCs/>
                <w:sz w:val="28"/>
                <w:szCs w:val="28"/>
              </w:rPr>
            </w:pPr>
            <w:r>
              <w:rPr>
                <w:b/>
                <w:bCs/>
                <w:sz w:val="28"/>
                <w:szCs w:val="28"/>
              </w:rPr>
              <w:t xml:space="preserve">                   Pozemky                                     6 250               6 243,53             99,90%</w:t>
            </w:r>
          </w:p>
        </w:tc>
      </w:tr>
      <w:tr w:rsidR="0091212A" w:rsidTr="00457A28">
        <w:tblPrEx>
          <w:tblCellMar>
            <w:top w:w="0" w:type="dxa"/>
            <w:bottom w:w="0" w:type="dxa"/>
          </w:tblCellMar>
        </w:tblPrEx>
        <w:tc>
          <w:tcPr>
            <w:tcW w:w="96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Standard"/>
              <w:snapToGrid w:val="0"/>
              <w:rPr>
                <w:b/>
                <w:bCs/>
                <w:sz w:val="28"/>
                <w:szCs w:val="28"/>
              </w:rPr>
            </w:pPr>
            <w:r>
              <w:rPr>
                <w:b/>
                <w:bCs/>
                <w:sz w:val="28"/>
                <w:szCs w:val="28"/>
              </w:rPr>
              <w:t xml:space="preserve">                   Stavby                                           440                 436,44              99,11%</w:t>
            </w:r>
          </w:p>
        </w:tc>
      </w:tr>
      <w:tr w:rsidR="0091212A" w:rsidTr="00457A28">
        <w:tblPrEx>
          <w:tblCellMar>
            <w:top w:w="0" w:type="dxa"/>
            <w:bottom w:w="0" w:type="dxa"/>
          </w:tblCellMar>
        </w:tblPrEx>
        <w:tc>
          <w:tcPr>
            <w:tcW w:w="96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Standard"/>
              <w:snapToGrid w:val="0"/>
              <w:rPr>
                <w:b/>
                <w:bCs/>
                <w:sz w:val="28"/>
                <w:szCs w:val="28"/>
              </w:rPr>
            </w:pPr>
            <w:r>
              <w:rPr>
                <w:b/>
                <w:bCs/>
                <w:sz w:val="28"/>
                <w:szCs w:val="28"/>
              </w:rPr>
              <w:t xml:space="preserve">                   Pes                                                   45                   36,00              80,00%</w:t>
            </w:r>
          </w:p>
        </w:tc>
      </w:tr>
      <w:tr w:rsidR="0091212A" w:rsidTr="00457A28">
        <w:tblPrEx>
          <w:tblCellMar>
            <w:top w:w="0" w:type="dxa"/>
            <w:bottom w:w="0" w:type="dxa"/>
          </w:tblCellMar>
        </w:tblPrEx>
        <w:tc>
          <w:tcPr>
            <w:tcW w:w="96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Standard"/>
              <w:snapToGrid w:val="0"/>
              <w:rPr>
                <w:b/>
                <w:bCs/>
                <w:sz w:val="28"/>
                <w:szCs w:val="28"/>
              </w:rPr>
            </w:pPr>
            <w:r>
              <w:rPr>
                <w:b/>
                <w:bCs/>
                <w:sz w:val="28"/>
                <w:szCs w:val="28"/>
              </w:rPr>
              <w:t xml:space="preserve">                   TKO                                              600                 585,00              97,50%</w:t>
            </w:r>
          </w:p>
        </w:tc>
      </w:tr>
    </w:tbl>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pPr>
    </w:p>
    <w:p w:rsidR="0091212A" w:rsidRDefault="0091212A" w:rsidP="0091212A">
      <w:pPr>
        <w:pStyle w:val="Standard"/>
        <w:rPr>
          <w:b/>
          <w:bCs/>
          <w:sz w:val="28"/>
          <w:szCs w:val="28"/>
        </w:rPr>
      </w:pPr>
      <w:r>
        <w:rPr>
          <w:b/>
          <w:bCs/>
          <w:sz w:val="28"/>
          <w:szCs w:val="28"/>
        </w:rPr>
        <w:t xml:space="preserve"> Nedaňové príjmy trieda 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Nedaňové príjmy boli rozpočtované v sume 2663,- Eur a plnenie bolo v sume</w:t>
      </w:r>
    </w:p>
    <w:p w:rsidR="0091212A" w:rsidRDefault="0091212A" w:rsidP="0091212A">
      <w:pPr>
        <w:pStyle w:val="Standard"/>
        <w:rPr>
          <w:b/>
          <w:bCs/>
          <w:sz w:val="28"/>
          <w:szCs w:val="28"/>
        </w:rPr>
      </w:pPr>
      <w:r>
        <w:rPr>
          <w:b/>
          <w:bCs/>
          <w:sz w:val="28"/>
          <w:szCs w:val="28"/>
        </w:rPr>
        <w:t>2013,00 Eur čo je  75,59%.</w:t>
      </w:r>
    </w:p>
    <w:p w:rsidR="0091212A" w:rsidRDefault="0091212A" w:rsidP="0091212A">
      <w:pPr>
        <w:pStyle w:val="Standard"/>
        <w:rPr>
          <w:b/>
          <w:bCs/>
          <w:sz w:val="28"/>
          <w:szCs w:val="28"/>
        </w:rPr>
      </w:pPr>
      <w:r>
        <w:rPr>
          <w:b/>
          <w:bCs/>
          <w:sz w:val="28"/>
          <w:szCs w:val="28"/>
        </w:rPr>
        <w:t xml:space="preserve">                                               Rozpočet                               Skutočnosť</w:t>
      </w:r>
    </w:p>
    <w:tbl>
      <w:tblPr>
        <w:tblW w:w="9920" w:type="dxa"/>
        <w:tblLayout w:type="fixed"/>
        <w:tblCellMar>
          <w:left w:w="10" w:type="dxa"/>
          <w:right w:w="10" w:type="dxa"/>
        </w:tblCellMar>
        <w:tblLook w:val="0000" w:firstRow="0" w:lastRow="0" w:firstColumn="0" w:lastColumn="0" w:noHBand="0" w:noVBand="0"/>
      </w:tblPr>
      <w:tblGrid>
        <w:gridCol w:w="3212"/>
        <w:gridCol w:w="3213"/>
        <w:gridCol w:w="3495"/>
      </w:tblGrid>
      <w:tr w:rsidR="0091212A" w:rsidTr="00457A28">
        <w:tblPrEx>
          <w:tblCellMar>
            <w:top w:w="0" w:type="dxa"/>
            <w:bottom w:w="0" w:type="dxa"/>
          </w:tblCellMar>
        </w:tblPrEx>
        <w:tc>
          <w:tcPr>
            <w:tcW w:w="32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Ostatné poplatky</w:t>
            </w:r>
          </w:p>
        </w:tc>
        <w:tc>
          <w:tcPr>
            <w:tcW w:w="32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500 </w:t>
            </w:r>
          </w:p>
        </w:tc>
        <w:tc>
          <w:tcPr>
            <w:tcW w:w="349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476,00                               95,20%</w:t>
            </w:r>
          </w:p>
        </w:tc>
      </w:tr>
      <w:tr w:rsidR="0091212A" w:rsidTr="00457A28">
        <w:tblPrEx>
          <w:tblCellMar>
            <w:top w:w="0" w:type="dxa"/>
            <w:bottom w:w="0" w:type="dxa"/>
          </w:tblCellMar>
        </w:tblPrEx>
        <w:tc>
          <w:tcPr>
            <w:tcW w:w="3212" w:type="dxa"/>
            <w:tcBorders>
              <w:lef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dividendy  </w:t>
            </w:r>
          </w:p>
          <w:p w:rsidR="0091212A" w:rsidRDefault="0091212A" w:rsidP="00457A28">
            <w:pPr>
              <w:pStyle w:val="TableContents"/>
              <w:snapToGrid w:val="0"/>
            </w:pPr>
            <w:r>
              <w:t xml:space="preserve"> správne poplatky</w:t>
            </w:r>
          </w:p>
          <w:p w:rsidR="0091212A" w:rsidRDefault="0091212A" w:rsidP="00457A28">
            <w:pPr>
              <w:pStyle w:val="TableContents"/>
              <w:snapToGrid w:val="0"/>
            </w:pPr>
            <w:r>
              <w:t xml:space="preserve"> príjmy z prenájmu                           </w:t>
            </w:r>
          </w:p>
        </w:tc>
        <w:tc>
          <w:tcPr>
            <w:tcW w:w="3213" w:type="dxa"/>
            <w:tcBorders>
              <w:lef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200</w:t>
            </w:r>
          </w:p>
          <w:p w:rsidR="0091212A" w:rsidRDefault="0091212A" w:rsidP="00457A28">
            <w:pPr>
              <w:pStyle w:val="TableContents"/>
              <w:snapToGrid w:val="0"/>
            </w:pPr>
            <w:r>
              <w:t xml:space="preserve">     50</w:t>
            </w:r>
          </w:p>
          <w:p w:rsidR="0091212A" w:rsidRDefault="0091212A" w:rsidP="00457A28">
            <w:pPr>
              <w:pStyle w:val="TableContents"/>
              <w:snapToGrid w:val="0"/>
            </w:pPr>
            <w:r>
              <w:t>1 713</w:t>
            </w:r>
          </w:p>
        </w:tc>
        <w:tc>
          <w:tcPr>
            <w:tcW w:w="3495" w:type="dxa"/>
            <w:tcBorders>
              <w:left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0,00                               00,00%</w:t>
            </w:r>
          </w:p>
          <w:p w:rsidR="0091212A" w:rsidRDefault="0091212A" w:rsidP="00457A28">
            <w:pPr>
              <w:pStyle w:val="TableContents"/>
              <w:snapToGrid w:val="0"/>
            </w:pPr>
            <w:r>
              <w:t xml:space="preserve">    12,00                              24,00%</w:t>
            </w:r>
          </w:p>
          <w:p w:rsidR="0091212A" w:rsidRDefault="0091212A" w:rsidP="00457A28">
            <w:pPr>
              <w:pStyle w:val="TableContents"/>
              <w:snapToGrid w:val="0"/>
            </w:pPr>
            <w:r>
              <w:t>1525,00                              79,72 %</w:t>
            </w:r>
          </w:p>
        </w:tc>
      </w:tr>
      <w:tr w:rsidR="0091212A" w:rsidTr="00457A28">
        <w:tblPrEx>
          <w:tblCellMar>
            <w:top w:w="0" w:type="dxa"/>
            <w:bottom w:w="0" w:type="dxa"/>
          </w:tblCellMar>
        </w:tblPrEx>
        <w:tc>
          <w:tcPr>
            <w:tcW w:w="3212"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Vratky zp</w:t>
            </w:r>
          </w:p>
        </w:tc>
        <w:tc>
          <w:tcPr>
            <w:tcW w:w="3213"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200</w:t>
            </w:r>
          </w:p>
        </w:tc>
        <w:tc>
          <w:tcPr>
            <w:tcW w:w="349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0,00                               00,00%</w:t>
            </w:r>
          </w:p>
        </w:tc>
      </w:tr>
    </w:tbl>
    <w:p w:rsidR="0091212A" w:rsidRDefault="0091212A" w:rsidP="0091212A">
      <w:pPr>
        <w:pStyle w:val="Standard"/>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Granty a transfery  trieda 3</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 xml:space="preserve">                                    Rozpočet                    Skutočnosť              Plnenie v%</w:t>
      </w:r>
    </w:p>
    <w:tbl>
      <w:tblPr>
        <w:tblW w:w="9670" w:type="dxa"/>
        <w:tblLayout w:type="fixed"/>
        <w:tblCellMar>
          <w:left w:w="10" w:type="dxa"/>
          <w:right w:w="10" w:type="dxa"/>
        </w:tblCellMar>
        <w:tblLook w:val="0000" w:firstRow="0" w:lastRow="0" w:firstColumn="0" w:lastColumn="0" w:noHBand="0" w:noVBand="0"/>
      </w:tblPr>
      <w:tblGrid>
        <w:gridCol w:w="2400"/>
        <w:gridCol w:w="2419"/>
        <w:gridCol w:w="2409"/>
        <w:gridCol w:w="2442"/>
      </w:tblGrid>
      <w:tr w:rsidR="0091212A" w:rsidTr="00457A28">
        <w:tblPrEx>
          <w:tblCellMar>
            <w:top w:w="0" w:type="dxa"/>
            <w:bottom w:w="0" w:type="dxa"/>
          </w:tblCellMar>
        </w:tblPrEx>
        <w:tc>
          <w:tcPr>
            <w:tcW w:w="24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Dotácie spolu:</w:t>
            </w:r>
          </w:p>
        </w:tc>
        <w:tc>
          <w:tcPr>
            <w:tcW w:w="241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9485</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9435,89</w:t>
            </w:r>
          </w:p>
        </w:tc>
        <w:tc>
          <w:tcPr>
            <w:tcW w:w="244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99,96%</w:t>
            </w: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Z toho: ŽP</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- 5,60</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Dotácia UPSVAR</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2070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2017,74</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00,00%</w:t>
            </w: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Dotácia voľby</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2710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2706,92</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00,00%</w:t>
            </w: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Dotácia regob a reg.adries</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37,00 </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36,48</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00,00%</w:t>
            </w: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Dotácia VUC</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4000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4000,00</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00,00%</w:t>
            </w:r>
          </w:p>
        </w:tc>
      </w:tr>
      <w:tr w:rsidR="0091212A" w:rsidTr="00457A28">
        <w:tblPrEx>
          <w:tblCellMar>
            <w:top w:w="0" w:type="dxa"/>
            <w:bottom w:w="0" w:type="dxa"/>
          </w:tblCellMar>
        </w:tblPrEx>
        <w:tc>
          <w:tcPr>
            <w:tcW w:w="240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Dotácia odmeny</w:t>
            </w:r>
          </w:p>
        </w:tc>
        <w:tc>
          <w:tcPr>
            <w:tcW w:w="241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674,75 </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00,00%</w:t>
            </w:r>
          </w:p>
        </w:tc>
      </w:tr>
    </w:tbl>
    <w:p w:rsidR="0091212A" w:rsidRDefault="0091212A" w:rsidP="0091212A">
      <w:pPr>
        <w:pStyle w:val="Standard"/>
        <w:rPr>
          <w:b/>
          <w:bCs/>
          <w:sz w:val="28"/>
          <w:szCs w:val="28"/>
        </w:rPr>
      </w:pPr>
      <w:r>
        <w:rPr>
          <w:b/>
          <w:bCs/>
          <w:sz w:val="28"/>
          <w:szCs w:val="28"/>
        </w:rPr>
        <w:t>Granty a transfery boli v skutočnosti poskytnuté vo výške 9430,29</w:t>
      </w:r>
    </w:p>
    <w:p w:rsidR="0091212A" w:rsidRDefault="0091212A" w:rsidP="0091212A">
      <w:pPr>
        <w:pStyle w:val="Standard"/>
        <w:rPr>
          <w:b/>
          <w:bCs/>
          <w:sz w:val="28"/>
          <w:szCs w:val="28"/>
        </w:rPr>
      </w:pPr>
      <w:r>
        <w:rPr>
          <w:b/>
          <w:bCs/>
          <w:sz w:val="28"/>
          <w:szCs w:val="28"/>
        </w:rPr>
        <w:t>Granty a transfery boli rozpočtované vo výške   9485.-</w:t>
      </w:r>
    </w:p>
    <w:p w:rsidR="0091212A" w:rsidRDefault="0091212A" w:rsidP="0091212A">
      <w:pPr>
        <w:pStyle w:val="Standard"/>
        <w:rPr>
          <w:b/>
          <w:bCs/>
          <w:sz w:val="28"/>
          <w:szCs w:val="28"/>
        </w:rPr>
      </w:pPr>
      <w:r>
        <w:rPr>
          <w:b/>
          <w:bCs/>
          <w:sz w:val="28"/>
          <w:szCs w:val="28"/>
        </w:rPr>
        <w:t>Skutočné čerpanie bolo vo výške                            99,42%</w:t>
      </w:r>
    </w:p>
    <w:p w:rsidR="0091212A" w:rsidRDefault="0091212A" w:rsidP="0091212A">
      <w:pPr>
        <w:pStyle w:val="Standard"/>
        <w:rPr>
          <w:b/>
          <w:bCs/>
          <w:sz w:val="28"/>
          <w:szCs w:val="28"/>
        </w:rPr>
      </w:pPr>
      <w:r>
        <w:rPr>
          <w:b/>
          <w:bCs/>
          <w:sz w:val="28"/>
          <w:szCs w:val="28"/>
        </w:rPr>
        <w:t>Vrátené dotácie boli vo výške  -5,60 Eur  - vrátka dotácie ŽP.</w:t>
      </w:r>
    </w:p>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rPr>
          <w:b/>
          <w:bCs/>
          <w:sz w:val="28"/>
          <w:szCs w:val="28"/>
        </w:rPr>
      </w:pPr>
      <w:r>
        <w:rPr>
          <w:b/>
          <w:bCs/>
          <w:sz w:val="28"/>
          <w:szCs w:val="28"/>
        </w:rPr>
        <w:t>Rozbor plnenia výdavkov rok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Rozpočet                                rozpočet              úprava                               plnenie</w:t>
      </w:r>
    </w:p>
    <w:tbl>
      <w:tblPr>
        <w:tblW w:w="9796" w:type="dxa"/>
        <w:tblInd w:w="-12" w:type="dxa"/>
        <w:tblLayout w:type="fixed"/>
        <w:tblCellMar>
          <w:left w:w="10" w:type="dxa"/>
          <w:right w:w="10" w:type="dxa"/>
        </w:tblCellMar>
        <w:tblLook w:val="0000" w:firstRow="0" w:lastRow="0" w:firstColumn="0" w:lastColumn="0" w:noHBand="0" w:noVBand="0"/>
      </w:tblPr>
      <w:tblGrid>
        <w:gridCol w:w="3224"/>
        <w:gridCol w:w="24"/>
        <w:gridCol w:w="1425"/>
        <w:gridCol w:w="1823"/>
        <w:gridCol w:w="3300"/>
      </w:tblGrid>
      <w:tr w:rsidR="0091212A" w:rsidTr="00457A28">
        <w:tblPrEx>
          <w:tblCellMar>
            <w:top w:w="0" w:type="dxa"/>
            <w:bottom w:w="0" w:type="dxa"/>
          </w:tblCellMar>
        </w:tblPrEx>
        <w:trPr>
          <w:trHeight w:val="262"/>
        </w:trPr>
        <w:tc>
          <w:tcPr>
            <w:tcW w:w="3248" w:type="dxa"/>
            <w:gridSpan w:val="2"/>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OU                           0111</w:t>
            </w:r>
          </w:p>
        </w:tc>
        <w:tc>
          <w:tcPr>
            <w:tcW w:w="1425" w:type="dxa"/>
            <w:tcBorders>
              <w:top w:val="single" w:sz="2" w:space="0" w:color="000000"/>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23110</w:t>
            </w:r>
          </w:p>
        </w:tc>
        <w:tc>
          <w:tcPr>
            <w:tcW w:w="1823" w:type="dxa"/>
            <w:tcBorders>
              <w:top w:val="single" w:sz="2" w:space="0" w:color="000000"/>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755"/>
            </w:pPr>
            <w:r>
              <w:t>32209</w:t>
            </w:r>
          </w:p>
        </w:tc>
        <w:tc>
          <w:tcPr>
            <w:tcW w:w="33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32016,77                         99,40%</w:t>
            </w:r>
          </w:p>
        </w:tc>
      </w:tr>
      <w:tr w:rsidR="0091212A" w:rsidTr="00457A28">
        <w:tblPrEx>
          <w:tblCellMar>
            <w:top w:w="0" w:type="dxa"/>
            <w:bottom w:w="0" w:type="dxa"/>
          </w:tblCellMar>
        </w:tblPrEx>
        <w:trPr>
          <w:trHeight w:val="277"/>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OU                           0112</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140</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pPr>
            <w:r>
              <w:t xml:space="preserve">              300</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298,97                             99,66%</w:t>
            </w:r>
          </w:p>
        </w:tc>
      </w:tr>
      <w:tr w:rsidR="0091212A" w:rsidTr="00457A28">
        <w:tblPrEx>
          <w:tblCellMar>
            <w:top w:w="0" w:type="dxa"/>
            <w:bottom w:w="0" w:type="dxa"/>
          </w:tblCellMar>
        </w:tblPrEx>
        <w:trPr>
          <w:trHeight w:val="277"/>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Voľby                           0160           </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1267</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pPr>
            <w:r>
              <w:t xml:space="preserve">             2103</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2043,88                          97,19%</w:t>
            </w:r>
          </w:p>
        </w:tc>
      </w:tr>
      <w:tr w:rsidR="0091212A" w:rsidTr="00457A28">
        <w:tblPrEx>
          <w:tblCellMar>
            <w:top w:w="0" w:type="dxa"/>
            <w:bottom w:w="0" w:type="dxa"/>
          </w:tblCellMar>
        </w:tblPrEx>
        <w:trPr>
          <w:trHeight w:val="262"/>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SAD                             0451</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40</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890"/>
            </w:pPr>
            <w:r>
              <w:t>40</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31,87                             79,68%</w:t>
            </w:r>
          </w:p>
        </w:tc>
      </w:tr>
      <w:tr w:rsidR="0091212A" w:rsidTr="00457A28">
        <w:tblPrEx>
          <w:tblCellMar>
            <w:top w:w="0" w:type="dxa"/>
            <w:bottom w:w="0" w:type="dxa"/>
          </w:tblCellMar>
        </w:tblPrEx>
        <w:trPr>
          <w:trHeight w:val="277"/>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Vývoz odpadu             0510</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750</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890"/>
            </w:pPr>
            <w:r>
              <w:t>1060</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1001,92                           94,52%</w:t>
            </w:r>
          </w:p>
        </w:tc>
      </w:tr>
      <w:tr w:rsidR="0091212A" w:rsidTr="00457A28">
        <w:tblPrEx>
          <w:tblCellMar>
            <w:top w:w="0" w:type="dxa"/>
            <w:bottom w:w="0" w:type="dxa"/>
          </w:tblCellMar>
        </w:tblPrEx>
        <w:trPr>
          <w:trHeight w:val="277"/>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AČ                              0620</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2768</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770"/>
            </w:pPr>
            <w:r>
              <w:t xml:space="preserve">  2331</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1712,49                        73,77%</w:t>
            </w:r>
          </w:p>
        </w:tc>
      </w:tr>
      <w:tr w:rsidR="0091212A" w:rsidTr="00457A28">
        <w:tblPrEx>
          <w:tblCellMar>
            <w:top w:w="0" w:type="dxa"/>
            <w:bottom w:w="0" w:type="dxa"/>
          </w:tblCellMar>
        </w:tblPrEx>
        <w:trPr>
          <w:trHeight w:val="262"/>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Ver. osvetl.                  0640</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180</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890"/>
            </w:pPr>
            <w:r>
              <w:t xml:space="preserve"> 180</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172,75                            95,97%</w:t>
            </w:r>
          </w:p>
        </w:tc>
      </w:tr>
      <w:tr w:rsidR="0091212A" w:rsidTr="00457A28">
        <w:tblPrEx>
          <w:tblCellMar>
            <w:top w:w="0" w:type="dxa"/>
            <w:bottom w:w="0" w:type="dxa"/>
          </w:tblCellMar>
        </w:tblPrEx>
        <w:trPr>
          <w:trHeight w:val="396"/>
        </w:trPr>
        <w:tc>
          <w:tcPr>
            <w:tcW w:w="3248" w:type="dxa"/>
            <w:gridSpan w:val="2"/>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lastRenderedPageBreak/>
              <w:t xml:space="preserve">     kultúra                          0820</w:t>
            </w:r>
          </w:p>
        </w:tc>
        <w:tc>
          <w:tcPr>
            <w:tcW w:w="1425" w:type="dxa"/>
            <w:tcBorders>
              <w:left w:val="single" w:sz="2" w:space="0" w:color="000000"/>
              <w:bottom w:val="single" w:sz="2" w:space="0" w:color="000000"/>
              <w:right w:val="single" w:sz="4"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1823" w:type="dxa"/>
            <w:tcBorders>
              <w:left w:val="single" w:sz="4" w:space="0" w:color="000000"/>
              <w:bottom w:val="single" w:sz="2" w:space="0" w:color="000000"/>
            </w:tcBorders>
            <w:shd w:val="clear" w:color="auto" w:fill="auto"/>
            <w:tcMar>
              <w:top w:w="0" w:type="dxa"/>
              <w:left w:w="10" w:type="dxa"/>
              <w:bottom w:w="0" w:type="dxa"/>
              <w:right w:w="10" w:type="dxa"/>
            </w:tcMar>
          </w:tcPr>
          <w:p w:rsidR="0091212A" w:rsidRDefault="0091212A" w:rsidP="00457A28">
            <w:pPr>
              <w:pStyle w:val="TableContents"/>
              <w:snapToGrid w:val="0"/>
              <w:ind w:left="1130"/>
            </w:pPr>
            <w:r>
              <w:t>0</w:t>
            </w:r>
          </w:p>
        </w:tc>
        <w:tc>
          <w:tcPr>
            <w:tcW w:w="33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0                                          0%</w:t>
            </w:r>
          </w:p>
        </w:tc>
      </w:tr>
      <w:tr w:rsidR="0091212A" w:rsidTr="00457A28">
        <w:tblPrEx>
          <w:tblCellMar>
            <w:top w:w="0" w:type="dxa"/>
            <w:bottom w:w="0" w:type="dxa"/>
          </w:tblCellMar>
        </w:tblPrEx>
        <w:trPr>
          <w:trHeight w:val="390"/>
        </w:trPr>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ind w:left="9"/>
            </w:pPr>
            <w:r>
              <w:t xml:space="preserve">    Rodina, deti                  1040</w:t>
            </w:r>
          </w:p>
        </w:tc>
        <w:tc>
          <w:tcPr>
            <w:tcW w:w="144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pPr>
            <w:r>
              <w:t>0</w:t>
            </w:r>
          </w:p>
        </w:tc>
        <w:tc>
          <w:tcPr>
            <w:tcW w:w="182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ind w:left="1064"/>
            </w:pPr>
            <w:r>
              <w:t>0</w:t>
            </w:r>
          </w:p>
        </w:tc>
        <w:tc>
          <w:tcPr>
            <w:tcW w:w="33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pPr>
            <w:r>
              <w:t>0                                          0%</w:t>
            </w:r>
          </w:p>
        </w:tc>
      </w:tr>
      <w:tr w:rsidR="0091212A" w:rsidTr="00457A28">
        <w:tblPrEx>
          <w:tblCellMar>
            <w:top w:w="0" w:type="dxa"/>
            <w:bottom w:w="0" w:type="dxa"/>
          </w:tblCellMar>
        </w:tblPrEx>
        <w:trPr>
          <w:trHeight w:val="390"/>
        </w:trPr>
        <w:tc>
          <w:tcPr>
            <w:tcW w:w="3224"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ind w:left="9"/>
            </w:pPr>
            <w:r>
              <w:t xml:space="preserve">    SODB                           0132</w:t>
            </w:r>
          </w:p>
        </w:tc>
        <w:tc>
          <w:tcPr>
            <w:tcW w:w="144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pPr>
            <w:r>
              <w:t>0</w:t>
            </w:r>
          </w:p>
        </w:tc>
        <w:tc>
          <w:tcPr>
            <w:tcW w:w="1823"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ind w:left="1064"/>
            </w:pPr>
            <w:r>
              <w:t>2587</w:t>
            </w:r>
          </w:p>
        </w:tc>
        <w:tc>
          <w:tcPr>
            <w:tcW w:w="3300" w:type="dxa"/>
            <w:tcBorders>
              <w:top w:val="single" w:sz="4" w:space="0" w:color="000000"/>
              <w:left w:val="single" w:sz="4" w:space="0" w:color="000000"/>
              <w:bottom w:val="single" w:sz="4" w:space="0" w:color="000000"/>
              <w:right w:val="single" w:sz="4" w:space="0" w:color="000000"/>
            </w:tcBorders>
            <w:shd w:val="clear" w:color="auto" w:fill="auto"/>
            <w:tcMar>
              <w:top w:w="0" w:type="dxa"/>
              <w:left w:w="70" w:type="dxa"/>
              <w:bottom w:w="0" w:type="dxa"/>
              <w:right w:w="70" w:type="dxa"/>
            </w:tcMar>
          </w:tcPr>
          <w:p w:rsidR="0091212A" w:rsidRDefault="0091212A" w:rsidP="00457A28">
            <w:pPr>
              <w:pStyle w:val="Standard"/>
            </w:pPr>
            <w:r>
              <w:t>2583,40                           99,86%</w:t>
            </w:r>
          </w:p>
        </w:tc>
      </w:tr>
    </w:tbl>
    <w:p w:rsidR="0091212A" w:rsidRDefault="0091212A" w:rsidP="0091212A">
      <w:pPr>
        <w:pStyle w:val="Standard"/>
      </w:pPr>
      <w:r>
        <w:t xml:space="preserve"> </w:t>
      </w:r>
    </w:p>
    <w:p w:rsidR="0091212A" w:rsidRDefault="0091212A" w:rsidP="0091212A">
      <w:pPr>
        <w:pStyle w:val="Standard"/>
      </w:pPr>
    </w:p>
    <w:p w:rsidR="0091212A" w:rsidRDefault="0091212A" w:rsidP="0091212A">
      <w:pPr>
        <w:pStyle w:val="Standard"/>
        <w:rPr>
          <w:b/>
          <w:bCs/>
          <w:sz w:val="28"/>
          <w:szCs w:val="28"/>
        </w:rPr>
      </w:pPr>
      <w:bookmarkStart w:id="0" w:name="_GoBack"/>
      <w:bookmarkEnd w:id="0"/>
    </w:p>
    <w:p w:rsidR="0091212A" w:rsidRDefault="0091212A" w:rsidP="0091212A">
      <w:pPr>
        <w:pStyle w:val="Standard"/>
        <w:rPr>
          <w:b/>
          <w:bCs/>
          <w:sz w:val="28"/>
          <w:szCs w:val="28"/>
        </w:rPr>
      </w:pPr>
      <w:r>
        <w:rPr>
          <w:b/>
          <w:bCs/>
          <w:sz w:val="28"/>
          <w:szCs w:val="28"/>
        </w:rPr>
        <w:t xml:space="preserve">Rozbor plnenia výdavkov obecný úrad rok 2022 </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 v %</w:t>
      </w: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Mzdy a odmeny</w:t>
            </w:r>
          </w:p>
        </w:tc>
        <w:tc>
          <w:tcPr>
            <w:tcW w:w="241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11347</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11307,83</w:t>
            </w:r>
          </w:p>
        </w:tc>
        <w:tc>
          <w:tcPr>
            <w:tcW w:w="244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99,65%</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Odvody SP a ZP</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4452</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4400,93</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98,85%</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16290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16192,21</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99,40%</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Na členské príspevky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120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115,80</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96,50%</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pPr>
            <w:r>
              <w:t xml:space="preserve">Cestná doprava   </w:t>
            </w:r>
          </w:p>
          <w:p w:rsidR="0091212A" w:rsidRDefault="0091212A" w:rsidP="00457A28">
            <w:pPr>
              <w:pStyle w:val="TableContents"/>
            </w:pPr>
            <w:r>
              <w:t xml:space="preserve">0451           </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40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31,87</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79,68%</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Vývoz odpadu</w:t>
            </w:r>
          </w:p>
          <w:p w:rsidR="0091212A" w:rsidRDefault="0091212A" w:rsidP="00457A28">
            <w:pPr>
              <w:pStyle w:val="TableContents"/>
              <w:snapToGrid w:val="0"/>
            </w:pPr>
            <w:r>
              <w:t>0510</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1060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1001,92</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94,52%</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Poplatky a odvody 0112</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300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298,97</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99,66%</w:t>
            </w:r>
          </w:p>
        </w:tc>
      </w:tr>
    </w:tbl>
    <w:p w:rsidR="0091212A" w:rsidRDefault="0091212A" w:rsidP="0091212A">
      <w:pPr>
        <w:pStyle w:val="Standard"/>
      </w:pPr>
    </w:p>
    <w:p w:rsidR="0091212A" w:rsidRDefault="0091212A" w:rsidP="0091212A">
      <w:pPr>
        <w:pStyle w:val="Standard"/>
        <w:rPr>
          <w:b/>
          <w:bCs/>
        </w:rPr>
      </w:pPr>
      <w:r>
        <w:rPr>
          <w:b/>
          <w:bCs/>
        </w:rPr>
        <w:t>Rozpočet na rok 2022 bol schválený vo výške 23 110,- eur upravený na 32 109 eur a skutočné čerpanie bolo vo výške 32016,77 eur čo predstavuje plnenie 99,40%.</w:t>
      </w: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Rozbor plnenia výdavkov voľby rok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 v %</w:t>
      </w: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Mzdy</w:t>
            </w:r>
          </w:p>
        </w:tc>
        <w:tc>
          <w:tcPr>
            <w:tcW w:w="241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70</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62,08</w:t>
            </w:r>
          </w:p>
        </w:tc>
        <w:tc>
          <w:tcPr>
            <w:tcW w:w="244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88,69%</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Odvody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44</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21,74</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49,41%</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429</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416,88</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97,17%</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Dohody o VP a odmeny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1560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1543,15</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99,56%</w:t>
            </w:r>
          </w:p>
        </w:tc>
      </w:tr>
    </w:tbl>
    <w:p w:rsidR="0091212A" w:rsidRDefault="0091212A" w:rsidP="0091212A">
      <w:pPr>
        <w:pStyle w:val="Standard"/>
      </w:pPr>
      <w:r>
        <w:rPr>
          <w:b/>
          <w:bCs/>
          <w:sz w:val="28"/>
          <w:szCs w:val="28"/>
        </w:rPr>
        <w:t xml:space="preserve"> </w:t>
      </w:r>
      <w:r>
        <w:rPr>
          <w:b/>
          <w:bCs/>
          <w:sz w:val="26"/>
          <w:szCs w:val="26"/>
        </w:rPr>
        <w:t>Rozpočet na rok 2022 bol schválený vo výške 1267,00 eur, upravený na 2103,00 eur a skutočné čerpanie bolo vo výške 2043,85 eur čo predstavuje čerpanie 97,19%.</w:t>
      </w:r>
    </w:p>
    <w:p w:rsidR="0091212A" w:rsidRDefault="0091212A" w:rsidP="0091212A">
      <w:pPr>
        <w:pStyle w:val="Standard"/>
        <w:rPr>
          <w:b/>
          <w:bCs/>
          <w:sz w:val="26"/>
          <w:szCs w:val="26"/>
        </w:rPr>
      </w:pPr>
      <w:r>
        <w:rPr>
          <w:b/>
          <w:bCs/>
          <w:sz w:val="26"/>
          <w:szCs w:val="26"/>
        </w:rPr>
        <w:t xml:space="preserve"> </w:t>
      </w:r>
    </w:p>
    <w:p w:rsidR="0091212A" w:rsidRDefault="0091212A" w:rsidP="0091212A">
      <w:pPr>
        <w:pStyle w:val="Standard"/>
        <w:rPr>
          <w:b/>
          <w:bCs/>
          <w:sz w:val="28"/>
          <w:szCs w:val="28"/>
        </w:rPr>
      </w:pPr>
      <w:r>
        <w:rPr>
          <w:b/>
          <w:bCs/>
          <w:sz w:val="28"/>
          <w:szCs w:val="28"/>
        </w:rPr>
        <w:t>Rozbor plnenia rozpočtu AČ –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w:t>
      </w: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Mzdy</w:t>
            </w:r>
          </w:p>
        </w:tc>
        <w:tc>
          <w:tcPr>
            <w:tcW w:w="241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1300</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1269</w:t>
            </w:r>
          </w:p>
        </w:tc>
        <w:tc>
          <w:tcPr>
            <w:tcW w:w="244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97,62%</w:t>
            </w:r>
          </w:p>
        </w:tc>
      </w:tr>
      <w:tr w:rsidR="0091212A" w:rsidTr="00457A28">
        <w:tblPrEx>
          <w:tblCellMar>
            <w:top w:w="0" w:type="dxa"/>
            <w:bottom w:w="0" w:type="dxa"/>
          </w:tblCellMar>
        </w:tblPrEx>
        <w:trPr>
          <w:trHeight w:val="448"/>
        </w:trPr>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Odvody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821</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443,49</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54,02%</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210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r>
    </w:tbl>
    <w:p w:rsidR="0091212A" w:rsidRDefault="0091212A" w:rsidP="0091212A">
      <w:pPr>
        <w:pStyle w:val="Standard"/>
      </w:pPr>
    </w:p>
    <w:p w:rsidR="0091212A" w:rsidRDefault="0091212A" w:rsidP="0091212A">
      <w:pPr>
        <w:pStyle w:val="Standard"/>
        <w:rPr>
          <w:b/>
          <w:bCs/>
          <w:sz w:val="26"/>
          <w:szCs w:val="26"/>
        </w:rPr>
      </w:pPr>
      <w:r>
        <w:rPr>
          <w:b/>
          <w:bCs/>
          <w:sz w:val="26"/>
          <w:szCs w:val="26"/>
        </w:rPr>
        <w:t>Schválený rozpočet pre AČ bol vo výške 2768,00 eur upravený bol vo výške 2331,00 a skutočné čerpanie bolo vo výške 1712,49 čo predstavuje plnenie na 73,47%</w:t>
      </w:r>
    </w:p>
    <w:p w:rsidR="0091212A" w:rsidRDefault="0091212A" w:rsidP="0091212A">
      <w:pPr>
        <w:pStyle w:val="Standard"/>
        <w:rPr>
          <w:b/>
          <w:bCs/>
          <w:sz w:val="28"/>
          <w:szCs w:val="28"/>
        </w:rPr>
      </w:pPr>
      <w:r>
        <w:rPr>
          <w:b/>
          <w:bCs/>
          <w:sz w:val="28"/>
          <w:szCs w:val="28"/>
        </w:rPr>
        <w:t xml:space="preserve"> </w:t>
      </w:r>
    </w:p>
    <w:p w:rsidR="0091212A" w:rsidRDefault="0091212A" w:rsidP="0091212A">
      <w:pPr>
        <w:pStyle w:val="Standard"/>
        <w:rPr>
          <w:b/>
          <w:bCs/>
          <w:sz w:val="28"/>
          <w:szCs w:val="28"/>
        </w:rPr>
      </w:pPr>
      <w:r>
        <w:rPr>
          <w:b/>
          <w:bCs/>
          <w:sz w:val="28"/>
          <w:szCs w:val="28"/>
        </w:rPr>
        <w:t>Rozbor plnenia rozpočtu verejné osvetlenie –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w:t>
      </w: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Mzdy-odmeny</w:t>
            </w:r>
          </w:p>
        </w:tc>
        <w:tc>
          <w:tcPr>
            <w:tcW w:w="241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4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r>
      <w:tr w:rsidR="0091212A" w:rsidTr="00457A28">
        <w:tblPrEx>
          <w:tblCellMar>
            <w:top w:w="0" w:type="dxa"/>
            <w:bottom w:w="0" w:type="dxa"/>
          </w:tblCellMar>
        </w:tblPrEx>
        <w:trPr>
          <w:trHeight w:val="448"/>
        </w:trPr>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Odvody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0</w:t>
            </w:r>
          </w:p>
        </w:tc>
      </w:tr>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180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172,75</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95,97%</w:t>
            </w:r>
          </w:p>
        </w:tc>
      </w:tr>
    </w:tbl>
    <w:p w:rsidR="0091212A" w:rsidRDefault="0091212A" w:rsidP="0091212A">
      <w:pPr>
        <w:pStyle w:val="Standard"/>
      </w:pPr>
    </w:p>
    <w:p w:rsidR="0091212A" w:rsidRDefault="0091212A" w:rsidP="0091212A">
      <w:pPr>
        <w:pStyle w:val="Standard"/>
      </w:pPr>
      <w:r>
        <w:rPr>
          <w:b/>
        </w:rPr>
        <w:t>Schválený rozpočet pre VO bol vo výške 150,00 a upravený na 180,00 eur. Skutočné čerpanie bolo vo výške 172,75 , čo predstavuje plnenie na 95,97%.</w:t>
      </w:r>
    </w:p>
    <w:p w:rsidR="0091212A" w:rsidRDefault="0091212A" w:rsidP="0091212A">
      <w:pPr>
        <w:pStyle w:val="Standard"/>
        <w:rPr>
          <w:b/>
          <w:bCs/>
          <w:sz w:val="28"/>
          <w:szCs w:val="28"/>
        </w:rPr>
      </w:pPr>
      <w:r>
        <w:rPr>
          <w:b/>
          <w:bCs/>
          <w:sz w:val="28"/>
          <w:szCs w:val="28"/>
        </w:rPr>
        <w:t>Rozbor plnenia rozpočtu vývoz odpadu –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w:t>
      </w:r>
    </w:p>
    <w:p w:rsidR="0091212A" w:rsidRDefault="0091212A" w:rsidP="0091212A">
      <w:pPr>
        <w:pStyle w:val="Standard"/>
        <w:rPr>
          <w:b/>
          <w:bCs/>
          <w:sz w:val="28"/>
          <w:szCs w:val="28"/>
        </w:rPr>
      </w:pP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1060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1001,92</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94,52%</w:t>
            </w:r>
          </w:p>
        </w:tc>
      </w:tr>
    </w:tbl>
    <w:p w:rsidR="0091212A" w:rsidRDefault="0091212A" w:rsidP="0091212A">
      <w:pPr>
        <w:pStyle w:val="Standard"/>
      </w:pPr>
    </w:p>
    <w:p w:rsidR="0091212A" w:rsidRDefault="0091212A" w:rsidP="0091212A">
      <w:pPr>
        <w:rPr>
          <w:b/>
        </w:rPr>
      </w:pPr>
      <w:r>
        <w:rPr>
          <w:b/>
        </w:rPr>
        <w:t>Schválený rozpočet pre  vývoz odpadu bol vo výške 750,00 eur upravený bol vo výške 1060,00 a skutočné čerpanie bolo vo výške 1001,92 čo predstavuje plnenie na 94,52%</w:t>
      </w:r>
    </w:p>
    <w:p w:rsidR="0091212A" w:rsidRDefault="0091212A" w:rsidP="0091212A">
      <w:pPr>
        <w:pStyle w:val="Standard"/>
        <w:rPr>
          <w:b/>
          <w:bCs/>
          <w:sz w:val="28"/>
          <w:szCs w:val="28"/>
          <w:u w:val="single"/>
        </w:rPr>
      </w:pP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Rozbor plnenia rozpočtu SAD 0451–  2022</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Názov                          Rozpočet                   Skutočnosť               Plnenie%</w:t>
      </w:r>
    </w:p>
    <w:p w:rsidR="0091212A" w:rsidRDefault="0091212A" w:rsidP="0091212A">
      <w:pPr>
        <w:pStyle w:val="Standard"/>
        <w:rPr>
          <w:b/>
          <w:bCs/>
          <w:sz w:val="28"/>
          <w:szCs w:val="28"/>
        </w:rPr>
      </w:pPr>
    </w:p>
    <w:tbl>
      <w:tblPr>
        <w:tblW w:w="9670" w:type="dxa"/>
        <w:tblLayout w:type="fixed"/>
        <w:tblCellMar>
          <w:left w:w="10" w:type="dxa"/>
          <w:right w:w="10" w:type="dxa"/>
        </w:tblCellMar>
        <w:tblLook w:val="0000" w:firstRow="0" w:lastRow="0" w:firstColumn="0" w:lastColumn="0" w:noHBand="0" w:noVBand="0"/>
      </w:tblPr>
      <w:tblGrid>
        <w:gridCol w:w="2409"/>
        <w:gridCol w:w="2410"/>
        <w:gridCol w:w="2409"/>
        <w:gridCol w:w="2442"/>
      </w:tblGrid>
      <w:tr w:rsidR="0091212A" w:rsidTr="00457A28">
        <w:tblPrEx>
          <w:tblCellMar>
            <w:top w:w="0" w:type="dxa"/>
            <w:bottom w:w="0" w:type="dxa"/>
          </w:tblCellMar>
        </w:tblPrEx>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Tovary a služby</w:t>
            </w:r>
          </w:p>
        </w:tc>
        <w:tc>
          <w:tcPr>
            <w:tcW w:w="2410"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40</w:t>
            </w:r>
          </w:p>
        </w:tc>
        <w:tc>
          <w:tcPr>
            <w:tcW w:w="2409" w:type="dxa"/>
            <w:tcBorders>
              <w:left w:val="single" w:sz="2" w:space="0" w:color="000000"/>
              <w:bottom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 xml:space="preserve">  31,87</w:t>
            </w:r>
          </w:p>
        </w:tc>
        <w:tc>
          <w:tcPr>
            <w:tcW w:w="244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91212A" w:rsidRDefault="0091212A" w:rsidP="00457A28">
            <w:pPr>
              <w:pStyle w:val="TableContents"/>
              <w:snapToGrid w:val="0"/>
            </w:pPr>
            <w:r>
              <w:t>79,68%</w:t>
            </w:r>
          </w:p>
        </w:tc>
      </w:tr>
    </w:tbl>
    <w:p w:rsidR="0091212A" w:rsidRDefault="0091212A" w:rsidP="0091212A">
      <w:pPr>
        <w:pStyle w:val="Standard"/>
      </w:pPr>
    </w:p>
    <w:p w:rsidR="0091212A" w:rsidRDefault="0091212A" w:rsidP="0091212A">
      <w:pPr>
        <w:rPr>
          <w:b/>
        </w:rPr>
      </w:pPr>
      <w:r>
        <w:rPr>
          <w:b/>
        </w:rPr>
        <w:t>Schválený rozpočet pre  SAD bol vo výške 40,00 eur upravený bol vo výške 40,00 a skutočné čerpanie bolo vo výške 31,87 čo predstavuje plnenie na 79,68%</w:t>
      </w:r>
    </w:p>
    <w:p w:rsidR="0091212A" w:rsidRDefault="0091212A" w:rsidP="0091212A">
      <w:pPr>
        <w:pStyle w:val="Standard"/>
        <w:rPr>
          <w:b/>
          <w:bCs/>
          <w:sz w:val="28"/>
          <w:szCs w:val="28"/>
          <w:u w:val="single"/>
        </w:rPr>
      </w:pPr>
    </w:p>
    <w:p w:rsidR="0091212A" w:rsidRDefault="0091212A" w:rsidP="0091212A">
      <w:pPr>
        <w:pStyle w:val="Standard"/>
        <w:rPr>
          <w:b/>
          <w:bCs/>
          <w:sz w:val="28"/>
          <w:szCs w:val="28"/>
          <w:u w:val="single"/>
        </w:rPr>
      </w:pPr>
      <w:r>
        <w:rPr>
          <w:b/>
          <w:bCs/>
          <w:sz w:val="28"/>
          <w:szCs w:val="28"/>
          <w:u w:val="single"/>
        </w:rPr>
        <w:t>Bežné transfery</w:t>
      </w:r>
    </w:p>
    <w:p w:rsidR="0091212A" w:rsidRDefault="0091212A" w:rsidP="0091212A">
      <w:pPr>
        <w:pStyle w:val="Standard"/>
        <w:rPr>
          <w:b/>
          <w:bCs/>
          <w:sz w:val="28"/>
          <w:szCs w:val="28"/>
          <w:u w:val="single"/>
        </w:rPr>
      </w:pPr>
    </w:p>
    <w:p w:rsidR="0091212A" w:rsidRDefault="0091212A" w:rsidP="0091212A">
      <w:pPr>
        <w:pStyle w:val="Standard"/>
        <w:rPr>
          <w:b/>
          <w:bCs/>
          <w:sz w:val="28"/>
          <w:szCs w:val="28"/>
        </w:rPr>
      </w:pPr>
      <w:r>
        <w:rPr>
          <w:b/>
          <w:bCs/>
          <w:sz w:val="28"/>
          <w:szCs w:val="28"/>
        </w:rPr>
        <w:t xml:space="preserve">bežné transfery boli rozpočtované vo výške 6457,00 Eur a vyčerpané boli k 31.12.2022 vo výške 5879,95 čo predstavuje plnenie 91,06% . Transfery boli poskytnuté na register a evidenciu obyvateľstva, register adries, voľby, UPSVAR a VUC . </w:t>
      </w:r>
    </w:p>
    <w:p w:rsidR="0091212A" w:rsidRDefault="0091212A" w:rsidP="0091212A">
      <w:pPr>
        <w:pStyle w:val="Standard"/>
        <w:rPr>
          <w:b/>
          <w:bCs/>
          <w:sz w:val="28"/>
          <w:szCs w:val="28"/>
        </w:rPr>
      </w:pPr>
      <w:r>
        <w:rPr>
          <w:b/>
          <w:bCs/>
          <w:sz w:val="28"/>
          <w:szCs w:val="28"/>
        </w:rPr>
        <w:t>Dotácia na životné prostredie vo výške 5,60, bola vrátená do 31.03.2023</w:t>
      </w:r>
    </w:p>
    <w:p w:rsidR="0091212A" w:rsidRDefault="0091212A" w:rsidP="0091212A">
      <w:pPr>
        <w:pStyle w:val="Standard"/>
        <w:rPr>
          <w:b/>
          <w:bCs/>
          <w:sz w:val="28"/>
          <w:szCs w:val="28"/>
        </w:rPr>
      </w:pPr>
      <w:r>
        <w:rPr>
          <w:b/>
          <w:bCs/>
          <w:sz w:val="28"/>
          <w:szCs w:val="28"/>
        </w:rPr>
        <w:t>Prenos dotácií do roku 2023 boli vo výške 674,57 voľby referendum a 674,75 dotácia na odmeny vo výške 674,75.</w:t>
      </w:r>
    </w:p>
    <w:p w:rsidR="0091212A" w:rsidRDefault="0091212A" w:rsidP="0091212A">
      <w:pPr>
        <w:pStyle w:val="Standard"/>
        <w:rPr>
          <w:b/>
          <w:bCs/>
          <w:sz w:val="28"/>
          <w:szCs w:val="28"/>
        </w:rPr>
      </w:pP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Kapitálové výdavky v roku 2022 neboli.</w:t>
      </w:r>
    </w:p>
    <w:p w:rsidR="0091212A" w:rsidRDefault="0091212A" w:rsidP="0091212A">
      <w:pPr>
        <w:pStyle w:val="Standard"/>
        <w:rPr>
          <w:b/>
          <w:bCs/>
          <w:sz w:val="28"/>
          <w:szCs w:val="28"/>
        </w:rPr>
      </w:pPr>
    </w:p>
    <w:p w:rsidR="0091212A" w:rsidRDefault="0091212A" w:rsidP="0091212A">
      <w:pPr>
        <w:pStyle w:val="Standard"/>
        <w:rPr>
          <w:b/>
          <w:bCs/>
          <w:sz w:val="28"/>
          <w:szCs w:val="28"/>
        </w:rPr>
      </w:pPr>
      <w:r>
        <w:rPr>
          <w:b/>
          <w:bCs/>
          <w:sz w:val="28"/>
          <w:szCs w:val="28"/>
        </w:rPr>
        <w:t>Na bežný chod obce bol použitý RF obce vo výške 3236,37 eur</w:t>
      </w:r>
    </w:p>
    <w:p w:rsidR="0091212A" w:rsidRDefault="0091212A" w:rsidP="0091212A">
      <w:pPr>
        <w:pStyle w:val="Standard"/>
        <w:rPr>
          <w:b/>
          <w:bCs/>
          <w:sz w:val="28"/>
          <w:szCs w:val="28"/>
          <w:u w:val="single"/>
        </w:rPr>
      </w:pPr>
    </w:p>
    <w:p w:rsidR="0091212A" w:rsidRDefault="0091212A" w:rsidP="0091212A">
      <w:pPr>
        <w:pStyle w:val="Standard"/>
      </w:pPr>
    </w:p>
    <w:p w:rsidR="0091212A" w:rsidRDefault="0091212A" w:rsidP="0091212A">
      <w:pPr>
        <w:pStyle w:val="Standard"/>
      </w:pPr>
    </w:p>
    <w:p w:rsidR="0091212A" w:rsidRDefault="0091212A" w:rsidP="0091212A">
      <w:pPr>
        <w:pStyle w:val="Standard"/>
      </w:pPr>
    </w:p>
    <w:p w:rsidR="0091212A" w:rsidRDefault="0091212A" w:rsidP="0091212A">
      <w:pPr>
        <w:pStyle w:val="Standard"/>
      </w:pPr>
    </w:p>
    <w:p w:rsidR="0091212A" w:rsidRDefault="0091212A" w:rsidP="0091212A">
      <w:pPr>
        <w:pStyle w:val="Standard"/>
      </w:pPr>
    </w:p>
    <w:p w:rsidR="0091212A" w:rsidRDefault="0091212A" w:rsidP="0091212A">
      <w:pPr>
        <w:pStyle w:val="Standard"/>
      </w:pPr>
    </w:p>
    <w:p w:rsidR="00060B7F" w:rsidRDefault="00DE5CF4">
      <w:pPr>
        <w:pStyle w:val="Standard"/>
      </w:pPr>
      <w:r>
        <w:rPr>
          <w:b/>
          <w:bCs/>
          <w:sz w:val="32"/>
          <w:szCs w:val="32"/>
        </w:rPr>
        <w:t xml:space="preserve">     Z</w:t>
      </w:r>
      <w:r>
        <w:rPr>
          <w:b/>
          <w:bCs/>
          <w:sz w:val="28"/>
          <w:szCs w:val="28"/>
          <w:u w:val="single"/>
        </w:rPr>
        <w:t xml:space="preserve"> hľadiska budúcich cieľov Obec Detrík aj naďalej bude prostredníctvom svojich orgánov plniť hlavne samosprávne funkcie na ktoré bola zriadená a prenesené úlohy štátnej správy, tak ako je to stanovené v zákone č.416/2001 Z.z o prechode niektorých pôsobnosti z orgánov štátnej správy na obce, Všetky nutné zmeny, ktoré obec bude v budúcnosti realizovať budú mať jediný cieľ a to zvýšenie starostlivosti o všestranný rozvoj územia obce a potreby jej obyvateľov.</w:t>
      </w:r>
    </w:p>
    <w:p w:rsidR="00060B7F" w:rsidRDefault="00DE5CF4">
      <w:pPr>
        <w:pStyle w:val="Standard"/>
        <w:ind w:left="360"/>
        <w:rPr>
          <w:b/>
          <w:bCs/>
          <w:sz w:val="28"/>
          <w:szCs w:val="28"/>
          <w:u w:val="single"/>
        </w:rPr>
      </w:pPr>
      <w:r>
        <w:rPr>
          <w:b/>
          <w:bCs/>
          <w:sz w:val="28"/>
          <w:szCs w:val="28"/>
          <w:u w:val="single"/>
        </w:rPr>
        <w:t>Táto výročná správa sa vyhotovuje za účtovné obdobie od 1.1.20</w:t>
      </w:r>
      <w:r w:rsidR="00BB44A2">
        <w:rPr>
          <w:b/>
          <w:bCs/>
          <w:sz w:val="28"/>
          <w:szCs w:val="28"/>
          <w:u w:val="single"/>
        </w:rPr>
        <w:t>2</w:t>
      </w:r>
      <w:r w:rsidR="007F2CAB">
        <w:rPr>
          <w:b/>
          <w:bCs/>
          <w:sz w:val="28"/>
          <w:szCs w:val="28"/>
          <w:u w:val="single"/>
        </w:rPr>
        <w:t>2</w:t>
      </w:r>
      <w:r>
        <w:rPr>
          <w:b/>
          <w:bCs/>
          <w:sz w:val="28"/>
          <w:szCs w:val="28"/>
          <w:u w:val="single"/>
        </w:rPr>
        <w:t xml:space="preserve"> do 31.12.20</w:t>
      </w:r>
      <w:r w:rsidR="00BB44A2">
        <w:rPr>
          <w:b/>
          <w:bCs/>
          <w:sz w:val="28"/>
          <w:szCs w:val="28"/>
          <w:u w:val="single"/>
        </w:rPr>
        <w:t>2</w:t>
      </w:r>
      <w:r w:rsidR="007F2CAB">
        <w:rPr>
          <w:b/>
          <w:bCs/>
          <w:sz w:val="28"/>
          <w:szCs w:val="28"/>
          <w:u w:val="single"/>
        </w:rPr>
        <w:t>2</w:t>
      </w:r>
      <w:r>
        <w:rPr>
          <w:b/>
          <w:bCs/>
          <w:sz w:val="28"/>
          <w:szCs w:val="28"/>
          <w:u w:val="single"/>
        </w:rPr>
        <w:t>. Účtovná závierka bola odovzdaná metodikovi pre učtovníctvo Ing Matúščaková Vlasta na Daňovom úr</w:t>
      </w:r>
      <w:r w:rsidR="00395AE9">
        <w:rPr>
          <w:b/>
          <w:bCs/>
          <w:sz w:val="28"/>
          <w:szCs w:val="28"/>
          <w:u w:val="single"/>
        </w:rPr>
        <w:t>ade v Humennom v</w:t>
      </w:r>
      <w:r>
        <w:rPr>
          <w:b/>
          <w:bCs/>
          <w:sz w:val="28"/>
          <w:szCs w:val="28"/>
          <w:u w:val="single"/>
        </w:rPr>
        <w:t xml:space="preserve"> písomnej aj elektronickej forme v termine stanovenom v zákone. Po ukonční účtovného obdobia nenastali žiadne udalosti osobitného významu, ktoré by bolo potrebné uviesť v tejto výročnej správy.</w:t>
      </w:r>
    </w:p>
    <w:p w:rsidR="00060B7F" w:rsidRDefault="00060B7F">
      <w:pPr>
        <w:pStyle w:val="Standard"/>
        <w:ind w:left="360"/>
        <w:rPr>
          <w:b/>
          <w:bCs/>
          <w:sz w:val="28"/>
          <w:szCs w:val="28"/>
          <w:u w:val="single"/>
        </w:rPr>
      </w:pPr>
    </w:p>
    <w:p w:rsidR="00060B7F" w:rsidRDefault="00060B7F">
      <w:pPr>
        <w:pStyle w:val="Standard"/>
        <w:rPr>
          <w:rFonts w:eastAsia="Calibri" w:cs="Calibri"/>
          <w:b/>
          <w:bCs/>
          <w:color w:val="auto"/>
          <w:sz w:val="28"/>
          <w:szCs w:val="28"/>
        </w:rPr>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pPr>
    </w:p>
    <w:p w:rsidR="00060B7F" w:rsidRDefault="00060B7F">
      <w:pPr>
        <w:pStyle w:val="Standard"/>
        <w:rPr>
          <w:rFonts w:ascii="Times New Roman" w:eastAsia="Times New Roman" w:hAnsi="Times New Roman" w:cs="Times New Roman"/>
          <w:b/>
          <w:bCs/>
          <w:color w:val="auto"/>
          <w:sz w:val="28"/>
          <w:szCs w:val="28"/>
        </w:rPr>
      </w:pPr>
    </w:p>
    <w:p w:rsidR="00060B7F" w:rsidRDefault="00060B7F">
      <w:pPr>
        <w:pStyle w:val="Standard"/>
        <w:rPr>
          <w:b/>
          <w:bCs/>
          <w:sz w:val="32"/>
          <w:szCs w:val="32"/>
          <w:u w:val="single"/>
        </w:rPr>
      </w:pPr>
    </w:p>
    <w:p w:rsidR="00060B7F" w:rsidRDefault="00060B7F">
      <w:pPr>
        <w:pStyle w:val="Standard"/>
        <w:rPr>
          <w:b/>
          <w:bCs/>
          <w:sz w:val="32"/>
          <w:szCs w:val="32"/>
          <w:u w:val="single"/>
        </w:rPr>
      </w:pPr>
    </w:p>
    <w:sectPr w:rsidR="00060B7F">
      <w:pgSz w:w="11906" w:h="16838"/>
      <w:pgMar w:top="1134" w:right="1134" w:bottom="1134" w:left="1134"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6DD" w:rsidRDefault="007046DD">
      <w:r>
        <w:separator/>
      </w:r>
    </w:p>
  </w:endnote>
  <w:endnote w:type="continuationSeparator" w:id="0">
    <w:p w:rsidR="007046DD" w:rsidRDefault="00704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Arial Unicode MS'">
    <w:charset w:val="00"/>
    <w:family w:val="auto"/>
    <w:pitch w:val="default"/>
  </w:font>
  <w:font w:name="Calibri">
    <w:panose1 w:val="020F0502020204030204"/>
    <w:charset w:val="EE"/>
    <w:family w:val="swiss"/>
    <w:pitch w:val="variable"/>
    <w:sig w:usb0="E00002FF" w:usb1="4000ACFF" w:usb2="00000001" w:usb3="00000000" w:csb0="0000019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6DD" w:rsidRDefault="007046DD">
      <w:r>
        <w:separator/>
      </w:r>
    </w:p>
  </w:footnote>
  <w:footnote w:type="continuationSeparator" w:id="0">
    <w:p w:rsidR="007046DD" w:rsidRDefault="007046D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B25DEA"/>
    <w:multiLevelType w:val="multilevel"/>
    <w:tmpl w:val="666E0C98"/>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18FC25C5"/>
    <w:multiLevelType w:val="multilevel"/>
    <w:tmpl w:val="4D727FC6"/>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E6822AA"/>
    <w:multiLevelType w:val="multilevel"/>
    <w:tmpl w:val="3B826074"/>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30A43038"/>
    <w:multiLevelType w:val="multilevel"/>
    <w:tmpl w:val="2DFA1CE8"/>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5100280E"/>
    <w:multiLevelType w:val="multilevel"/>
    <w:tmpl w:val="D770716E"/>
    <w:styleLink w:val="WW8Num3"/>
    <w:lvl w:ilvl="0">
      <w:start w:val="1"/>
      <w:numFmt w:val="decimal"/>
      <w:lvlText w:val="%1."/>
      <w:lvlJc w:val="left"/>
      <w:pPr>
        <w:ind w:left="720" w:hanging="360"/>
      </w:pPr>
      <w:rPr>
        <w:rFonts w:ascii="Symbol" w:hAnsi="Symbol" w:cs="StarSymbol, 'Arial Unicode MS'"/>
        <w:sz w:val="18"/>
        <w:szCs w:val="1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3"/>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541E4780"/>
    <w:multiLevelType w:val="multilevel"/>
    <w:tmpl w:val="5D1A16DC"/>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556143E2"/>
    <w:multiLevelType w:val="multilevel"/>
    <w:tmpl w:val="DAACBAA6"/>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5E745C3F"/>
    <w:multiLevelType w:val="multilevel"/>
    <w:tmpl w:val="42F63BF8"/>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6B561DF6"/>
    <w:multiLevelType w:val="multilevel"/>
    <w:tmpl w:val="53567F98"/>
    <w:lvl w:ilvl="0">
      <w:numFmt w:val="bullet"/>
      <w:lvlText w:val="•"/>
      <w:lvlJc w:val="left"/>
      <w:pPr>
        <w:ind w:left="36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79201EA7"/>
    <w:multiLevelType w:val="multilevel"/>
    <w:tmpl w:val="52CE1CDE"/>
    <w:styleLink w:val="WW8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4"/>
  </w:num>
  <w:num w:numId="2">
    <w:abstractNumId w:val="9"/>
  </w:num>
  <w:num w:numId="3">
    <w:abstractNumId w:val="5"/>
  </w:num>
  <w:num w:numId="4">
    <w:abstractNumId w:val="8"/>
  </w:num>
  <w:num w:numId="5">
    <w:abstractNumId w:val="7"/>
  </w:num>
  <w:num w:numId="6">
    <w:abstractNumId w:val="1"/>
  </w:num>
  <w:num w:numId="7">
    <w:abstractNumId w:val="2"/>
  </w:num>
  <w:num w:numId="8">
    <w:abstractNumId w:val="6"/>
  </w:num>
  <w:num w:numId="9">
    <w:abstractNumId w:val="0"/>
  </w:num>
  <w:num w:numId="10">
    <w:abstractNumId w:val="3"/>
  </w:num>
  <w:num w:numId="11">
    <w:abstractNumId w:val="3"/>
    <w:lvlOverride w:ilvl="0">
      <w:startOverride w:val="1"/>
    </w:lvlOverride>
  </w:num>
  <w:num w:numId="12">
    <w:abstractNumId w:val="3"/>
    <w:lvlOverride w:ilvl="0">
      <w:startOverride w:val="1"/>
    </w:lvlOverride>
  </w:num>
  <w:num w:numId="13">
    <w:abstractNumId w:val="4"/>
    <w:lvlOverride w:ilvl="0">
      <w:startOverride w:val="1"/>
    </w:lvlOverride>
  </w:num>
  <w:num w:numId="14">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0B7F"/>
    <w:rsid w:val="00012C9C"/>
    <w:rsid w:val="0004684F"/>
    <w:rsid w:val="00060B7F"/>
    <w:rsid w:val="00230E68"/>
    <w:rsid w:val="00395AE9"/>
    <w:rsid w:val="00552A83"/>
    <w:rsid w:val="00582F14"/>
    <w:rsid w:val="007046DD"/>
    <w:rsid w:val="007068BE"/>
    <w:rsid w:val="007F2CAB"/>
    <w:rsid w:val="0091212A"/>
    <w:rsid w:val="00AA397E"/>
    <w:rsid w:val="00B75E33"/>
    <w:rsid w:val="00BB44A2"/>
    <w:rsid w:val="00BF3548"/>
    <w:rsid w:val="00CA6D8C"/>
    <w:rsid w:val="00CE604D"/>
    <w:rsid w:val="00DE5CF4"/>
    <w:rsid w:val="00E92D7F"/>
    <w:rsid w:val="00F91D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CB9307-ED47-4CF7-9755-89B7C8DEA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Lucida Sans Unicode" w:hAnsi="Calibri" w:cs="Tahoma"/>
        <w:color w:val="000000"/>
        <w:kern w:val="3"/>
        <w:sz w:val="24"/>
        <w:szCs w:val="24"/>
        <w:lang w:val="en-US" w:eastAsia="en-US" w:bidi="en-US"/>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pPr>
      <w:suppressAutoHyphens/>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pPr>
      <w:suppressAutoHyphens/>
    </w:pPr>
  </w:style>
  <w:style w:type="paragraph" w:customStyle="1" w:styleId="TableContents">
    <w:name w:val="Table Contents"/>
    <w:basedOn w:val="Standard"/>
    <w:pPr>
      <w:suppressLineNumbers/>
    </w:pPr>
  </w:style>
  <w:style w:type="character" w:customStyle="1" w:styleId="Internetlink">
    <w:name w:val="Internet link"/>
    <w:rPr>
      <w:color w:val="000080"/>
      <w:u w:val="single"/>
    </w:rPr>
  </w:style>
  <w:style w:type="character" w:customStyle="1" w:styleId="WW8Num3z0">
    <w:name w:val="WW8Num3z0"/>
    <w:rPr>
      <w:rFonts w:ascii="Symbol" w:hAnsi="Symbol" w:cs="StarSymbol, 'Arial Unicode MS'"/>
      <w:sz w:val="18"/>
      <w:szCs w:val="18"/>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paragraph" w:styleId="Textbubliny">
    <w:name w:val="Balloon Text"/>
    <w:basedOn w:val="Normlny"/>
    <w:rPr>
      <w:rFonts w:ascii="Segoe UI" w:hAnsi="Segoe UI" w:cs="Segoe UI"/>
      <w:sz w:val="18"/>
      <w:szCs w:val="18"/>
    </w:rPr>
  </w:style>
  <w:style w:type="character" w:customStyle="1" w:styleId="TextbublinyChar">
    <w:name w:val="Text bubliny Char"/>
    <w:basedOn w:val="Predvolenpsmoodseku"/>
    <w:rPr>
      <w:rFonts w:ascii="Segoe UI" w:hAnsi="Segoe UI" w:cs="Segoe UI"/>
      <w:sz w:val="18"/>
      <w:szCs w:val="18"/>
    </w:rPr>
  </w:style>
  <w:style w:type="paragraph" w:styleId="Hlavika">
    <w:name w:val="header"/>
    <w:basedOn w:val="Normlny"/>
    <w:pPr>
      <w:tabs>
        <w:tab w:val="center" w:pos="4536"/>
        <w:tab w:val="right" w:pos="9072"/>
      </w:tabs>
    </w:pPr>
  </w:style>
  <w:style w:type="character" w:customStyle="1" w:styleId="HlavikaChar">
    <w:name w:val="Hlavička Char"/>
    <w:basedOn w:val="Predvolenpsmoodseku"/>
  </w:style>
  <w:style w:type="paragraph" w:styleId="Pta">
    <w:name w:val="footer"/>
    <w:basedOn w:val="Normlny"/>
    <w:pPr>
      <w:tabs>
        <w:tab w:val="center" w:pos="4536"/>
        <w:tab w:val="right" w:pos="9072"/>
      </w:tabs>
    </w:pPr>
  </w:style>
  <w:style w:type="character" w:customStyle="1" w:styleId="PtaChar">
    <w:name w:val="Päta Char"/>
    <w:basedOn w:val="Predvolenpsmoodseku"/>
  </w:style>
  <w:style w:type="numbering" w:customStyle="1" w:styleId="WW8Num3">
    <w:name w:val="WW8Num3"/>
    <w:basedOn w:val="Bezzoznamu"/>
    <w:pPr>
      <w:numPr>
        <w:numId w:val="1"/>
      </w:numPr>
    </w:pPr>
  </w:style>
  <w:style w:type="numbering" w:customStyle="1" w:styleId="WW8Num1">
    <w:name w:val="WW8Num1"/>
    <w:basedOn w:val="Bezzoznamu"/>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openxmlformats.org/officeDocument/2006/relationships/settings" Target="settings.xml"/><Relationship Id="rId7" Type="http://schemas.openxmlformats.org/officeDocument/2006/relationships/hyperlink" Target="mailto:obec@hornastreda.s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3.jpg"/><Relationship Id="rId4" Type="http://schemas.openxmlformats.org/officeDocument/2006/relationships/webSettings" Target="webSettings.xml"/><Relationship Id="rId9" Type="http://schemas.openxmlformats.org/officeDocument/2006/relationships/image" Target="media/image2.jp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12</Pages>
  <Words>2718</Words>
  <Characters>15497</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VOĽANSKÁ Ľubica</dc:creator>
  <cp:lastModifiedBy>HRICOVÁ Danka</cp:lastModifiedBy>
  <cp:revision>3</cp:revision>
  <cp:lastPrinted>2016-12-27T18:35:00Z</cp:lastPrinted>
  <dcterms:created xsi:type="dcterms:W3CDTF">2023-06-16T12:49:00Z</dcterms:created>
  <dcterms:modified xsi:type="dcterms:W3CDTF">2023-11-09T14:58:00Z</dcterms:modified>
</cp:coreProperties>
</file>