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hd w:val="clear" w:color="auto" w:fill="E6E6E6"/>
        <w:spacing w:lineRule="auto" w:line="240" w:before="0" w:after="0"/>
        <w:ind w:right="284" w:hanging="0"/>
        <w:jc w:val="center"/>
        <w:rPr>
          <w:i/>
          <w:i/>
          <w:szCs w:val="22"/>
        </w:rPr>
      </w:pPr>
      <w:r>
        <w:rPr>
          <w:i/>
          <w:szCs w:val="22"/>
        </w:rPr>
        <w:t xml:space="preserve">Čl.I - Všeobecné informácie </w:t>
      </w:r>
    </w:p>
    <w:p>
      <w:pPr>
        <w:pStyle w:val="Odsekzoznamu1"/>
        <w:keepNext w:val="true"/>
        <w:numPr>
          <w:ilvl w:val="0"/>
          <w:numId w:val="2"/>
        </w:numPr>
        <w:spacing w:lineRule="auto" w:line="240" w:before="0" w:after="0"/>
        <w:ind w:left="357" w:hanging="357"/>
        <w:contextualSpacing/>
        <w:jc w:val="both"/>
        <w:outlineLvl w:val="1"/>
        <w:rPr>
          <w:szCs w:val="22"/>
        </w:rPr>
      </w:pPr>
      <w:r>
        <w:rPr>
          <w:szCs w:val="22"/>
        </w:rPr>
      </w:r>
    </w:p>
    <w:tbl>
      <w:tblPr>
        <w:tblW w:w="9072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1988"/>
        <w:gridCol w:w="7083"/>
      </w:tblGrid>
      <w:tr>
        <w:trPr>
          <w:trHeight w:val="1327" w:hRule="atLeast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</w:r>
          </w:p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 </w:t>
            </w:r>
            <w:r>
              <w:rPr>
                <w:rFonts w:cs="Arial Narrow"/>
                <w:szCs w:val="22"/>
              </w:rPr>
              <w:t>NZ Elektro, s. r. o.</w:t>
            </w:r>
          </w:p>
        </w:tc>
      </w:tr>
      <w:tr>
        <w:trPr>
          <w:trHeight w:val="340" w:hRule="atLeast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Sídlo: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Samuela Nováka 2194, 02601 Dolný Kubín </w:t>
            </w:r>
          </w:p>
        </w:tc>
      </w:tr>
    </w:tbl>
    <w:p>
      <w:pPr>
        <w:pStyle w:val="Normal"/>
        <w:jc w:val="both"/>
        <w:rPr>
          <w:bCs/>
          <w:szCs w:val="22"/>
        </w:rPr>
      </w:pPr>
      <w:r>
        <w:rPr>
          <w:bCs/>
          <w:szCs w:val="22"/>
        </w:rPr>
        <w:t xml:space="preserve">Opis vykonávanej  činnosti účtovnej jednotky: Predaj elektromateriálu a poskytovanie služby SKILINK </w:t>
      </w:r>
    </w:p>
    <w:p>
      <w:pPr>
        <w:pStyle w:val="Normal"/>
        <w:jc w:val="both"/>
        <w:rPr>
          <w:bCs/>
          <w:szCs w:val="22"/>
        </w:rPr>
      </w:pPr>
      <w:r>
        <w:rPr>
          <w:bCs/>
          <w:szCs w:val="22"/>
        </w:rPr>
      </w:r>
    </w:p>
    <w:p>
      <w:pPr>
        <w:pStyle w:val="Odsekzoznamu1"/>
        <w:keepNext w:val="true"/>
        <w:numPr>
          <w:ilvl w:val="0"/>
          <w:numId w:val="2"/>
        </w:numPr>
        <w:spacing w:lineRule="auto" w:line="240" w:before="0" w:after="0"/>
        <w:ind w:left="357" w:hanging="357"/>
        <w:contextualSpacing/>
        <w:jc w:val="both"/>
        <w:outlineLvl w:val="1"/>
        <w:rPr/>
      </w:pPr>
      <w:r>
        <w:rPr>
          <w:szCs w:val="22"/>
        </w:rPr>
        <w:t xml:space="preserve">Dátum schválenia účtovnej závierky za bezprostredne predchádzajúce účtovné obdobie: </w:t>
      </w:r>
      <w:r>
        <w:rPr>
          <w:bCs/>
          <w:szCs w:val="22"/>
        </w:rPr>
        <w:t>30.06.2022</w:t>
      </w:r>
    </w:p>
    <w:p>
      <w:pPr>
        <w:pStyle w:val="Odsekzoznamu1"/>
        <w:keepNext w:val="true"/>
        <w:numPr>
          <w:ilvl w:val="0"/>
          <w:numId w:val="0"/>
        </w:numPr>
        <w:spacing w:lineRule="auto" w:line="240" w:before="0" w:after="0"/>
        <w:ind w:left="357" w:hanging="0"/>
        <w:contextualSpacing/>
        <w:jc w:val="both"/>
        <w:outlineLvl w:val="1"/>
        <w:rPr>
          <w:bCs/>
          <w:szCs w:val="22"/>
        </w:rPr>
      </w:pPr>
      <w:r>
        <w:rPr>
          <w:bCs/>
          <w:szCs w:val="22"/>
        </w:rPr>
      </w:r>
    </w:p>
    <w:tbl>
      <w:tblPr>
        <w:tblW w:w="9072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92"/>
        <w:gridCol w:w="3401"/>
        <w:gridCol w:w="2808"/>
        <w:gridCol w:w="1550"/>
        <w:gridCol w:w="320"/>
      </w:tblGrid>
      <w:tr>
        <w:trPr>
          <w:trHeight w:val="340" w:hRule="exact"/>
        </w:trPr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Odsekzoznamu1"/>
              <w:keepNext w:val="true"/>
              <w:numPr>
                <w:ilvl w:val="0"/>
                <w:numId w:val="2"/>
              </w:numPr>
              <w:spacing w:lineRule="auto" w:line="240" w:before="0" w:after="0"/>
              <w:ind w:left="357" w:hanging="357"/>
              <w:contextualSpacing/>
              <w:jc w:val="both"/>
              <w:outlineLvl w:val="1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2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Riadna</w:t>
            </w: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40" w:hRule="exact"/>
        </w:trPr>
        <w:tc>
          <w:tcPr>
            <w:tcW w:w="9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20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Mimoriadna</w:t>
            </w:r>
          </w:p>
        </w:tc>
        <w:tc>
          <w:tcPr>
            <w:tcW w:w="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exact"/>
        </w:trPr>
        <w:tc>
          <w:tcPr>
            <w:tcW w:w="9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Dôvod mimoriadnej účtovnej závierky</w:t>
            </w:r>
          </w:p>
        </w:tc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jc w:val="center"/>
        <w:outlineLvl w:val="1"/>
        <w:rPr>
          <w:b/>
          <w:b/>
          <w:bCs/>
          <w:szCs w:val="22"/>
        </w:rPr>
      </w:pPr>
      <w:r>
        <w:rPr>
          <w:b/>
          <w:bCs/>
          <w:szCs w:val="22"/>
        </w:rPr>
      </w:r>
    </w:p>
    <w:p>
      <w:pPr>
        <w:pStyle w:val="Odsekzoznamu1"/>
        <w:keepNext w:val="true"/>
        <w:numPr>
          <w:ilvl w:val="0"/>
          <w:numId w:val="2"/>
        </w:numPr>
        <w:spacing w:lineRule="auto" w:line="240" w:before="0" w:after="0"/>
        <w:ind w:left="357" w:hanging="357"/>
        <w:contextualSpacing/>
        <w:jc w:val="both"/>
        <w:outlineLvl w:val="1"/>
        <w:rPr>
          <w:b/>
          <w:b/>
          <w:bCs/>
          <w:szCs w:val="22"/>
        </w:rPr>
      </w:pPr>
      <w:r>
        <w:rPr>
          <w:szCs w:val="22"/>
        </w:rPr>
        <w:t>Údaje o skupine účtovných jednotiek:</w:t>
      </w:r>
    </w:p>
    <w:tbl>
      <w:tblPr>
        <w:tblW w:w="9072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971"/>
        <w:gridCol w:w="566"/>
        <w:gridCol w:w="3971"/>
        <w:gridCol w:w="563"/>
      </w:tblGrid>
      <w:tr>
        <w:trPr/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  <w:t>Nie je súčasťou konsolidovaného celku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  <w:t xml:space="preserve">            </w:t>
            </w:r>
            <w:r>
              <w:rPr>
                <w:szCs w:val="22"/>
              </w:rPr>
              <w:t xml:space="preserve">Je súčasťou konsolidovaného celku 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ind w:left="56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Odsekzoznamu1"/>
        <w:keepNext w:val="true"/>
        <w:numPr>
          <w:ilvl w:val="0"/>
          <w:numId w:val="4"/>
        </w:numPr>
        <w:spacing w:lineRule="auto" w:line="240" w:before="0" w:after="0"/>
        <w:ind w:left="641" w:hanging="284"/>
        <w:contextualSpacing/>
        <w:jc w:val="both"/>
        <w:outlineLvl w:val="1"/>
        <w:rPr>
          <w:b/>
          <w:b/>
          <w:bCs/>
          <w:sz w:val="20"/>
          <w:szCs w:val="22"/>
        </w:rPr>
      </w:pPr>
      <w:r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>
      <w:pPr>
        <w:pStyle w:val="Odsekzoznamu1"/>
        <w:keepNext w:val="true"/>
        <w:numPr>
          <w:ilvl w:val="0"/>
          <w:numId w:val="4"/>
        </w:numPr>
        <w:spacing w:lineRule="auto" w:line="240" w:before="0" w:after="0"/>
        <w:ind w:left="641" w:hanging="284"/>
        <w:contextualSpacing/>
        <w:jc w:val="both"/>
        <w:outlineLvl w:val="1"/>
        <w:rPr>
          <w:b/>
          <w:b/>
          <w:bCs/>
          <w:sz w:val="20"/>
          <w:szCs w:val="22"/>
        </w:rPr>
      </w:pPr>
      <w:r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>
      <w:pPr>
        <w:pStyle w:val="Odsekzoznamu1"/>
        <w:keepNext w:val="true"/>
        <w:numPr>
          <w:ilvl w:val="0"/>
          <w:numId w:val="4"/>
        </w:numPr>
        <w:spacing w:lineRule="auto" w:line="240" w:before="0" w:after="0"/>
        <w:ind w:left="641" w:hanging="284"/>
        <w:contextualSpacing/>
        <w:jc w:val="both"/>
        <w:outlineLvl w:val="1"/>
        <w:rPr>
          <w:b/>
          <w:b/>
          <w:bCs/>
          <w:sz w:val="20"/>
          <w:szCs w:val="22"/>
        </w:rPr>
      </w:pPr>
      <w:r>
        <w:rPr>
          <w:sz w:val="20"/>
          <w:szCs w:val="22"/>
        </w:rPr>
        <w:t>adresa, kde sa môže vyžiadať kópia konsolidovaných účtovných závierok uvedených v písmenách a) a b),</w:t>
      </w:r>
    </w:p>
    <w:p>
      <w:pPr>
        <w:pStyle w:val="Odsekzoznamu1"/>
        <w:keepNext w:val="true"/>
        <w:numPr>
          <w:ilvl w:val="0"/>
          <w:numId w:val="4"/>
        </w:numPr>
        <w:spacing w:lineRule="auto" w:line="240" w:before="0" w:after="0"/>
        <w:ind w:left="641" w:hanging="284"/>
        <w:contextualSpacing/>
        <w:jc w:val="both"/>
        <w:outlineLvl w:val="1"/>
        <w:rPr>
          <w:b/>
          <w:b/>
          <w:bCs/>
          <w:sz w:val="20"/>
          <w:szCs w:val="22"/>
        </w:rPr>
      </w:pPr>
      <w:r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851" w:leader="none"/>
        </w:tabs>
        <w:spacing w:lineRule="auto" w:line="240" w:before="0" w:after="0"/>
        <w:ind w:left="1077" w:hanging="357"/>
        <w:jc w:val="both"/>
        <w:rPr>
          <w:sz w:val="20"/>
          <w:szCs w:val="22"/>
        </w:rPr>
      </w:pPr>
      <w:r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851" w:leader="none"/>
        </w:tabs>
        <w:spacing w:lineRule="auto" w:line="240" w:before="0" w:after="0"/>
        <w:ind w:left="1077" w:hanging="357"/>
        <w:jc w:val="both"/>
        <w:rPr>
          <w:sz w:val="20"/>
          <w:szCs w:val="22"/>
        </w:rPr>
      </w:pPr>
      <w:r>
        <w:rPr>
          <w:sz w:val="20"/>
          <w:szCs w:val="22"/>
        </w:rPr>
        <w:t>pri oslobodení podľa § 22 ods. 10 a 12 zákona obchodné meno a sídlo dcérskych účtovných jednotiek.</w:t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ind w:left="1077" w:hanging="0"/>
        <w:jc w:val="both"/>
        <w:rPr>
          <w:szCs w:val="22"/>
        </w:rPr>
      </w:pPr>
      <w:r>
        <w:rPr>
          <w:szCs w:val="22"/>
        </w:rPr>
      </w:r>
    </w:p>
    <w:tbl>
      <w:tblPr>
        <w:tblW w:w="47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776"/>
        <w:gridCol w:w="6472"/>
        <w:gridCol w:w="1279"/>
      </w:tblGrid>
      <w:tr>
        <w:trPr>
          <w:trHeight w:val="340" w:hRule="atLeast"/>
        </w:trPr>
        <w:tc>
          <w:tcPr>
            <w:tcW w:w="7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Odsekzoznamu1"/>
              <w:keepNext w:val="true"/>
              <w:numPr>
                <w:ilvl w:val="0"/>
                <w:numId w:val="2"/>
              </w:numPr>
              <w:spacing w:lineRule="auto" w:line="240" w:before="0" w:after="0"/>
              <w:ind w:left="357" w:hanging="357"/>
              <w:contextualSpacing/>
              <w:jc w:val="both"/>
              <w:outlineLvl w:val="1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Odsekzoznamu1"/>
              <w:keepNext w:val="true"/>
              <w:numPr>
                <w:ilvl w:val="0"/>
                <w:numId w:val="0"/>
              </w:numPr>
              <w:spacing w:lineRule="auto" w:line="240" w:before="0" w:after="0"/>
              <w:ind w:left="0" w:hanging="0"/>
              <w:contextualSpacing/>
              <w:outlineLvl w:val="1"/>
              <w:rPr>
                <w:szCs w:val="22"/>
              </w:rPr>
            </w:pPr>
            <w:r>
              <w:rPr>
                <w:szCs w:val="22"/>
              </w:rPr>
              <w:t>Priemerný prepočítaný počet zamestnancov  BO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Odsekzoznamu1"/>
              <w:spacing w:lineRule="auto" w:line="240" w:before="0" w:after="0"/>
              <w:contextualSpacing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>
        <w:trPr>
          <w:trHeight w:val="340" w:hRule="atLeast"/>
        </w:trPr>
        <w:tc>
          <w:tcPr>
            <w:tcW w:w="7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Odsekzoznamu1"/>
              <w:keepNext w:val="true"/>
              <w:numPr>
                <w:ilvl w:val="0"/>
                <w:numId w:val="0"/>
              </w:numPr>
              <w:spacing w:lineRule="auto" w:line="240" w:before="0" w:after="0"/>
              <w:ind w:left="357" w:hanging="0"/>
              <w:contextualSpacing/>
              <w:jc w:val="both"/>
              <w:outlineLvl w:val="1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Odsekzoznamu1"/>
              <w:keepNext w:val="true"/>
              <w:numPr>
                <w:ilvl w:val="0"/>
                <w:numId w:val="0"/>
              </w:numPr>
              <w:spacing w:lineRule="auto" w:line="240" w:before="0" w:after="0"/>
              <w:ind w:left="0" w:hanging="0"/>
              <w:contextualSpacing/>
              <w:outlineLvl w:val="1"/>
              <w:rPr>
                <w:szCs w:val="22"/>
              </w:rPr>
            </w:pPr>
            <w:r>
              <w:rPr>
                <w:szCs w:val="22"/>
              </w:rPr>
              <w:t>Priemerný prepočítaný počet zamestnancov  PO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Odsekzoznamu1"/>
              <w:spacing w:lineRule="auto" w:line="240" w:before="0" w:after="0"/>
              <w:contextualSpacing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>
      <w:pPr>
        <w:pStyle w:val="Normal"/>
        <w:spacing w:before="0" w:after="0"/>
        <w:ind w:left="705" w:hanging="705"/>
        <w:jc w:val="both"/>
        <w:rPr>
          <w:i/>
          <w:i/>
          <w:szCs w:val="22"/>
        </w:rPr>
      </w:pPr>
      <w:r>
        <w:rPr>
          <w:i/>
          <w:szCs w:val="22"/>
        </w:rPr>
      </w:r>
    </w:p>
    <w:p>
      <w:pPr>
        <w:pStyle w:val="Normal"/>
        <w:spacing w:before="0" w:after="0"/>
        <w:ind w:left="705" w:hanging="705"/>
        <w:jc w:val="both"/>
        <w:rPr>
          <w:i/>
          <w:i/>
          <w:szCs w:val="22"/>
        </w:rPr>
      </w:pPr>
      <w:r>
        <w:rPr>
          <w:i/>
          <w:szCs w:val="22"/>
        </w:rPr>
      </w:r>
    </w:p>
    <w:p>
      <w:pPr>
        <w:pStyle w:val="Normal"/>
        <w:shd w:val="clear" w:color="auto" w:fill="E6E6E6"/>
        <w:spacing w:lineRule="auto" w:line="240" w:before="0" w:after="0"/>
        <w:jc w:val="center"/>
        <w:rPr>
          <w:i/>
          <w:i/>
          <w:szCs w:val="22"/>
        </w:rPr>
      </w:pPr>
      <w:r>
        <w:rPr>
          <w:i/>
          <w:szCs w:val="22"/>
        </w:rPr>
        <w:t>Čl.II - Informácie o orgánoch spoločnosti</w:t>
      </w:r>
    </w:p>
    <w:p>
      <w:pPr>
        <w:pStyle w:val="Normal"/>
        <w:spacing w:lineRule="auto" w:line="240" w:before="0" w:after="0"/>
        <w:ind w:left="360" w:right="-468" w:hanging="0"/>
        <w:jc w:val="both"/>
        <w:rPr>
          <w:bCs/>
          <w:i/>
          <w:i/>
          <w:szCs w:val="22"/>
        </w:rPr>
      </w:pPr>
      <w:r>
        <w:rPr>
          <w:bCs/>
          <w:i/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  <w:t>Informácie o orgánoch účtovnej jednotky</w:t>
      </w:r>
    </w:p>
    <w:tbl>
      <w:tblPr>
        <w:tblW w:w="9498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42"/>
        <w:gridCol w:w="7"/>
        <w:gridCol w:w="1704"/>
        <w:gridCol w:w="1"/>
        <w:gridCol w:w="277"/>
        <w:gridCol w:w="713"/>
        <w:gridCol w:w="1"/>
        <w:gridCol w:w="985"/>
        <w:gridCol w:w="148"/>
        <w:gridCol w:w="142"/>
        <w:gridCol w:w="1"/>
        <w:gridCol w:w="1277"/>
      </w:tblGrid>
      <w:tr>
        <w:trPr>
          <w:trHeight w:val="57" w:hRule="atLeast"/>
        </w:trPr>
        <w:tc>
          <w:tcPr>
            <w:tcW w:w="949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b/>
                <w:b/>
                <w:szCs w:val="22"/>
              </w:rPr>
            </w:pPr>
            <w:r>
              <w:rPr>
                <w:szCs w:val="22"/>
              </w:rPr>
              <w:t>a</w:t>
            </w:r>
            <w:r>
              <w:rPr>
                <w:b/>
                <w:szCs w:val="22"/>
              </w:rPr>
              <w:t xml:space="preserve">)Výška jednotlivých druhov záruk alebo iných zabezpečení pre členov štatutárneho orgánu, </w:t>
            </w:r>
          </w:p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b/>
                <w:szCs w:val="22"/>
              </w:rPr>
              <w:t>dozorného orgánu a iného orgánu ÚJ</w:t>
            </w:r>
          </w:p>
        </w:tc>
      </w:tr>
      <w:tr>
        <w:trPr>
          <w:trHeight w:val="57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Druh záruky</w:t>
            </w:r>
          </w:p>
        </w:tc>
        <w:tc>
          <w:tcPr>
            <w:tcW w:w="1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Štatutárny orgán</w:t>
            </w:r>
          </w:p>
        </w:tc>
        <w:tc>
          <w:tcPr>
            <w:tcW w:w="18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949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  <w:t>b</w:t>
            </w:r>
            <w:r>
              <w:rPr>
                <w:b/>
                <w:szCs w:val="22"/>
              </w:rPr>
              <w:t>)Pôžičky poskytnuté členom štatutárneho orgánu, dozorného orgánu a iného orgánu ÚJ</w:t>
            </w:r>
          </w:p>
        </w:tc>
      </w:tr>
      <w:tr>
        <w:trPr>
          <w:trHeight w:val="340" w:hRule="atLeast"/>
        </w:trPr>
        <w:tc>
          <w:tcPr>
            <w:tcW w:w="4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Štatutárny orgán</w:t>
            </w:r>
          </w:p>
        </w:tc>
        <w:tc>
          <w:tcPr>
            <w:tcW w:w="9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>
        <w:trPr>
          <w:trHeight w:val="340" w:hRule="atLeast"/>
        </w:trPr>
        <w:tc>
          <w:tcPr>
            <w:tcW w:w="949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851" w:leader="none"/>
              </w:tabs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  <w:t>1.Celková suma poskytnutých pôžičiek k poslednému dňu účtovného obdobia</w:t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851" w:leader="none"/>
              </w:tabs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851" w:leader="none"/>
              </w:tabs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949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851" w:leader="none"/>
              </w:tabs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2.Celková suma splatených pôžičiek k poslednému dňu účtovného obdobia</w:t>
            </w:r>
          </w:p>
        </w:tc>
      </w:tr>
      <w:tr>
        <w:trPr>
          <w:trHeight w:val="368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851" w:leader="none"/>
              </w:tabs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851" w:leader="none"/>
              </w:tabs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949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851" w:leader="none"/>
              </w:tabs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3.Celková suma odpustených pôžičiek a odpísaných pôžičiek k poslednému dňu účtovného obdobia</w:t>
            </w:r>
          </w:p>
        </w:tc>
      </w:tr>
      <w:tr>
        <w:trPr>
          <w:trHeight w:val="422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851" w:leader="none"/>
              </w:tabs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  <w:tab w:val="left" w:pos="851" w:leader="none"/>
              </w:tabs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949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d)</w:t>
            </w:r>
            <w:r>
              <w:rPr>
                <w:b/>
                <w:szCs w:val="22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Plnenie na súkromné účely k vyúčtovaniu</w:t>
            </w:r>
          </w:p>
        </w:tc>
        <w:tc>
          <w:tcPr>
            <w:tcW w:w="1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Štatutárny orgán</w:t>
            </w: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5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ind w:left="360" w:right="-468" w:hanging="0"/>
        <w:jc w:val="both"/>
        <w:rPr>
          <w:bCs/>
          <w:i/>
          <w:i/>
          <w:szCs w:val="22"/>
        </w:rPr>
      </w:pPr>
      <w:r>
        <w:rPr>
          <w:bCs/>
          <w:i/>
          <w:szCs w:val="22"/>
        </w:rPr>
      </w:r>
    </w:p>
    <w:p>
      <w:pPr>
        <w:pStyle w:val="Normal"/>
        <w:spacing w:lineRule="auto" w:line="240" w:before="0" w:after="0"/>
        <w:ind w:left="360" w:right="-468" w:hanging="0"/>
        <w:jc w:val="both"/>
        <w:rPr>
          <w:bCs/>
          <w:i/>
          <w:i/>
          <w:szCs w:val="22"/>
        </w:rPr>
      </w:pPr>
      <w:r>
        <w:rPr>
          <w:bCs/>
          <w:i/>
          <w:szCs w:val="22"/>
        </w:rPr>
      </w:r>
    </w:p>
    <w:p>
      <w:pPr>
        <w:pStyle w:val="Normal"/>
        <w:spacing w:lineRule="auto" w:line="240" w:before="0" w:after="0"/>
        <w:ind w:left="360" w:right="-468" w:hanging="0"/>
        <w:jc w:val="both"/>
        <w:rPr>
          <w:bCs/>
          <w:i/>
          <w:i/>
          <w:szCs w:val="22"/>
        </w:rPr>
      </w:pPr>
      <w:r>
        <w:rPr>
          <w:bCs/>
          <w:i/>
          <w:szCs w:val="22"/>
        </w:rPr>
      </w:r>
    </w:p>
    <w:p>
      <w:pPr>
        <w:pStyle w:val="Normal"/>
        <w:shd w:val="clear" w:color="auto" w:fill="E6E6E6"/>
        <w:spacing w:lineRule="auto" w:line="240" w:before="0" w:after="0"/>
        <w:jc w:val="center"/>
        <w:rPr>
          <w:i/>
          <w:i/>
          <w:szCs w:val="22"/>
        </w:rPr>
      </w:pPr>
      <w:r>
        <w:rPr>
          <w:i/>
          <w:szCs w:val="22"/>
        </w:rPr>
        <w:t>Čl.III - Informácie o prijatých postupoch</w:t>
      </w:r>
    </w:p>
    <w:p>
      <w:pPr>
        <w:pStyle w:val="Normal"/>
        <w:spacing w:lineRule="auto" w:line="240" w:before="0" w:after="0"/>
        <w:ind w:left="360" w:right="-468" w:hanging="0"/>
        <w:jc w:val="both"/>
        <w:rPr>
          <w:bCs/>
          <w:i/>
          <w:i/>
          <w:szCs w:val="22"/>
        </w:rPr>
      </w:pPr>
      <w:r>
        <w:rPr>
          <w:bCs/>
          <w:i/>
          <w:szCs w:val="22"/>
        </w:rPr>
      </w:r>
    </w:p>
    <w:p>
      <w:pPr>
        <w:pStyle w:val="Normal"/>
        <w:spacing w:lineRule="auto" w:line="240" w:before="0" w:after="0"/>
        <w:ind w:left="360" w:right="-468" w:hanging="0"/>
        <w:jc w:val="both"/>
        <w:rPr>
          <w:bCs/>
          <w:i/>
          <w:i/>
          <w:szCs w:val="22"/>
        </w:rPr>
      </w:pPr>
      <w:r>
        <w:rPr>
          <w:bCs/>
          <w:i/>
          <w:szCs w:val="22"/>
        </w:rPr>
      </w:r>
    </w:p>
    <w:tbl>
      <w:tblPr>
        <w:tblW w:w="9072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77"/>
        <w:gridCol w:w="6510"/>
        <w:gridCol w:w="823"/>
        <w:gridCol w:w="291"/>
        <w:gridCol w:w="577"/>
        <w:gridCol w:w="293"/>
      </w:tblGrid>
      <w:tr>
        <w:trPr>
          <w:trHeight w:val="340" w:hRule="exact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Odsekzoznamu1"/>
              <w:keepNext w:val="true"/>
              <w:numPr>
                <w:ilvl w:val="0"/>
                <w:numId w:val="6"/>
              </w:numPr>
              <w:spacing w:lineRule="auto" w:line="240" w:before="0" w:after="0"/>
              <w:ind w:left="357" w:hanging="357"/>
              <w:contextualSpacing/>
              <w:jc w:val="both"/>
              <w:outlineLvl w:val="1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NIE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exact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numPr>
                <w:ilvl w:val="0"/>
                <w:numId w:val="6"/>
              </w:numPr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Zmeny účtovných zásad a metód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NIE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>
      <w:pPr>
        <w:pStyle w:val="Odsekzoznamu1"/>
        <w:spacing w:lineRule="auto" w:line="240" w:before="0" w:after="0"/>
        <w:ind w:left="357" w:hanging="0"/>
        <w:contextualSpacing/>
        <w:jc w:val="both"/>
        <w:rPr>
          <w:szCs w:val="22"/>
        </w:rPr>
      </w:pPr>
      <w:r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>
      <w:pPr>
        <w:pStyle w:val="Normal"/>
        <w:spacing w:lineRule="auto" w:line="240" w:before="0" w:after="0"/>
        <w:ind w:left="360" w:right="-468" w:hanging="0"/>
        <w:jc w:val="both"/>
        <w:rPr>
          <w:bCs/>
          <w:i/>
          <w:i/>
          <w:szCs w:val="22"/>
        </w:rPr>
      </w:pPr>
      <w:r>
        <w:rPr>
          <w:bCs/>
          <w:i/>
          <w:szCs w:val="22"/>
        </w:rPr>
      </w:r>
    </w:p>
    <w:p>
      <w:pPr>
        <w:pStyle w:val="Normal"/>
        <w:numPr>
          <w:ilvl w:val="0"/>
          <w:numId w:val="6"/>
        </w:numPr>
        <w:spacing w:lineRule="auto" w:line="240" w:before="0" w:after="0"/>
        <w:rPr>
          <w:szCs w:val="22"/>
        </w:rPr>
      </w:pPr>
      <w:r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>
      <w:pPr>
        <w:pStyle w:val="Normal"/>
        <w:widowControl w:val="false"/>
        <w:spacing w:before="0" w:after="0"/>
        <w:jc w:val="center"/>
        <w:rPr>
          <w:bCs/>
          <w:i/>
          <w:i/>
          <w:szCs w:val="22"/>
        </w:rPr>
      </w:pPr>
      <w:r>
        <w:rPr>
          <w:bCs/>
          <w:i/>
          <w:szCs w:val="22"/>
        </w:rPr>
      </w:r>
    </w:p>
    <w:tbl>
      <w:tblPr>
        <w:tblW w:w="9072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77"/>
        <w:gridCol w:w="8494"/>
      </w:tblGrid>
      <w:tr>
        <w:trPr>
          <w:trHeight w:val="340" w:hRule="exact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numPr>
                <w:ilvl w:val="0"/>
                <w:numId w:val="6"/>
              </w:numPr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>
      <w:pPr>
        <w:pStyle w:val="Odsekzoznamu1"/>
        <w:numPr>
          <w:ilvl w:val="0"/>
          <w:numId w:val="7"/>
        </w:numPr>
        <w:spacing w:lineRule="auto" w:line="240" w:before="0" w:after="0"/>
        <w:ind w:left="641" w:hanging="284"/>
        <w:contextualSpacing/>
        <w:jc w:val="both"/>
        <w:rPr>
          <w:szCs w:val="22"/>
        </w:rPr>
      </w:pPr>
      <w:r>
        <w:rPr>
          <w:szCs w:val="22"/>
        </w:rPr>
      </w:r>
    </w:p>
    <w:tbl>
      <w:tblPr>
        <w:tblW w:w="9072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788"/>
        <w:gridCol w:w="283"/>
      </w:tblGrid>
      <w:tr>
        <w:trPr/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Obstarávacou cenou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/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Vlastnými nákladmi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menovitou hodnotou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Reálnou hodnotou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before="0" w:after="0"/>
        <w:jc w:val="both"/>
        <w:rPr>
          <w:szCs w:val="22"/>
        </w:rPr>
      </w:pPr>
      <w:r>
        <w:rPr>
          <w:szCs w:val="22"/>
        </w:rPr>
      </w:r>
    </w:p>
    <w:tbl>
      <w:tblPr>
        <w:tblW w:w="9072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788"/>
        <w:gridCol w:w="283"/>
      </w:tblGrid>
      <w:tr>
        <w:trPr>
          <w:trHeight w:val="227" w:hRule="atLeast"/>
        </w:trPr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Úbytok zásob rovnakého druhu sa účtuje v ocenení: </w:t>
            </w:r>
          </w:p>
        </w:tc>
      </w:tr>
      <w:tr>
        <w:trPr>
          <w:trHeight w:val="227" w:hRule="atLeast"/>
        </w:trPr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Metódou FIFO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227" w:hRule="atLeast"/>
        </w:trPr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Obstarávacia cena zásob sa rozdeľuje na cenu za ktoré sa zásoby obstarali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t>a náklady súvisiace s obstaraním(VON).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227" w:hRule="atLeast"/>
        </w:trPr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>
      <w:pPr>
        <w:pStyle w:val="Normal"/>
        <w:spacing w:before="0" w:after="0"/>
        <w:jc w:val="both"/>
        <w:rPr>
          <w:szCs w:val="22"/>
        </w:rPr>
      </w:pPr>
      <w:r>
        <w:rPr>
          <w:szCs w:val="22"/>
        </w:rPr>
      </w:r>
    </w:p>
    <w:tbl>
      <w:tblPr>
        <w:tblW w:w="9072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788"/>
        <w:gridCol w:w="283"/>
      </w:tblGrid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Výdavky budúcich období a príjmy budúcich období  (menovitá hodnota)sa vykazujú vo výške, ktorá je potrebná na dodržanie zásady vecnej a časovej súvislosti s účtovným obdobím.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daň sa  určuje z účtovného zisku pred zdanením pri sadzbe </w:t>
            </w:r>
          </w:p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21 % po úpravách na daňové účely podľa zákona o daniach z príjmov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>
      <w:pPr>
        <w:pStyle w:val="Normal"/>
        <w:spacing w:before="0" w:after="0"/>
        <w:jc w:val="both"/>
        <w:rPr>
          <w:szCs w:val="22"/>
        </w:rPr>
      </w:pPr>
      <w:r>
        <w:rPr>
          <w:szCs w:val="22"/>
        </w:rPr>
      </w:r>
    </w:p>
    <w:tbl>
      <w:tblPr>
        <w:tblW w:w="8991" w:type="dxa"/>
        <w:jc w:val="left"/>
        <w:tblInd w:w="70" w:type="dxa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2949"/>
        <w:gridCol w:w="5741"/>
        <w:gridCol w:w="1"/>
        <w:gridCol w:w="300"/>
      </w:tblGrid>
      <w:tr>
        <w:trPr>
          <w:trHeight w:val="340" w:hRule="atLeast"/>
        </w:trPr>
        <w:tc>
          <w:tcPr>
            <w:tcW w:w="89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Odsekzoznamu1"/>
              <w:numPr>
                <w:ilvl w:val="0"/>
                <w:numId w:val="7"/>
              </w:numPr>
              <w:spacing w:lineRule="auto" w:line="240" w:before="0" w:after="0"/>
              <w:ind w:left="641" w:hanging="284"/>
              <w:contextualSpacing/>
              <w:rPr>
                <w:szCs w:val="22"/>
              </w:rPr>
            </w:pPr>
            <w:r>
              <w:rPr>
                <w:szCs w:val="22"/>
              </w:rPr>
              <w:t>Určenie odhadu zníženia hodnoty majetku a tvorba opravnej položky k  majetku</w:t>
            </w:r>
          </w:p>
        </w:tc>
      </w:tr>
      <w:tr>
        <w:trPr>
          <w:trHeight w:val="350" w:hRule="atLeast"/>
        </w:trPr>
        <w:tc>
          <w:tcPr>
            <w:tcW w:w="86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Odsekzoznamu1"/>
              <w:spacing w:lineRule="auto" w:line="240" w:before="0" w:after="0"/>
              <w:ind w:left="641" w:hanging="0"/>
              <w:contextualSpacing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40" w:hRule="atLeast"/>
        </w:trPr>
        <w:tc>
          <w:tcPr>
            <w:tcW w:w="29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  <w:t>Opravná položka k pohľadávkam</w:t>
            </w:r>
          </w:p>
        </w:tc>
        <w:tc>
          <w:tcPr>
            <w:tcW w:w="5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  <w:t>Podľa kritérií  definovaných v zákone o daniach z príjmov</w:t>
            </w:r>
          </w:p>
        </w:tc>
        <w:tc>
          <w:tcPr>
            <w:tcW w:w="3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40" w:hRule="atLeast"/>
        </w:trPr>
        <w:tc>
          <w:tcPr>
            <w:tcW w:w="29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  <w:t xml:space="preserve">Odborným odhadom podľa opodstatneného predpokladu zníženia </w:t>
            </w:r>
          </w:p>
        </w:tc>
        <w:tc>
          <w:tcPr>
            <w:tcW w:w="3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  <w:t>Opravná položka k materiálu</w:t>
            </w:r>
          </w:p>
        </w:tc>
        <w:tc>
          <w:tcPr>
            <w:tcW w:w="5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  <w:t>Opravná položka k tovaru</w:t>
            </w:r>
          </w:p>
        </w:tc>
        <w:tc>
          <w:tcPr>
            <w:tcW w:w="5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before="0" w:after="0"/>
        <w:jc w:val="both"/>
        <w:rPr>
          <w:szCs w:val="22"/>
        </w:rPr>
      </w:pPr>
      <w:r>
        <w:rPr>
          <w:szCs w:val="22"/>
        </w:rPr>
      </w:r>
    </w:p>
    <w:tbl>
      <w:tblPr>
        <w:tblW w:w="8992" w:type="dxa"/>
        <w:jc w:val="left"/>
        <w:tblInd w:w="70" w:type="dxa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3252"/>
        <w:gridCol w:w="5440"/>
        <w:gridCol w:w="300"/>
      </w:tblGrid>
      <w:tr>
        <w:trPr>
          <w:trHeight w:val="340" w:hRule="atLeast"/>
        </w:trPr>
        <w:tc>
          <w:tcPr>
            <w:tcW w:w="8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Odsekzoznamu1"/>
              <w:numPr>
                <w:ilvl w:val="0"/>
                <w:numId w:val="7"/>
              </w:numPr>
              <w:spacing w:lineRule="auto" w:line="240" w:before="0" w:after="0"/>
              <w:ind w:left="641" w:hanging="284"/>
              <w:contextualSpacing/>
              <w:jc w:val="both"/>
              <w:rPr>
                <w:szCs w:val="22"/>
              </w:rPr>
            </w:pPr>
            <w:r>
              <w:rPr>
                <w:szCs w:val="22"/>
              </w:rPr>
              <w:t>Určenie ocenenia záväzkov, stanovenie odhadu ocenenia rezerv</w:t>
            </w:r>
          </w:p>
        </w:tc>
      </w:tr>
      <w:tr>
        <w:trPr>
          <w:trHeight w:val="340" w:hRule="atLeast"/>
        </w:trPr>
        <w:tc>
          <w:tcPr>
            <w:tcW w:w="8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Odsekzoznamu1"/>
              <w:spacing w:lineRule="auto" w:line="240" w:before="0" w:after="0"/>
              <w:ind w:left="641" w:hanging="0"/>
              <w:contextualSpacing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Odsekzoznamu1"/>
              <w:spacing w:lineRule="auto" w:line="240" w:before="0" w:after="0"/>
              <w:ind w:left="0" w:hanging="0"/>
              <w:contextualSpacing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40" w:hRule="atLeast"/>
        </w:trPr>
        <w:tc>
          <w:tcPr>
            <w:tcW w:w="32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na splnenie existujúcej povinnosti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40" w:hRule="atLeast"/>
        </w:trPr>
        <w:tc>
          <w:tcPr>
            <w:tcW w:w="32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nevyčerpaných dovoleniek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40" w:hRule="atLeast"/>
        </w:trPr>
        <w:tc>
          <w:tcPr>
            <w:tcW w:w="32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Odsekzoznamu1"/>
        <w:numPr>
          <w:ilvl w:val="0"/>
          <w:numId w:val="7"/>
        </w:numPr>
        <w:spacing w:lineRule="auto" w:line="240" w:before="0" w:after="0"/>
        <w:ind w:left="641" w:hanging="284"/>
        <w:contextualSpacing/>
        <w:jc w:val="both"/>
        <w:rPr>
          <w:szCs w:val="22"/>
          <w:u w:val="single"/>
        </w:rPr>
      </w:pPr>
      <w:r>
        <w:rPr>
          <w:szCs w:val="22"/>
        </w:rPr>
        <w:t xml:space="preserve">Určenie ocenenia finančných nástrojov alebo majetku, ktorý nie je finančným nástrojom pri oceňovaní reálnou hodnotou, a to: </w:t>
      </w:r>
      <w:r>
        <w:rPr>
          <w:szCs w:val="22"/>
          <w:u w:val="single"/>
        </w:rPr>
        <w:t>- bez náplne</w:t>
      </w:r>
    </w:p>
    <w:p>
      <w:pPr>
        <w:pStyle w:val="Odsekzoznamu1"/>
        <w:numPr>
          <w:ilvl w:val="0"/>
          <w:numId w:val="8"/>
        </w:numPr>
        <w:spacing w:lineRule="auto" w:line="240" w:before="0" w:after="0"/>
        <w:ind w:left="1066" w:hanging="357"/>
        <w:contextualSpacing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>
      <w:pPr>
        <w:pStyle w:val="Odsekzoznamu1"/>
        <w:numPr>
          <w:ilvl w:val="0"/>
          <w:numId w:val="8"/>
        </w:numPr>
        <w:spacing w:lineRule="auto" w:line="240" w:before="0" w:after="0"/>
        <w:contextualSpacing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>
      <w:pPr>
        <w:pStyle w:val="Odsekzoznamu1"/>
        <w:numPr>
          <w:ilvl w:val="0"/>
          <w:numId w:val="8"/>
        </w:numPr>
        <w:spacing w:lineRule="auto" w:line="240" w:before="0" w:after="0"/>
        <w:contextualSpacing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>
      <w:pPr>
        <w:pStyle w:val="Odsekzoznamu1"/>
        <w:numPr>
          <w:ilvl w:val="0"/>
          <w:numId w:val="7"/>
        </w:numPr>
        <w:spacing w:lineRule="auto" w:line="240" w:before="0" w:after="0"/>
        <w:ind w:left="641" w:hanging="284"/>
        <w:contextualSpacing/>
        <w:jc w:val="both"/>
        <w:rPr>
          <w:szCs w:val="22"/>
        </w:rPr>
      </w:pPr>
      <w:r>
        <w:rPr>
          <w:szCs w:val="22"/>
        </w:rPr>
        <w:t>Určenie ocenenia finančných nástrojov alebo majetku, ktorý nie je finančným nástrojom pri oceňovaní obstarávacou cenou alebo vlastnými nákladmi, a to</w:t>
      </w:r>
      <w:r>
        <w:rPr>
          <w:b/>
          <w:szCs w:val="22"/>
        </w:rPr>
        <w:t xml:space="preserve">: </w:t>
      </w:r>
      <w:r>
        <w:rPr>
          <w:szCs w:val="22"/>
          <w:u w:val="single"/>
        </w:rPr>
        <w:t>- bez náplne</w:t>
      </w:r>
    </w:p>
    <w:p>
      <w:pPr>
        <w:pStyle w:val="Odsekzoznamu1"/>
        <w:numPr>
          <w:ilvl w:val="0"/>
          <w:numId w:val="9"/>
        </w:numPr>
        <w:spacing w:lineRule="auto" w:line="240" w:before="0" w:after="0"/>
        <w:ind w:left="1066" w:hanging="357"/>
        <w:contextualSpacing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>
      <w:pPr>
        <w:pStyle w:val="Odsekzoznamu1"/>
        <w:numPr>
          <w:ilvl w:val="0"/>
          <w:numId w:val="9"/>
        </w:numPr>
        <w:spacing w:lineRule="auto" w:line="240" w:before="0" w:after="0"/>
        <w:contextualSpacing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>
      <w:pPr>
        <w:pStyle w:val="Odsekzoznamu1"/>
        <w:numPr>
          <w:ilvl w:val="0"/>
          <w:numId w:val="10"/>
        </w:numPr>
        <w:spacing w:lineRule="auto" w:line="240" w:before="0" w:after="0"/>
        <w:ind w:left="1418" w:hanging="284"/>
        <w:contextualSpacing/>
        <w:jc w:val="both"/>
        <w:rPr>
          <w:szCs w:val="22"/>
        </w:rPr>
      </w:pPr>
      <w:r>
        <w:rPr>
          <w:szCs w:val="22"/>
        </w:rPr>
        <w:t>účtovná hodnota a reálna hodnota za jednotlivé položky majetku alebo skupiny týchto jednotlivých položiek majetku,</w:t>
      </w:r>
    </w:p>
    <w:p>
      <w:pPr>
        <w:pStyle w:val="Odsekzoznamu1"/>
        <w:numPr>
          <w:ilvl w:val="0"/>
          <w:numId w:val="11"/>
        </w:numPr>
        <w:spacing w:lineRule="auto" w:line="240" w:before="0" w:after="0"/>
        <w:ind w:left="1418" w:hanging="284"/>
        <w:contextualSpacing/>
        <w:jc w:val="both"/>
        <w:rPr>
          <w:szCs w:val="22"/>
        </w:rPr>
      </w:pPr>
      <w:r>
        <w:rPr>
          <w:szCs w:val="22"/>
        </w:rPr>
        <w:t>dôvod pre nezníženie účtovnej hodnoty vrátane povahy dôkazov pre predpoklad, že sa účtovná hodnota opätovne dosiahne,</w:t>
      </w:r>
    </w:p>
    <w:p>
      <w:pPr>
        <w:pStyle w:val="Odsekzoznamu1"/>
        <w:numPr>
          <w:ilvl w:val="0"/>
          <w:numId w:val="7"/>
        </w:numPr>
        <w:spacing w:lineRule="auto" w:line="240" w:before="0" w:after="0"/>
        <w:ind w:left="641" w:hanging="284"/>
        <w:contextualSpacing/>
        <w:jc w:val="both"/>
        <w:rPr>
          <w:szCs w:val="22"/>
          <w:u w:val="single"/>
        </w:rPr>
      </w:pPr>
      <w:r>
        <w:rPr>
          <w:szCs w:val="22"/>
        </w:rPr>
        <w:t xml:space="preserve">Stanovenie metódy vlastného imania </w:t>
      </w:r>
      <w:r>
        <w:rPr>
          <w:szCs w:val="22"/>
          <w:u w:val="single"/>
        </w:rPr>
        <w:t>:- bez náplne</w:t>
      </w:r>
    </w:p>
    <w:p>
      <w:pPr>
        <w:pStyle w:val="Odsekzoznamu1"/>
        <w:numPr>
          <w:ilvl w:val="0"/>
          <w:numId w:val="7"/>
        </w:numPr>
        <w:spacing w:lineRule="auto" w:line="240" w:before="0" w:after="0"/>
        <w:ind w:left="641" w:hanging="284"/>
        <w:contextualSpacing/>
        <w:jc w:val="both"/>
        <w:rPr>
          <w:szCs w:val="22"/>
        </w:rPr>
      </w:pPr>
      <w:r>
        <w:rPr>
          <w:bCs/>
          <w:kern w:val="2"/>
          <w:szCs w:val="22"/>
          <w:lang w:eastAsia="sk-SK"/>
        </w:rPr>
        <w:t>Tvorba odpisového plánu pre dlhodobý majetok, pričom sa uvádza doba odpisovania, sadzby odpisov a odpisové metódy pre účtovné odpisy:</w:t>
      </w:r>
    </w:p>
    <w:tbl>
      <w:tblPr>
        <w:tblW w:w="907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195"/>
        <w:gridCol w:w="1539"/>
        <w:gridCol w:w="338"/>
      </w:tblGrid>
      <w:tr>
        <w:trPr/>
        <w:tc>
          <w:tcPr>
            <w:tcW w:w="8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963" w:hRule="atLeast"/>
        </w:trPr>
        <w:tc>
          <w:tcPr>
            <w:tcW w:w="8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>
              <w:rPr>
                <w:b/>
                <w:szCs w:val="22"/>
              </w:rPr>
              <w:t>rovnajú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1217" w:hRule="atLeast"/>
        </w:trPr>
        <w:tc>
          <w:tcPr>
            <w:tcW w:w="8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  <w:szCs w:val="22"/>
              </w:rPr>
              <w:t>rovnajú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40" w:hRule="atLeast"/>
        </w:trPr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  <w:t>2400,-eur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40" w:hRule="atLeast"/>
        </w:trPr>
        <w:tc>
          <w:tcPr>
            <w:tcW w:w="7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  <w:t>1700,-eur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>
      <w:pPr>
        <w:pStyle w:val="Normal"/>
        <w:rPr/>
      </w:pPr>
      <w:r>
        <w:rPr/>
      </w:r>
    </w:p>
    <w:tbl>
      <w:tblPr>
        <w:tblW w:w="907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84"/>
        <w:gridCol w:w="979"/>
        <w:gridCol w:w="1178"/>
        <w:gridCol w:w="1177"/>
        <w:gridCol w:w="1009"/>
        <w:gridCol w:w="1644"/>
      </w:tblGrid>
      <w:tr>
        <w:trPr/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rPr>
                <w:szCs w:val="22"/>
              </w:rPr>
            </w:pPr>
            <w:r>
              <w:rPr>
                <w:szCs w:val="22"/>
              </w:rPr>
              <w:t>Majetok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rPr>
                <w:szCs w:val="22"/>
              </w:rPr>
            </w:pPr>
            <w:r>
              <w:rPr>
                <w:szCs w:val="22"/>
              </w:rPr>
              <w:t xml:space="preserve">Odpisová skupina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rPr>
                <w:szCs w:val="22"/>
              </w:rPr>
            </w:pPr>
            <w:r>
              <w:rPr>
                <w:szCs w:val="22"/>
              </w:rPr>
              <w:t>Doba odpisovania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rPr>
                <w:szCs w:val="22"/>
              </w:rPr>
            </w:pPr>
            <w:r>
              <w:rPr>
                <w:szCs w:val="22"/>
              </w:rPr>
              <w:t>Lineárne odpisy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rPr>
                <w:szCs w:val="22"/>
              </w:rPr>
            </w:pPr>
            <w:r>
              <w:rPr>
                <w:szCs w:val="22"/>
              </w:rPr>
              <w:t>Zrýchlené odpisy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rPr>
                <w:szCs w:val="22"/>
              </w:rPr>
            </w:pPr>
            <w:r>
              <w:rPr>
                <w:szCs w:val="22"/>
              </w:rPr>
              <w:t>Osobný automobil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rPr>
                <w:szCs w:val="22"/>
              </w:rPr>
            </w:pPr>
            <w:r>
              <w:rPr>
                <w:szCs w:val="22"/>
              </w:rPr>
              <w:t>Traktor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rPr>
                <w:szCs w:val="22"/>
              </w:rPr>
            </w:pPr>
            <w:r>
              <w:rPr>
                <w:szCs w:val="22"/>
              </w:rPr>
              <w:t>Ano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Odsekzoznamu1"/>
        <w:numPr>
          <w:ilvl w:val="0"/>
          <w:numId w:val="7"/>
        </w:numPr>
        <w:spacing w:lineRule="auto" w:line="240" w:before="0" w:after="0"/>
        <w:ind w:left="641" w:hanging="284"/>
        <w:contextualSpacing/>
        <w:jc w:val="both"/>
        <w:rPr>
          <w:bCs/>
          <w:kern w:val="2"/>
          <w:szCs w:val="22"/>
          <w:lang w:eastAsia="sk-SK"/>
        </w:rPr>
      </w:pPr>
      <w:r>
        <w:rPr>
          <w:bCs/>
          <w:kern w:val="2"/>
          <w:szCs w:val="22"/>
          <w:lang w:eastAsia="sk-SK"/>
        </w:rPr>
        <w:t>Informácia o poskytnutých dotáciách a pri dotáciách na obstaranie majetku sa uvedú zložky majetku a ich ocenenie: - bez náplne</w:t>
      </w:r>
    </w:p>
    <w:p>
      <w:pPr>
        <w:pStyle w:val="Normal"/>
        <w:spacing w:before="0" w:after="0"/>
        <w:jc w:val="both"/>
        <w:rPr>
          <w:szCs w:val="22"/>
        </w:rPr>
      </w:pPr>
      <w:r>
        <w:rPr>
          <w:szCs w:val="22"/>
        </w:rPr>
      </w:r>
    </w:p>
    <w:tbl>
      <w:tblPr>
        <w:tblW w:w="9073" w:type="dxa"/>
        <w:jc w:val="left"/>
        <w:tblInd w:w="-34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685"/>
        <w:gridCol w:w="851"/>
        <w:gridCol w:w="2125"/>
        <w:gridCol w:w="2411"/>
      </w:tblGrid>
      <w:tr>
        <w:trPr/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6"/>
              </w:numPr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Informácia </w:t>
            </w:r>
            <w:r>
              <w:rPr>
                <w:b/>
                <w:szCs w:val="22"/>
              </w:rPr>
              <w:t xml:space="preserve">o </w:t>
            </w:r>
            <w:r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>
              <w:rPr>
                <w:szCs w:val="22"/>
                <w:lang w:eastAsia="sk-SK"/>
              </w:rPr>
              <w:t xml:space="preserve"> v bežnom účtovnom období s uvedením sumy vplyvu na nerozdelený zisk minulých rokov alebo na neuhradenú stratu minulých rokov. Účtovná jednotka môže uviesť aj informácie o oprave nevýznamných chýb minulých účtovných období účtovaných v bežnom účtovnom období s uvedením sumy vplyvu na výsledok hospodárenia bežného účtovného obdobia.</w:t>
            </w:r>
          </w:p>
        </w:tc>
      </w:tr>
      <w:tr>
        <w:trPr>
          <w:trHeight w:val="397" w:hRule="atLeast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right="-468" w:hanging="0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>
        <w:trPr>
          <w:trHeight w:val="340" w:hRule="atLeast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shd w:val="clear" w:color="auto" w:fill="E6E6E6"/>
        <w:spacing w:lineRule="auto" w:line="240" w:before="0" w:after="0"/>
        <w:jc w:val="center"/>
        <w:rPr>
          <w:i/>
          <w:i/>
          <w:szCs w:val="22"/>
        </w:rPr>
      </w:pPr>
      <w:r>
        <w:rPr>
          <w:i/>
          <w:szCs w:val="22"/>
        </w:rPr>
        <w:t>Čl.IV – Informácie, ktoré vysvetľujú a dopĺňajú súvahu a výkaz ziskov a strát </w:t>
      </w:r>
    </w:p>
    <w:p>
      <w:pPr>
        <w:pStyle w:val="Normal"/>
        <w:rPr/>
      </w:pPr>
      <w:r>
        <w:rPr/>
      </w:r>
    </w:p>
    <w:p>
      <w:pPr>
        <w:pStyle w:val="Odsekzoznamu1"/>
        <w:numPr>
          <w:ilvl w:val="0"/>
          <w:numId w:val="12"/>
        </w:numPr>
        <w:spacing w:lineRule="auto" w:line="240" w:before="0" w:after="0"/>
        <w:ind w:left="357" w:hanging="357"/>
        <w:contextualSpacing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>
        <w:rPr>
          <w:szCs w:val="22"/>
          <w:u w:val="single"/>
        </w:rPr>
        <w:t xml:space="preserve"> - bez náplne</w:t>
      </w:r>
    </w:p>
    <w:p>
      <w:pPr>
        <w:pStyle w:val="Odsekzoznamu1"/>
        <w:numPr>
          <w:ilvl w:val="0"/>
          <w:numId w:val="12"/>
        </w:numPr>
        <w:spacing w:lineRule="auto" w:line="240" w:before="0" w:after="0"/>
        <w:ind w:left="357" w:hanging="357"/>
        <w:contextualSpacing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významných položkách derivátov, majetku a záväzkoch zabezpečených derivátmi, 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>
        <w:rPr>
          <w:szCs w:val="22"/>
          <w:u w:val="single"/>
        </w:rPr>
        <w:t xml:space="preserve"> - bez náplne</w:t>
      </w:r>
    </w:p>
    <w:p>
      <w:pPr>
        <w:pStyle w:val="Odsekzoznamu1"/>
        <w:spacing w:lineRule="auto" w:line="240" w:before="0" w:after="0"/>
        <w:ind w:left="357" w:hanging="0"/>
        <w:contextualSpacing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</w:r>
    </w:p>
    <w:p>
      <w:pPr>
        <w:pStyle w:val="Odsekzoznamu1"/>
        <w:numPr>
          <w:ilvl w:val="0"/>
          <w:numId w:val="12"/>
        </w:numPr>
        <w:spacing w:lineRule="auto" w:line="240" w:before="0" w:after="0"/>
        <w:ind w:left="357" w:hanging="357"/>
        <w:contextualSpacing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397"/>
        <w:gridCol w:w="2523"/>
        <w:gridCol w:w="2152"/>
      </w:tblGrid>
      <w:tr>
        <w:trPr>
          <w:trHeight w:val="340" w:hRule="atLeast"/>
        </w:trPr>
        <w:tc>
          <w:tcPr>
            <w:tcW w:w="4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numPr>
                <w:ilvl w:val="0"/>
                <w:numId w:val="15"/>
              </w:numPr>
              <w:spacing w:before="0" w:after="0"/>
              <w:rPr>
                <w:b/>
                <w:b/>
                <w:szCs w:val="22"/>
              </w:rPr>
            </w:pPr>
            <w:r>
              <w:rPr>
                <w:bCs/>
                <w:color w:val="000000"/>
                <w:szCs w:val="22"/>
                <w:lang w:eastAsia="sk-SK"/>
              </w:rPr>
              <w:t>Celková sume záväzkov so zostatkovou dobou splatnosti dlhšou ako päť rokov: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BO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PO</w:t>
            </w:r>
          </w:p>
        </w:tc>
      </w:tr>
      <w:tr>
        <w:trPr>
          <w:trHeight w:val="340" w:hRule="atLeast"/>
        </w:trPr>
        <w:tc>
          <w:tcPr>
            <w:tcW w:w="43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15"/>
              </w:numPr>
              <w:spacing w:lineRule="auto" w:line="240" w:before="0" w:after="0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color w:val="000000"/>
                <w:szCs w:val="22"/>
                <w:lang w:eastAsia="sk-SK"/>
              </w:rPr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numPr>
                <w:ilvl w:val="0"/>
                <w:numId w:val="15"/>
              </w:numPr>
              <w:spacing w:lineRule="auto" w:line="240" w:before="0" w:after="0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Celková suma zabezpečených záväzkov, opis a spôsoby zabezpečenia záväzkov:</w:t>
            </w:r>
          </w:p>
        </w:tc>
      </w:tr>
      <w:tr>
        <w:trPr>
          <w:trHeight w:val="340" w:hRule="atLeast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jc w:val="left"/>
              <w:rPr>
                <w:b w:val="false"/>
                <w:b w:val="false"/>
              </w:rPr>
            </w:pPr>
            <w:r>
              <w:rPr>
                <w:b w:val="false"/>
              </w:rPr>
              <w:t>Spôsob zabezpečenia:</w:t>
            </w:r>
          </w:p>
        </w:tc>
      </w:tr>
      <w:tr>
        <w:trPr>
          <w:trHeight w:val="340" w:hRule="atLeast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Cs/>
                <w:szCs w:val="22"/>
              </w:rPr>
              <w:t>Záložné právo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Inak zabezpečené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Inak zabezpečené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Spolu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Odsekzoznamu1"/>
        <w:spacing w:lineRule="auto" w:line="240" w:before="0" w:after="0"/>
        <w:contextualSpacing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</w:r>
    </w:p>
    <w:p>
      <w:pPr>
        <w:pStyle w:val="Odsekzoznamu1"/>
        <w:numPr>
          <w:ilvl w:val="0"/>
          <w:numId w:val="12"/>
        </w:numPr>
        <w:spacing w:lineRule="auto" w:line="240" w:before="0" w:after="0"/>
        <w:ind w:left="357" w:hanging="357"/>
        <w:contextualSpacing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 vlastných akciách:</w:t>
      </w:r>
    </w:p>
    <w:p>
      <w:pPr>
        <w:pStyle w:val="Odsekzoznamu1"/>
        <w:numPr>
          <w:ilvl w:val="0"/>
          <w:numId w:val="14"/>
        </w:numPr>
        <w:spacing w:lineRule="auto" w:line="240" w:before="0" w:after="0"/>
        <w:ind w:left="641" w:hanging="284"/>
        <w:contextualSpacing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dôvod nadobudnutia vlastných akcií počas účtovného obdobia,</w:t>
      </w:r>
    </w:p>
    <w:p>
      <w:pPr>
        <w:pStyle w:val="Odsekzoznamu1"/>
        <w:numPr>
          <w:ilvl w:val="0"/>
          <w:numId w:val="14"/>
        </w:numPr>
        <w:spacing w:lineRule="auto" w:line="240" w:before="0" w:after="0"/>
        <w:ind w:left="641" w:hanging="284"/>
        <w:contextualSpacing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informácie </w:t>
      </w:r>
    </w:p>
    <w:p>
      <w:pPr>
        <w:pStyle w:val="Odsekzoznamu1"/>
        <w:numPr>
          <w:ilvl w:val="0"/>
          <w:numId w:val="13"/>
        </w:numPr>
        <w:spacing w:lineRule="auto" w:line="240" w:before="0" w:after="0"/>
        <w:ind w:left="1077" w:hanging="357"/>
        <w:contextualSpacing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>
      <w:pPr>
        <w:pStyle w:val="Odsekzoznamu1"/>
        <w:numPr>
          <w:ilvl w:val="0"/>
          <w:numId w:val="13"/>
        </w:numPr>
        <w:spacing w:lineRule="auto" w:line="240" w:before="0" w:after="0"/>
        <w:ind w:left="1077" w:hanging="357"/>
        <w:contextualSpacing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>
      <w:pPr>
        <w:pStyle w:val="Odsekzoznamu1"/>
        <w:numPr>
          <w:ilvl w:val="0"/>
          <w:numId w:val="14"/>
        </w:numPr>
        <w:spacing w:lineRule="auto" w:line="240" w:before="0" w:after="0"/>
        <w:ind w:left="641" w:hanging="284"/>
        <w:contextualSpacing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počet, menovitá hodnote a protihodnota, za ktorú sa vlastné akcie nadobudli a ktoré účtovná jednotka má v držbe k poslednému dňu účtovného obdobia; uvádza sa aj ich percentuálny podiel na upísanom základnom imaní.</w:t>
      </w:r>
    </w:p>
    <w:p>
      <w:pPr>
        <w:pStyle w:val="Odsekzoznamu1"/>
        <w:spacing w:lineRule="auto" w:line="240" w:before="0" w:after="0"/>
        <w:ind w:left="502" w:hanging="0"/>
        <w:contextualSpacing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</w:r>
    </w:p>
    <w:p>
      <w:pPr>
        <w:pStyle w:val="Odsekzoznamu1"/>
        <w:numPr>
          <w:ilvl w:val="0"/>
          <w:numId w:val="12"/>
        </w:numPr>
        <w:spacing w:lineRule="auto" w:line="240" w:before="0" w:after="0"/>
        <w:ind w:left="357" w:hanging="357"/>
        <w:contextualSpacing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110"/>
        <w:gridCol w:w="3968"/>
        <w:gridCol w:w="1420"/>
      </w:tblGrid>
      <w:tr>
        <w:trPr>
          <w:trHeight w:val="340" w:hRule="atLeast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Popis nákladov ,výnosov výnimočného rozsahu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Dôvod vzniku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opHeader"/>
              <w:jc w:val="left"/>
              <w:rPr>
                <w:b w:val="false"/>
                <w:b w:val="false"/>
              </w:rPr>
            </w:pPr>
            <w:r>
              <w:rPr>
                <w:b w:val="false"/>
              </w:rPr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opHeader"/>
              <w:jc w:val="left"/>
              <w:rPr>
                <w:b w:val="false"/>
                <w:b w:val="false"/>
              </w:rPr>
            </w:pPr>
            <w:r>
              <w:rPr>
                <w:b w:val="false"/>
              </w:rPr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opHeader"/>
              <w:jc w:val="left"/>
              <w:rPr>
                <w:b w:val="false"/>
                <w:b w:val="false"/>
              </w:rPr>
            </w:pPr>
            <w:r>
              <w:rPr>
                <w:b w:val="false"/>
              </w:rPr>
            </w:r>
          </w:p>
        </w:tc>
      </w:tr>
      <w:tr>
        <w:trPr>
          <w:trHeight w:val="340" w:hRule="atLeast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opHeader"/>
              <w:jc w:val="left"/>
              <w:rPr>
                <w:b w:val="false"/>
                <w:b w:val="false"/>
              </w:rPr>
            </w:pPr>
            <w:r>
              <w:rPr>
                <w:b w:val="false"/>
              </w:rPr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opHeader"/>
              <w:jc w:val="left"/>
              <w:rPr>
                <w:b w:val="false"/>
                <w:b w:val="false"/>
              </w:rPr>
            </w:pPr>
            <w:r>
              <w:rPr>
                <w:b w:val="false"/>
              </w:rPr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opHeader"/>
              <w:jc w:val="left"/>
              <w:rPr>
                <w:b w:val="false"/>
                <w:b w:val="false"/>
              </w:rPr>
            </w:pPr>
            <w:r>
              <w:rPr>
                <w:b w:val="false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hd w:val="clear" w:color="auto" w:fill="E6E6E6"/>
        <w:spacing w:lineRule="auto" w:line="240" w:before="0" w:after="0"/>
        <w:jc w:val="center"/>
        <w:rPr>
          <w:i/>
          <w:i/>
          <w:szCs w:val="22"/>
        </w:rPr>
      </w:pPr>
      <w:r>
        <w:rPr>
          <w:i/>
          <w:szCs w:val="22"/>
        </w:rPr>
        <w:t>Čl.V - Informácie o iných aktívach a iných pasívach </w:t>
      </w:r>
    </w:p>
    <w:p>
      <w:pPr>
        <w:pStyle w:val="Normal"/>
        <w:rPr/>
      </w:pPr>
      <w:r>
        <w:rPr/>
      </w:r>
    </w:p>
    <w:p>
      <w:pPr>
        <w:pStyle w:val="Odsekzoznamu1"/>
        <w:numPr>
          <w:ilvl w:val="0"/>
          <w:numId w:val="16"/>
        </w:numPr>
        <w:spacing w:lineRule="auto" w:line="240" w:before="0" w:after="0"/>
        <w:ind w:left="357" w:hanging="357"/>
        <w:contextualSpacing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k iným aktívam a iným pasívam :</w:t>
      </w:r>
    </w:p>
    <w:p>
      <w:pPr>
        <w:pStyle w:val="Odsekzoznamu1"/>
        <w:numPr>
          <w:ilvl w:val="0"/>
          <w:numId w:val="17"/>
        </w:numPr>
        <w:spacing w:lineRule="auto" w:line="240" w:before="0" w:after="0"/>
        <w:ind w:left="641" w:hanging="284"/>
        <w:contextualSpacing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koncesionárskych zmlúv, licenčných zmlúv,</w:t>
      </w:r>
    </w:p>
    <w:p>
      <w:pPr>
        <w:pStyle w:val="Odsekzoznamu1"/>
        <w:numPr>
          <w:ilvl w:val="0"/>
          <w:numId w:val="17"/>
        </w:numPr>
        <w:spacing w:lineRule="auto" w:line="240" w:before="0" w:after="0"/>
        <w:ind w:left="641" w:hanging="284"/>
        <w:contextualSpacing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opis a hodnota podmienených záväzkov vyplývajúcich napríklad zo súdnych rozhodnutí, z poskytnutých záruk, zo všeobecne záväzných právnych predpisov, z ručenia podľa jednotlivých druhov ručenia; takýmito podmienenými záväzkami sú</w:t>
      </w:r>
    </w:p>
    <w:p>
      <w:pPr>
        <w:pStyle w:val="Odsekzoznamu1"/>
        <w:numPr>
          <w:ilvl w:val="0"/>
          <w:numId w:val="18"/>
        </w:numPr>
        <w:spacing w:lineRule="auto" w:line="240" w:before="0" w:after="0"/>
        <w:ind w:left="1077" w:hanging="357"/>
        <w:contextualSpacing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>
      <w:pPr>
        <w:pStyle w:val="Odsekzoznamu1"/>
        <w:numPr>
          <w:ilvl w:val="0"/>
          <w:numId w:val="18"/>
        </w:numPr>
        <w:spacing w:lineRule="auto" w:line="240" w:before="0" w:after="0"/>
        <w:ind w:left="1077" w:hanging="357"/>
        <w:contextualSpacing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>
      <w:pPr>
        <w:pStyle w:val="Odsekzoznamu1"/>
        <w:spacing w:lineRule="auto" w:line="240" w:before="0" w:after="0"/>
        <w:contextualSpacing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</w:r>
    </w:p>
    <w:tbl>
      <w:tblPr>
        <w:tblW w:w="9498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669"/>
        <w:gridCol w:w="1984"/>
        <w:gridCol w:w="1845"/>
      </w:tblGrid>
      <w:tr>
        <w:trPr/>
        <w:tc>
          <w:tcPr>
            <w:tcW w:w="9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Odsekzoznamu1"/>
              <w:numPr>
                <w:ilvl w:val="0"/>
                <w:numId w:val="16"/>
              </w:numPr>
              <w:spacing w:lineRule="auto" w:line="240" w:before="0" w:after="0"/>
              <w:ind w:left="357" w:hanging="357"/>
              <w:contextualSpacing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Významné položky ostatných finančných povinností, ktoré sa nevykazujú v účtovných výkazoch, napríklad zákonná povinnosť alebo zmluvná povinnosť odobrať určité množstvo produktu, uskutočniť investície a  veľké opravy:</w:t>
            </w:r>
          </w:p>
        </w:tc>
      </w:tr>
      <w:tr>
        <w:trPr>
          <w:trHeight w:val="340" w:hRule="atLeast"/>
        </w:trPr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Odsekzoznamu1"/>
              <w:spacing w:lineRule="auto" w:line="240" w:before="0" w:after="0"/>
              <w:ind w:left="0" w:hanging="0"/>
              <w:contextualSpacing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Odsekzoznamu1"/>
              <w:spacing w:lineRule="auto" w:line="240" w:before="0" w:after="0"/>
              <w:ind w:left="0" w:hanging="0"/>
              <w:contextualSpacing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Odsekzoznamu1"/>
              <w:spacing w:lineRule="auto" w:line="240" w:before="0" w:after="0"/>
              <w:ind w:left="0" w:hanging="0"/>
              <w:contextualSpacing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before="0" w:after="0"/>
        <w:ind w:right="-471" w:hanging="0"/>
        <w:rPr>
          <w:szCs w:val="22"/>
        </w:rPr>
      </w:pPr>
      <w:r>
        <w:rPr>
          <w:szCs w:val="22"/>
        </w:rPr>
      </w:r>
    </w:p>
    <w:p>
      <w:pPr>
        <w:pStyle w:val="Odsekzoznamu1"/>
        <w:spacing w:lineRule="auto" w:line="240" w:before="0" w:after="0"/>
        <w:ind w:left="357" w:hanging="0"/>
        <w:contextualSpacing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</w:r>
    </w:p>
    <w:p>
      <w:pPr>
        <w:pStyle w:val="Odsekzoznamu1"/>
        <w:spacing w:lineRule="auto" w:line="240" w:before="0" w:after="0"/>
        <w:ind w:left="357" w:hanging="0"/>
        <w:contextualSpacing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</w:r>
    </w:p>
    <w:p>
      <w:pPr>
        <w:pStyle w:val="Odsekzoznamu1"/>
        <w:spacing w:lineRule="auto" w:line="240" w:before="0" w:after="0"/>
        <w:ind w:left="357" w:hanging="0"/>
        <w:contextualSpacing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</w:r>
    </w:p>
    <w:p>
      <w:pPr>
        <w:pStyle w:val="Odsekzoznamu1"/>
        <w:spacing w:lineRule="auto" w:line="240" w:before="0" w:after="0"/>
        <w:ind w:left="357" w:hanging="0"/>
        <w:contextualSpacing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</w:r>
    </w:p>
    <w:p>
      <w:pPr>
        <w:pStyle w:val="Odsekzoznamu1"/>
        <w:spacing w:lineRule="auto" w:line="240" w:before="0" w:after="0"/>
        <w:ind w:left="357" w:hanging="0"/>
        <w:contextualSpacing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</w:r>
    </w:p>
    <w:tbl>
      <w:tblPr>
        <w:tblW w:w="9498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669"/>
        <w:gridCol w:w="1984"/>
        <w:gridCol w:w="1845"/>
      </w:tblGrid>
      <w:tr>
        <w:trPr/>
        <w:tc>
          <w:tcPr>
            <w:tcW w:w="9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Odsekzoznamu1"/>
              <w:numPr>
                <w:ilvl w:val="0"/>
                <w:numId w:val="16"/>
              </w:numPr>
              <w:spacing w:lineRule="auto" w:line="240" w:before="0" w:after="0"/>
              <w:ind w:left="357" w:hanging="357"/>
              <w:contextualSpacing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Podsúvahové účty-Informácie o významných položkách prenajatého majetku, majetku prijatého do úschovy, o pohľadávkach a záväzkoch z opcií, odpísaných pohľadávkach a podobne:</w:t>
            </w:r>
          </w:p>
        </w:tc>
      </w:tr>
      <w:tr>
        <w:trPr>
          <w:trHeight w:val="340" w:hRule="atLeast"/>
        </w:trPr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Odsekzoznamu1"/>
              <w:spacing w:lineRule="auto" w:line="240" w:before="0" w:after="0"/>
              <w:ind w:left="0" w:hanging="0"/>
              <w:contextualSpacing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Odsekzoznamu1"/>
              <w:spacing w:lineRule="auto" w:line="240" w:before="0" w:after="0"/>
              <w:ind w:left="0" w:hanging="0"/>
              <w:contextualSpacing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hd w:val="clear" w:color="auto" w:fill="E6E6E6"/>
        <w:spacing w:lineRule="auto" w:line="240" w:before="0" w:after="0"/>
        <w:jc w:val="center"/>
        <w:rPr>
          <w:i/>
          <w:i/>
          <w:szCs w:val="22"/>
        </w:rPr>
      </w:pPr>
      <w:r>
        <w:rPr>
          <w:i/>
          <w:szCs w:val="22"/>
        </w:rPr>
        <w:t>Čl.VI – Udalosti ,ktoré nastali po dni ,ku ktorému sa zostavuje účtovná závierka </w:t>
      </w:r>
    </w:p>
    <w:p>
      <w:pPr>
        <w:pStyle w:val="Normal"/>
        <w:rPr/>
      </w:pPr>
      <w:r>
        <w:rPr/>
      </w:r>
    </w:p>
    <w:p>
      <w:pPr>
        <w:pStyle w:val="Odsekzoznamu1"/>
        <w:spacing w:lineRule="auto" w:line="240" w:before="0" w:after="0"/>
        <w:ind w:left="0" w:hanging="0"/>
        <w:contextualSpacing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 ktoré nastali po dni, ku ktorému sa zostavuje účtovná závierka do dňa zostavenia účtovnej závierky a ktoré nie sú zohľadnené v súvahe alebo vo výkaze ziskov a strát, napríklad informácie o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641" w:hanging="284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pokles alebo zvýšenie trhovej ceny finančného majetku ako dôsledku udalostí, ktoré nastali po dni, ku ktorému sa zostavuje účtovná závierka do dňa zostavenia účtovnej závierky, s uvedením dôvodu týchto zmien,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641" w:hanging="284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dôvody pre zmenu výšky rezerv a opravných položiek, ktoré nastali v dôsledku udalostí po dni, ku ktorému sa zostavuje účtovná závierka do dňa zostavenia účtovnej závierky,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641" w:hanging="284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zmena spoločníkov účtovnej jednotky,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641" w:hanging="284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 predaji účtovnej jednotky alebo jej časti,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641" w:hanging="284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 významných položiek dlhodobého finančného majetku,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641" w:hanging="284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 účtovnej jednotky, napríklad odštepného závodu, organizačnej zložky, prevádzkarne,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641" w:hanging="284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 dlhopisov a iných cenných papierov,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641" w:hanging="284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zlúčenie, splynutie, rozdelenie a zmena právnej formy účtovnej jednotky,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641" w:hanging="284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mimoriadne udalosti, ak majú vplyv na hospodárenie účtovnej jednotky, napríklad o živelnej  pohrome,</w:t>
      </w:r>
    </w:p>
    <w:p>
      <w:pPr>
        <w:pStyle w:val="Normal"/>
        <w:numPr>
          <w:ilvl w:val="0"/>
          <w:numId w:val="1"/>
        </w:numPr>
        <w:spacing w:lineRule="auto" w:line="240" w:before="0" w:after="0"/>
        <w:ind w:left="641" w:hanging="284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získanie alebo odobratie licencií alebo iných povolení významných pre činnosť účtovnej jednotky a podobne.</w:t>
      </w:r>
    </w:p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hd w:val="clear" w:color="auto" w:fill="E6E6E6"/>
        <w:spacing w:lineRule="auto" w:line="240" w:before="0" w:after="0"/>
        <w:jc w:val="center"/>
        <w:rPr>
          <w:i/>
          <w:i/>
          <w:szCs w:val="22"/>
        </w:rPr>
      </w:pPr>
      <w:r>
        <w:rPr>
          <w:i/>
          <w:szCs w:val="22"/>
        </w:rPr>
        <w:t>Čl.VII – Ostatné informácie</w:t>
      </w:r>
    </w:p>
    <w:p>
      <w:pPr>
        <w:pStyle w:val="Normal"/>
        <w:rPr/>
      </w:pPr>
      <w:r>
        <w:rPr/>
      </w:r>
    </w:p>
    <w:p>
      <w:pPr>
        <w:pStyle w:val="Normal"/>
        <w:numPr>
          <w:ilvl w:val="0"/>
          <w:numId w:val="5"/>
        </w:numPr>
        <w:spacing w:lineRule="auto" w:line="240" w:before="0" w:after="0"/>
        <w:ind w:left="357" w:hanging="357"/>
        <w:jc w:val="both"/>
        <w:rPr>
          <w:szCs w:val="22"/>
        </w:rPr>
      </w:pPr>
      <w:r>
        <w:rPr>
          <w:szCs w:val="22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>
      <w:pPr>
        <w:pStyle w:val="Normal"/>
        <w:numPr>
          <w:ilvl w:val="0"/>
          <w:numId w:val="19"/>
        </w:numPr>
        <w:spacing w:lineRule="auto" w:line="240" w:before="0" w:after="0"/>
        <w:ind w:left="641" w:hanging="284"/>
        <w:jc w:val="both"/>
        <w:rPr>
          <w:szCs w:val="22"/>
        </w:rPr>
      </w:pPr>
      <w:r>
        <w:rPr>
          <w:szCs w:val="22"/>
        </w:rPr>
        <w:t>všetkých formách prijatej náhrady,</w:t>
      </w:r>
    </w:p>
    <w:p>
      <w:pPr>
        <w:pStyle w:val="Normal"/>
        <w:numPr>
          <w:ilvl w:val="0"/>
          <w:numId w:val="19"/>
        </w:numPr>
        <w:spacing w:lineRule="auto" w:line="240" w:before="0" w:after="0"/>
        <w:ind w:left="641" w:hanging="284"/>
        <w:jc w:val="both"/>
        <w:rPr>
          <w:szCs w:val="22"/>
        </w:rPr>
      </w:pPr>
      <w:r>
        <w:rPr>
          <w:szCs w:val="22"/>
        </w:rPr>
        <w:t>účtovných zásadách použitých pri prideľovaní nákladov a výnosov,</w:t>
      </w:r>
    </w:p>
    <w:p>
      <w:pPr>
        <w:pStyle w:val="Normal"/>
        <w:numPr>
          <w:ilvl w:val="0"/>
          <w:numId w:val="19"/>
        </w:numPr>
        <w:spacing w:lineRule="auto" w:line="240" w:before="0" w:after="0"/>
        <w:ind w:left="641" w:hanging="284"/>
        <w:jc w:val="both"/>
        <w:rPr>
          <w:szCs w:val="22"/>
        </w:rPr>
      </w:pPr>
      <w:r>
        <w:rPr>
          <w:szCs w:val="22"/>
        </w:rPr>
        <w:t>všetkých druhoch činností účtovnej jednotky.</w:t>
      </w:r>
    </w:p>
    <w:p>
      <w:pPr>
        <w:pStyle w:val="Normal"/>
        <w:spacing w:lineRule="auto" w:line="240" w:before="0" w:after="0"/>
        <w:ind w:left="641" w:hanging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numPr>
          <w:ilvl w:val="0"/>
          <w:numId w:val="5"/>
        </w:numPr>
        <w:spacing w:lineRule="auto" w:line="240" w:before="0" w:after="0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>Informácie  účtovnej jednotky, na ktorú sa vzťahuje</w:t>
      </w:r>
      <w:r>
        <w:rPr>
          <w:rFonts w:cs="Arial"/>
          <w:szCs w:val="22"/>
        </w:rPr>
        <w:t xml:space="preserve"> § 23d ods. 6 zákona</w:t>
      </w:r>
    </w:p>
    <w:p>
      <w:pPr>
        <w:pStyle w:val="Normal"/>
        <w:numPr>
          <w:ilvl w:val="0"/>
          <w:numId w:val="5"/>
        </w:numPr>
        <w:spacing w:lineRule="auto" w:line="240" w:before="0" w:after="0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>Informácie  účtovnej jednotky, na ktorú sa vzťahuje</w:t>
      </w:r>
      <w:r>
        <w:rPr>
          <w:rFonts w:cs="Arial"/>
          <w:szCs w:val="22"/>
        </w:rPr>
        <w:t xml:space="preserve"> § 23d ods. 6 zákona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Použité  skratky: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ÚJ-účtovná jednotka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BO-bežné účtovné obdobie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PO-bezprostredne predchádzajúce účtovné obdobie</w:t>
      </w:r>
    </w:p>
    <w:p>
      <w:pPr>
        <w:pStyle w:val="Normal"/>
        <w:spacing w:lineRule="auto" w:line="240" w:before="0" w:after="0"/>
        <w:rPr/>
      </w:pPr>
      <w:r>
        <w:rPr>
          <w:szCs w:val="22"/>
        </w:rPr>
        <w:t>X-položka sa vzťahuje na účtovnú jednotku</w:t>
      </w:r>
    </w:p>
    <w:sectPr>
      <w:headerReference w:type="default" r:id="rId2"/>
      <w:footerReference w:type="default" r:id="rId3"/>
      <w:type w:val="nextPage"/>
      <w:pgSz w:w="11906" w:h="16838"/>
      <w:pgMar w:left="1417" w:right="1417" w:header="709" w:top="1417" w:footer="709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EUAlbertina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7</w:t>
    </w:r>
    <w:r>
      <w:rPr/>
      <w:fldChar w:fldCharType="end"/>
    </w:r>
  </w:p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tbl>
    <w:tblPr>
      <w:tblW w:w="8957" w:type="dxa"/>
      <w:jc w:val="left"/>
      <w:tblInd w:w="93" w:type="dxa"/>
      <w:tblCellMar>
        <w:top w:w="0" w:type="dxa"/>
        <w:left w:w="70" w:type="dxa"/>
        <w:bottom w:w="0" w:type="dxa"/>
        <w:right w:w="70" w:type="dxa"/>
      </w:tblCellMar>
      <w:tblLook w:firstRow="0" w:noVBand="0" w:lastRow="0" w:firstColumn="0" w:lastColumn="0" w:noHBand="0" w:val="0000"/>
    </w:tblPr>
    <w:tblGrid>
      <w:gridCol w:w="2244"/>
      <w:gridCol w:w="1700"/>
      <w:gridCol w:w="2410"/>
      <w:gridCol w:w="443"/>
      <w:gridCol w:w="2160"/>
    </w:tblGrid>
    <w:tr>
      <w:trPr>
        <w:trHeight w:val="326" w:hRule="atLeast"/>
      </w:trPr>
      <w:tc>
        <w:tcPr>
          <w:tcW w:w="22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fill="auto" w:val="clear"/>
        </w:tcPr>
        <w:p>
          <w:pPr>
            <w:pStyle w:val="Hlavika"/>
            <w:rPr/>
          </w:pPr>
          <w:r>
            <w:rPr/>
            <w:t>Poznámky Úč POD 3-01</w:t>
          </w:r>
        </w:p>
      </w:tc>
      <w:tc>
        <w:tcPr>
          <w:tcW w:w="1700" w:type="dxa"/>
          <w:tcBorders>
            <w:left w:val="single" w:sz="4" w:space="0" w:color="000000"/>
            <w:right w:val="single" w:sz="4" w:space="0" w:color="000000"/>
          </w:tcBorders>
          <w:shd w:color="auto" w:fill="auto" w:val="clear"/>
        </w:tcPr>
        <w:p>
          <w:pPr>
            <w:pStyle w:val="Normal"/>
            <w:spacing w:lineRule="auto" w:line="240" w:before="0" w:after="0"/>
            <w:rPr/>
          </w:pPr>
          <w:r>
            <w:rPr/>
            <w:t xml:space="preserve">                                  </w:t>
          </w:r>
        </w:p>
      </w:tc>
      <w:tc>
        <w:tcPr>
          <w:tcW w:w="241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color="auto" w:fill="auto" w:val="clear"/>
        </w:tcPr>
        <w:p>
          <w:pPr>
            <w:pStyle w:val="Normal"/>
            <w:spacing w:lineRule="auto" w:line="240" w:before="0" w:after="0"/>
            <w:rPr/>
          </w:pPr>
          <w:r>
            <w:rPr/>
            <w:t>IČO: 36823201</w:t>
          </w:r>
        </w:p>
      </w:tc>
      <w:tc>
        <w:tcPr>
          <w:tcW w:w="443" w:type="dxa"/>
          <w:tcBorders>
            <w:left w:val="single" w:sz="4" w:space="0" w:color="000000"/>
            <w:right w:val="single" w:sz="4" w:space="0" w:color="000000"/>
          </w:tcBorders>
          <w:shd w:color="auto" w:fill="auto" w:val="clear"/>
        </w:tcPr>
        <w:p>
          <w:pPr>
            <w:pStyle w:val="Normal"/>
            <w:spacing w:lineRule="auto" w:line="240" w:before="0" w:after="0"/>
            <w:rPr/>
          </w:pPr>
          <w:r>
            <w:rPr/>
          </w:r>
        </w:p>
      </w:tc>
      <w:tc>
        <w:tcPr>
          <w:tcW w:w="21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color="auto" w:fill="auto" w:val="clear"/>
        </w:tcPr>
        <w:p>
          <w:pPr>
            <w:pStyle w:val="Normal"/>
            <w:spacing w:lineRule="auto" w:line="240" w:before="0" w:after="0"/>
            <w:rPr/>
          </w:pPr>
          <w:r>
            <w:rPr/>
            <w:t>DIČ: 2022429574</w:t>
          </w:r>
        </w:p>
      </w:tc>
    </w:tr>
  </w:tbl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b/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lvl w:ilvl="0">
      <w:start w:val="1"/>
      <w:numFmt w:val="decimal"/>
      <w:lvlText w:val="(%1)"/>
      <w:lvlJc w:val="left"/>
      <w:pPr>
        <w:ind w:left="360" w:hanging="360"/>
      </w:pPr>
      <w:rPr>
        <w:sz w:val="20"/>
        <w:b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lvl w:ilvl="0">
      <w:start w:val="1"/>
      <w:numFmt w:val="decimal"/>
      <w:lvlText w:val="%1."/>
      <w:lvlJc w:val="left"/>
      <w:pPr>
        <w:ind w:left="2870" w:hanging="360"/>
      </w:pPr>
    </w:lvl>
    <w:lvl w:ilvl="1">
      <w:start w:val="1"/>
      <w:numFmt w:val="lowerLetter"/>
      <w:lvlText w:val="%2."/>
      <w:lvlJc w:val="left"/>
      <w:pPr>
        <w:ind w:left="3590" w:hanging="360"/>
      </w:pPr>
    </w:lvl>
    <w:lvl w:ilvl="2">
      <w:start w:val="1"/>
      <w:numFmt w:val="lowerRoman"/>
      <w:lvlText w:val="%3."/>
      <w:lvlJc w:val="right"/>
      <w:pPr>
        <w:ind w:left="4310" w:hanging="180"/>
      </w:pPr>
    </w:lvl>
    <w:lvl w:ilvl="3">
      <w:start w:val="1"/>
      <w:numFmt w:val="decimal"/>
      <w:lvlText w:val="%4."/>
      <w:lvlJc w:val="left"/>
      <w:pPr>
        <w:ind w:left="5030" w:hanging="360"/>
      </w:pPr>
    </w:lvl>
    <w:lvl w:ilvl="4">
      <w:start w:val="1"/>
      <w:numFmt w:val="lowerLetter"/>
      <w:lvlText w:val="%5."/>
      <w:lvlJc w:val="left"/>
      <w:pPr>
        <w:ind w:left="5750" w:hanging="360"/>
      </w:pPr>
    </w:lvl>
    <w:lvl w:ilvl="5">
      <w:start w:val="1"/>
      <w:numFmt w:val="lowerRoman"/>
      <w:lvlText w:val="%6."/>
      <w:lvlJc w:val="right"/>
      <w:pPr>
        <w:ind w:left="6470" w:hanging="180"/>
      </w:pPr>
    </w:lvl>
    <w:lvl w:ilvl="6">
      <w:start w:val="1"/>
      <w:numFmt w:val="decimal"/>
      <w:lvlText w:val="%7."/>
      <w:lvlJc w:val="left"/>
      <w:pPr>
        <w:ind w:left="7190" w:hanging="360"/>
      </w:pPr>
    </w:lvl>
    <w:lvl w:ilvl="7">
      <w:start w:val="1"/>
      <w:numFmt w:val="lowerLetter"/>
      <w:lvlText w:val="%8."/>
      <w:lvlJc w:val="left"/>
      <w:pPr>
        <w:ind w:left="7910" w:hanging="360"/>
      </w:pPr>
    </w:lvl>
    <w:lvl w:ilvl="8">
      <w:start w:val="1"/>
      <w:numFmt w:val="lowerRoman"/>
      <w:lvlText w:val="%9."/>
      <w:lvlJc w:val="right"/>
      <w:pPr>
        <w:ind w:left="8630" w:hanging="180"/>
      </w:pPr>
    </w:lvl>
  </w:abstractNum>
  <w:abstractNum w:abstractNumId="4">
    <w:lvl w:ilvl="0">
      <w:start w:val="1"/>
      <w:numFmt w:val="lowerLetter"/>
      <w:lvlText w:val="%1)"/>
      <w:lvlJc w:val="left"/>
      <w:pPr>
        <w:ind w:left="4329" w:hanging="360"/>
      </w:pPr>
      <w:rPr>
        <w:sz w:val="20"/>
        <w:b/>
      </w:rPr>
    </w:lvl>
    <w:lvl w:ilvl="1">
      <w:start w:val="1"/>
      <w:numFmt w:val="lowerLetter"/>
      <w:lvlText w:val="%2."/>
      <w:lvlJc w:val="left"/>
      <w:pPr>
        <w:ind w:left="5049" w:hanging="360"/>
      </w:pPr>
    </w:lvl>
    <w:lvl w:ilvl="2">
      <w:start w:val="1"/>
      <w:numFmt w:val="lowerRoman"/>
      <w:lvlText w:val="%3."/>
      <w:lvlJc w:val="right"/>
      <w:pPr>
        <w:ind w:left="5769" w:hanging="180"/>
      </w:pPr>
    </w:lvl>
    <w:lvl w:ilvl="3">
      <w:start w:val="1"/>
      <w:numFmt w:val="decimal"/>
      <w:lvlText w:val="%4."/>
      <w:lvlJc w:val="left"/>
      <w:pPr>
        <w:ind w:left="6489" w:hanging="360"/>
      </w:pPr>
    </w:lvl>
    <w:lvl w:ilvl="4">
      <w:start w:val="1"/>
      <w:numFmt w:val="lowerLetter"/>
      <w:lvlText w:val="%5."/>
      <w:lvlJc w:val="left"/>
      <w:pPr>
        <w:ind w:left="7209" w:hanging="360"/>
      </w:pPr>
    </w:lvl>
    <w:lvl w:ilvl="5">
      <w:start w:val="1"/>
      <w:numFmt w:val="lowerRoman"/>
      <w:lvlText w:val="%6."/>
      <w:lvlJc w:val="right"/>
      <w:pPr>
        <w:ind w:left="7929" w:hanging="180"/>
      </w:pPr>
    </w:lvl>
    <w:lvl w:ilvl="6">
      <w:start w:val="1"/>
      <w:numFmt w:val="decimal"/>
      <w:lvlText w:val="%7."/>
      <w:lvlJc w:val="left"/>
      <w:pPr>
        <w:ind w:left="8649" w:hanging="360"/>
      </w:pPr>
    </w:lvl>
    <w:lvl w:ilvl="7">
      <w:start w:val="1"/>
      <w:numFmt w:val="lowerLetter"/>
      <w:lvlText w:val="%8."/>
      <w:lvlJc w:val="left"/>
      <w:pPr>
        <w:ind w:left="9369" w:hanging="360"/>
      </w:pPr>
    </w:lvl>
    <w:lvl w:ilvl="8">
      <w:start w:val="1"/>
      <w:numFmt w:val="lowerRoman"/>
      <w:lvlText w:val="%9."/>
      <w:lvlJc w:val="right"/>
      <w:pPr>
        <w:ind w:left="10089" w:hanging="180"/>
      </w:pPr>
    </w:lvl>
  </w:abstractNum>
  <w:abstractNum w:abstractNumId="5">
    <w:lvl w:ilvl="0">
      <w:start w:val="1"/>
      <w:numFmt w:val="decimal"/>
      <w:lvlText w:val="(%1)"/>
      <w:lvlJc w:val="left"/>
      <w:pPr>
        <w:ind w:left="1481" w:hanging="360"/>
      </w:pPr>
      <w:rPr>
        <w:sz w:val="20"/>
        <w:i w:val="false"/>
        <w:b w:val="false"/>
        <w:szCs w:val="24"/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lvl w:ilvl="0">
      <w:start w:val="1"/>
      <w:numFmt w:val="decimal"/>
      <w:lvlText w:val="(%1)"/>
      <w:lvlJc w:val="left"/>
      <w:pPr>
        <w:ind w:left="360" w:hanging="360"/>
      </w:pPr>
      <w:rPr>
        <w:sz w:val="20"/>
        <w:b w:val="false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lvl w:ilvl="0">
      <w:start w:val="1"/>
      <w:numFmt w:val="lowerLetter"/>
      <w:lvlText w:val="%1)"/>
      <w:lvlJc w:val="left"/>
      <w:pPr>
        <w:ind w:left="1636" w:hanging="360"/>
      </w:pPr>
      <w:rPr>
        <w:sz w:val="22"/>
        <w:b/>
        <w:rFonts w:cs="Times New Roman"/>
      </w:rPr>
    </w:lvl>
    <w:lvl w:ilvl="1">
      <w:start w:val="1"/>
      <w:numFmt w:val="lowerLetter"/>
      <w:lvlText w:val="%2."/>
      <w:lvlJc w:val="left"/>
      <w:pPr>
        <w:ind w:left="1582" w:hanging="360"/>
      </w:pPr>
    </w:lvl>
    <w:lvl w:ilvl="2">
      <w:start w:val="1"/>
      <w:numFmt w:val="lowerRoman"/>
      <w:lvlText w:val="%3."/>
      <w:lvlJc w:val="right"/>
      <w:pPr>
        <w:ind w:left="2302" w:hanging="180"/>
      </w:pPr>
    </w:lvl>
    <w:lvl w:ilvl="3">
      <w:start w:val="1"/>
      <w:numFmt w:val="decimal"/>
      <w:lvlText w:val="%4."/>
      <w:lvlJc w:val="left"/>
      <w:pPr>
        <w:ind w:left="3022" w:hanging="360"/>
      </w:pPr>
    </w:lvl>
    <w:lvl w:ilvl="4">
      <w:start w:val="1"/>
      <w:numFmt w:val="lowerLetter"/>
      <w:lvlText w:val="%5."/>
      <w:lvlJc w:val="left"/>
      <w:pPr>
        <w:ind w:left="3742" w:hanging="360"/>
      </w:pPr>
    </w:lvl>
    <w:lvl w:ilvl="5">
      <w:start w:val="1"/>
      <w:numFmt w:val="lowerRoman"/>
      <w:lvlText w:val="%6."/>
      <w:lvlJc w:val="right"/>
      <w:pPr>
        <w:ind w:left="4462" w:hanging="180"/>
      </w:pPr>
    </w:lvl>
    <w:lvl w:ilvl="6">
      <w:start w:val="1"/>
      <w:numFmt w:val="decimal"/>
      <w:lvlText w:val="%7."/>
      <w:lvlJc w:val="left"/>
      <w:pPr>
        <w:ind w:left="5182" w:hanging="360"/>
      </w:pPr>
    </w:lvl>
    <w:lvl w:ilvl="7">
      <w:start w:val="1"/>
      <w:numFmt w:val="lowerLetter"/>
      <w:lvlText w:val="%8."/>
      <w:lvlJc w:val="left"/>
      <w:pPr>
        <w:ind w:left="5902" w:hanging="360"/>
      </w:pPr>
    </w:lvl>
    <w:lvl w:ilvl="8">
      <w:start w:val="1"/>
      <w:numFmt w:val="lowerRoman"/>
      <w:lvlText w:val="%9."/>
      <w:lvlJc w:val="right"/>
      <w:pPr>
        <w:ind w:left="6622" w:hanging="180"/>
      </w:pPr>
    </w:lvl>
  </w:abstractNum>
  <w:abstractNum w:abstractNumId="8"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lvl w:ilvl="0">
      <w:start w:val="2"/>
      <w:numFmt w:val="decimal"/>
      <w:lvlText w:val="%1a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lvl w:ilvl="0">
      <w:start w:val="2"/>
      <w:numFmt w:val="decimal"/>
      <w:lvlText w:val="%1b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lvl w:ilvl="0">
      <w:start w:val="1"/>
      <w:numFmt w:val="decimal"/>
      <w:lvlText w:val="(%1)"/>
      <w:lvlJc w:val="left"/>
      <w:pPr>
        <w:ind w:left="1637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lvl w:ilvl="0">
      <w:start w:val="1"/>
      <w:numFmt w:val="lowerLetter"/>
      <w:lvlText w:val="%1)"/>
      <w:lvlJc w:val="left"/>
      <w:pPr>
        <w:ind w:left="862" w:hanging="360"/>
      </w:pPr>
    </w:lvl>
    <w:lvl w:ilvl="1">
      <w:start w:val="1"/>
      <w:numFmt w:val="lowerLetter"/>
      <w:lvlText w:val="%2."/>
      <w:lvlJc w:val="left"/>
      <w:pPr>
        <w:ind w:left="1582" w:hanging="360"/>
      </w:pPr>
    </w:lvl>
    <w:lvl w:ilvl="2">
      <w:start w:val="1"/>
      <w:numFmt w:val="lowerRoman"/>
      <w:lvlText w:val="%3."/>
      <w:lvlJc w:val="right"/>
      <w:pPr>
        <w:ind w:left="2302" w:hanging="180"/>
      </w:pPr>
    </w:lvl>
    <w:lvl w:ilvl="3">
      <w:start w:val="1"/>
      <w:numFmt w:val="decimal"/>
      <w:lvlText w:val="%4."/>
      <w:lvlJc w:val="left"/>
      <w:pPr>
        <w:ind w:left="3022" w:hanging="360"/>
      </w:pPr>
    </w:lvl>
    <w:lvl w:ilvl="4">
      <w:start w:val="1"/>
      <w:numFmt w:val="lowerLetter"/>
      <w:lvlText w:val="%5."/>
      <w:lvlJc w:val="left"/>
      <w:pPr>
        <w:ind w:left="3742" w:hanging="360"/>
      </w:pPr>
    </w:lvl>
    <w:lvl w:ilvl="5">
      <w:start w:val="1"/>
      <w:numFmt w:val="lowerRoman"/>
      <w:lvlText w:val="%6."/>
      <w:lvlJc w:val="right"/>
      <w:pPr>
        <w:ind w:left="4462" w:hanging="180"/>
      </w:pPr>
    </w:lvl>
    <w:lvl w:ilvl="6">
      <w:start w:val="1"/>
      <w:numFmt w:val="decimal"/>
      <w:lvlText w:val="%7."/>
      <w:lvlJc w:val="left"/>
      <w:pPr>
        <w:ind w:left="5182" w:hanging="360"/>
      </w:pPr>
    </w:lvl>
    <w:lvl w:ilvl="7">
      <w:start w:val="1"/>
      <w:numFmt w:val="lowerLetter"/>
      <w:lvlText w:val="%8."/>
      <w:lvlJc w:val="left"/>
      <w:pPr>
        <w:ind w:left="5902" w:hanging="360"/>
      </w:pPr>
    </w:lvl>
    <w:lvl w:ilvl="8">
      <w:start w:val="1"/>
      <w:numFmt w:val="lowerRoman"/>
      <w:lvlText w:val="%9."/>
      <w:lvlJc w:val="right"/>
      <w:pPr>
        <w:ind w:left="6622" w:hanging="180"/>
      </w:pPr>
    </w:lvl>
  </w:abstractNum>
  <w:abstractNum w:abstractNumId="15">
    <w:lvl w:ilvl="0">
      <w:start w:val="1"/>
      <w:numFmt w:val="lowerLetter"/>
      <w:lvlText w:val="%1)"/>
      <w:lvlJc w:val="left"/>
      <w:pPr>
        <w:ind w:left="641" w:hanging="284"/>
      </w:pPr>
      <w:rPr>
        <w:b/>
      </w:rPr>
    </w:lvl>
    <w:lvl w:ilvl="1">
      <w:start w:val="1"/>
      <w:numFmt w:val="lowerLetter"/>
      <w:lvlText w:val="%2."/>
      <w:lvlJc w:val="left"/>
      <w:pPr>
        <w:ind w:left="1077" w:hanging="360"/>
      </w:pPr>
    </w:lvl>
    <w:lvl w:ilvl="2">
      <w:start w:val="1"/>
      <w:numFmt w:val="lowerRoman"/>
      <w:lvlText w:val="%3."/>
      <w:lvlJc w:val="right"/>
      <w:pPr>
        <w:ind w:left="1797" w:hanging="180"/>
      </w:pPr>
    </w:lvl>
    <w:lvl w:ilvl="3">
      <w:start w:val="1"/>
      <w:numFmt w:val="decimal"/>
      <w:lvlText w:val="%4."/>
      <w:lvlJc w:val="left"/>
      <w:pPr>
        <w:ind w:left="2517" w:hanging="360"/>
      </w:pPr>
    </w:lvl>
    <w:lvl w:ilvl="4">
      <w:start w:val="1"/>
      <w:numFmt w:val="lowerLetter"/>
      <w:lvlText w:val="%5."/>
      <w:lvlJc w:val="left"/>
      <w:pPr>
        <w:ind w:left="3237" w:hanging="360"/>
      </w:pPr>
    </w:lvl>
    <w:lvl w:ilvl="5">
      <w:start w:val="1"/>
      <w:numFmt w:val="lowerRoman"/>
      <w:lvlText w:val="%6."/>
      <w:lvlJc w:val="right"/>
      <w:pPr>
        <w:ind w:left="3957" w:hanging="180"/>
      </w:pPr>
    </w:lvl>
    <w:lvl w:ilvl="6">
      <w:start w:val="1"/>
      <w:numFmt w:val="decimal"/>
      <w:lvlText w:val="%7."/>
      <w:lvlJc w:val="left"/>
      <w:pPr>
        <w:ind w:left="4677" w:hanging="360"/>
      </w:pPr>
    </w:lvl>
    <w:lvl w:ilvl="7">
      <w:start w:val="1"/>
      <w:numFmt w:val="lowerLetter"/>
      <w:lvlText w:val="%8."/>
      <w:lvlJc w:val="left"/>
      <w:pPr>
        <w:ind w:left="5397" w:hanging="360"/>
      </w:pPr>
    </w:lvl>
    <w:lvl w:ilvl="8">
      <w:start w:val="1"/>
      <w:numFmt w:val="lowerRoman"/>
      <w:lvlText w:val="%9."/>
      <w:lvlJc w:val="right"/>
      <w:pPr>
        <w:ind w:left="6117" w:hanging="180"/>
      </w:pPr>
    </w:lvl>
  </w:abstractNum>
  <w:abstractNum w:abstractNumId="16"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lvl w:ilvl="0">
      <w:start w:val="1"/>
      <w:numFmt w:val="lowerLetter"/>
      <w:lvlText w:val="%1)"/>
      <w:lvlJc w:val="left"/>
      <w:pPr>
        <w:ind w:left="1440" w:hanging="360"/>
      </w:pPr>
      <w:rPr>
        <w:sz w:val="22"/>
        <w:szCs w:val="22"/>
        <w:rFonts w:cs="Times New Roman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lang w:val="sk-SK" w:eastAsia="sk-SK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kern w:val="0"/>
      <w:sz w:val="22"/>
      <w:szCs w:val="36"/>
      <w:lang w:eastAsia="en-US" w:val="sk-SK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link w:val="Nadpis1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HlavikaChar" w:customStyle="1">
    <w:name w:val="Hlavička Char"/>
    <w:link w:val="Hlavika"/>
    <w:uiPriority w:val="99"/>
    <w:qFormat/>
    <w:locked/>
    <w:rsid w:val="00107589"/>
    <w:rPr>
      <w:rFonts w:cs="Times New Roman"/>
    </w:rPr>
  </w:style>
  <w:style w:type="character" w:styleId="PtaChar" w:customStyle="1">
    <w:name w:val="Päta Char"/>
    <w:link w:val="Pta"/>
    <w:uiPriority w:val="99"/>
    <w:qFormat/>
    <w:locked/>
    <w:rsid w:val="00107589"/>
    <w:rPr>
      <w:rFonts w:cs="Times New Roman"/>
    </w:rPr>
  </w:style>
  <w:style w:type="character" w:styleId="TextpoznmkypodiarouChar128" w:customStyle="1">
    <w:name w:val="Text poznámky pod čiarou Char128"/>
    <w:uiPriority w:val="99"/>
    <w:semiHidden/>
    <w:qFormat/>
    <w:rPr>
      <w:rFonts w:cs="Times New Roman"/>
      <w:sz w:val="20"/>
      <w:szCs w:val="20"/>
    </w:rPr>
  </w:style>
  <w:style w:type="character" w:styleId="TextpoznmkypodiarouChar" w:customStyle="1">
    <w:name w:val="Text poznámky pod čiarou Char"/>
    <w:link w:val="Textpoznmkypodiarou"/>
    <w:uiPriority w:val="99"/>
    <w:semiHidden/>
    <w:qFormat/>
    <w:locked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uiPriority w:val="99"/>
    <w:semiHidden/>
    <w:qFormat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uiPriority w:val="99"/>
    <w:semiHidden/>
    <w:qFormat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uiPriority w:val="99"/>
    <w:semiHidden/>
    <w:qFormat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uiPriority w:val="99"/>
    <w:semiHidden/>
    <w:qFormat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uiPriority w:val="99"/>
    <w:semiHidden/>
    <w:qFormat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uiPriority w:val="99"/>
    <w:semiHidden/>
    <w:qFormat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uiPriority w:val="99"/>
    <w:semiHidden/>
    <w:qFormat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uiPriority w:val="99"/>
    <w:semiHidden/>
    <w:qFormat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uiPriority w:val="99"/>
    <w:semiHidden/>
    <w:qFormat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uiPriority w:val="99"/>
    <w:semiHidden/>
    <w:qFormat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uiPriority w:val="99"/>
    <w:semiHidden/>
    <w:qFormat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uiPriority w:val="99"/>
    <w:semiHidden/>
    <w:qFormat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uiPriority w:val="99"/>
    <w:semiHidden/>
    <w:qFormat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uiPriority w:val="99"/>
    <w:semiHidden/>
    <w:qFormat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uiPriority w:val="99"/>
    <w:semiHidden/>
    <w:qFormat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uiPriority w:val="99"/>
    <w:semiHidden/>
    <w:qFormat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uiPriority w:val="99"/>
    <w:semiHidden/>
    <w:qFormat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uiPriority w:val="99"/>
    <w:semiHidden/>
    <w:qFormat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uiPriority w:val="99"/>
    <w:semiHidden/>
    <w:qFormat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uiPriority w:val="99"/>
    <w:semiHidden/>
    <w:qFormat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uiPriority w:val="99"/>
    <w:semiHidden/>
    <w:qFormat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uiPriority w:val="99"/>
    <w:semiHidden/>
    <w:qFormat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uiPriority w:val="99"/>
    <w:semiHidden/>
    <w:qFormat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uiPriority w:val="99"/>
    <w:semiHidden/>
    <w:qFormat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uiPriority w:val="99"/>
    <w:semiHidden/>
    <w:qFormat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uiPriority w:val="99"/>
    <w:semiHidden/>
    <w:qFormat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uiPriority w:val="99"/>
    <w:semiHidden/>
    <w:qFormat/>
    <w:rPr>
      <w:rFonts w:cs="Times New Roman"/>
      <w:sz w:val="20"/>
      <w:szCs w:val="20"/>
    </w:rPr>
  </w:style>
  <w:style w:type="character" w:styleId="NzovChar128" w:customStyle="1">
    <w:name w:val="Názov Char128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" w:customStyle="1">
    <w:name w:val="Názov Char"/>
    <w:link w:val="Nzov"/>
    <w:uiPriority w:val="99"/>
    <w:qFormat/>
    <w:locked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7" w:customStyle="1">
    <w:name w:val="Názov Char127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6" w:customStyle="1">
    <w:name w:val="Názov Char126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5" w:customStyle="1">
    <w:name w:val="Názov Char125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4" w:customStyle="1">
    <w:name w:val="Názov Char124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3" w:customStyle="1">
    <w:name w:val="Názov Char123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2" w:customStyle="1">
    <w:name w:val="Názov Char122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1" w:customStyle="1">
    <w:name w:val="Názov Char121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0" w:customStyle="1">
    <w:name w:val="Názov Char120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9" w:customStyle="1">
    <w:name w:val="Názov Char119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8" w:customStyle="1">
    <w:name w:val="Názov Char118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7" w:customStyle="1">
    <w:name w:val="Názov Char117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6" w:customStyle="1">
    <w:name w:val="Názov Char116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5" w:customStyle="1">
    <w:name w:val="Názov Char115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4" w:customStyle="1">
    <w:name w:val="Názov Char114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3" w:customStyle="1">
    <w:name w:val="Názov Char113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2" w:customStyle="1">
    <w:name w:val="Názov Char112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1" w:customStyle="1">
    <w:name w:val="Názov Char111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0" w:customStyle="1">
    <w:name w:val="Názov Char110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9" w:customStyle="1">
    <w:name w:val="Názov Char19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8" w:customStyle="1">
    <w:name w:val="Názov Char18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7" w:customStyle="1">
    <w:name w:val="Názov Char17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6" w:customStyle="1">
    <w:name w:val="Názov Char16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5" w:customStyle="1">
    <w:name w:val="Názov Char15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4" w:customStyle="1">
    <w:name w:val="Názov Char14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3" w:customStyle="1">
    <w:name w:val="Názov Char13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" w:customStyle="1">
    <w:name w:val="Názov Char12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" w:customStyle="1">
    <w:name w:val="Názov Char11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ZkladntextChar128" w:customStyle="1">
    <w:name w:val="Základný text Char128"/>
    <w:uiPriority w:val="99"/>
    <w:semiHidden/>
    <w:qFormat/>
    <w:rPr>
      <w:rFonts w:cs="Times New Roman"/>
      <w:sz w:val="36"/>
      <w:szCs w:val="36"/>
    </w:rPr>
  </w:style>
  <w:style w:type="character" w:styleId="ZkladntextChar" w:customStyle="1">
    <w:name w:val="Základný text Char"/>
    <w:link w:val="Zkladntext"/>
    <w:uiPriority w:val="99"/>
    <w:semiHidden/>
    <w:qFormat/>
    <w:locked/>
    <w:rPr>
      <w:rFonts w:cs="Times New Roman"/>
      <w:sz w:val="36"/>
      <w:szCs w:val="36"/>
    </w:rPr>
  </w:style>
  <w:style w:type="character" w:styleId="ZkladntextChar127" w:customStyle="1">
    <w:name w:val="Základný text Char127"/>
    <w:uiPriority w:val="99"/>
    <w:semiHidden/>
    <w:qFormat/>
    <w:rPr>
      <w:rFonts w:cs="Times New Roman"/>
      <w:sz w:val="36"/>
      <w:szCs w:val="36"/>
    </w:rPr>
  </w:style>
  <w:style w:type="character" w:styleId="ZkladntextChar126" w:customStyle="1">
    <w:name w:val="Základný text Char126"/>
    <w:uiPriority w:val="99"/>
    <w:semiHidden/>
    <w:qFormat/>
    <w:rPr>
      <w:rFonts w:cs="Times New Roman"/>
      <w:sz w:val="36"/>
      <w:szCs w:val="36"/>
    </w:rPr>
  </w:style>
  <w:style w:type="character" w:styleId="ZkladntextChar125" w:customStyle="1">
    <w:name w:val="Základný text Char125"/>
    <w:uiPriority w:val="99"/>
    <w:semiHidden/>
    <w:qFormat/>
    <w:rPr>
      <w:rFonts w:cs="Times New Roman"/>
      <w:sz w:val="36"/>
      <w:szCs w:val="36"/>
    </w:rPr>
  </w:style>
  <w:style w:type="character" w:styleId="ZkladntextChar124" w:customStyle="1">
    <w:name w:val="Základný text Char124"/>
    <w:uiPriority w:val="99"/>
    <w:semiHidden/>
    <w:qFormat/>
    <w:rPr>
      <w:rFonts w:cs="Times New Roman"/>
      <w:sz w:val="36"/>
      <w:szCs w:val="36"/>
    </w:rPr>
  </w:style>
  <w:style w:type="character" w:styleId="ZkladntextChar123" w:customStyle="1">
    <w:name w:val="Základný text Char123"/>
    <w:uiPriority w:val="99"/>
    <w:semiHidden/>
    <w:qFormat/>
    <w:rPr>
      <w:rFonts w:cs="Times New Roman"/>
      <w:sz w:val="36"/>
      <w:szCs w:val="36"/>
    </w:rPr>
  </w:style>
  <w:style w:type="character" w:styleId="ZkladntextChar122" w:customStyle="1">
    <w:name w:val="Základný text Char122"/>
    <w:uiPriority w:val="99"/>
    <w:semiHidden/>
    <w:qFormat/>
    <w:rPr>
      <w:rFonts w:cs="Times New Roman"/>
      <w:sz w:val="36"/>
      <w:szCs w:val="36"/>
    </w:rPr>
  </w:style>
  <w:style w:type="character" w:styleId="ZkladntextChar121" w:customStyle="1">
    <w:name w:val="Základný text Char121"/>
    <w:uiPriority w:val="99"/>
    <w:semiHidden/>
    <w:qFormat/>
    <w:rPr>
      <w:rFonts w:cs="Times New Roman"/>
      <w:sz w:val="36"/>
      <w:szCs w:val="36"/>
    </w:rPr>
  </w:style>
  <w:style w:type="character" w:styleId="ZkladntextChar120" w:customStyle="1">
    <w:name w:val="Základný text Char120"/>
    <w:uiPriority w:val="99"/>
    <w:semiHidden/>
    <w:qFormat/>
    <w:rPr>
      <w:rFonts w:cs="Times New Roman"/>
      <w:sz w:val="36"/>
      <w:szCs w:val="36"/>
    </w:rPr>
  </w:style>
  <w:style w:type="character" w:styleId="ZkladntextChar119" w:customStyle="1">
    <w:name w:val="Základný text Char119"/>
    <w:uiPriority w:val="99"/>
    <w:semiHidden/>
    <w:qFormat/>
    <w:rPr>
      <w:rFonts w:cs="Times New Roman"/>
      <w:sz w:val="36"/>
      <w:szCs w:val="36"/>
    </w:rPr>
  </w:style>
  <w:style w:type="character" w:styleId="ZkladntextChar118" w:customStyle="1">
    <w:name w:val="Základný text Char118"/>
    <w:uiPriority w:val="99"/>
    <w:semiHidden/>
    <w:qFormat/>
    <w:rPr>
      <w:rFonts w:cs="Times New Roman"/>
      <w:sz w:val="36"/>
      <w:szCs w:val="36"/>
    </w:rPr>
  </w:style>
  <w:style w:type="character" w:styleId="ZkladntextChar117" w:customStyle="1">
    <w:name w:val="Základný text Char117"/>
    <w:uiPriority w:val="99"/>
    <w:semiHidden/>
    <w:qFormat/>
    <w:rPr>
      <w:rFonts w:cs="Times New Roman"/>
      <w:sz w:val="36"/>
      <w:szCs w:val="36"/>
    </w:rPr>
  </w:style>
  <w:style w:type="character" w:styleId="ZkladntextChar116" w:customStyle="1">
    <w:name w:val="Základný text Char116"/>
    <w:uiPriority w:val="99"/>
    <w:semiHidden/>
    <w:qFormat/>
    <w:rPr>
      <w:rFonts w:cs="Times New Roman"/>
      <w:sz w:val="36"/>
      <w:szCs w:val="36"/>
    </w:rPr>
  </w:style>
  <w:style w:type="character" w:styleId="ZkladntextChar115" w:customStyle="1">
    <w:name w:val="Základný text Char115"/>
    <w:uiPriority w:val="99"/>
    <w:semiHidden/>
    <w:qFormat/>
    <w:rPr>
      <w:rFonts w:cs="Times New Roman"/>
      <w:sz w:val="36"/>
      <w:szCs w:val="36"/>
    </w:rPr>
  </w:style>
  <w:style w:type="character" w:styleId="ZkladntextChar114" w:customStyle="1">
    <w:name w:val="Základný text Char114"/>
    <w:uiPriority w:val="99"/>
    <w:semiHidden/>
    <w:qFormat/>
    <w:rPr>
      <w:rFonts w:cs="Times New Roman"/>
      <w:sz w:val="36"/>
      <w:szCs w:val="36"/>
    </w:rPr>
  </w:style>
  <w:style w:type="character" w:styleId="ZkladntextChar113" w:customStyle="1">
    <w:name w:val="Základný text Char113"/>
    <w:uiPriority w:val="99"/>
    <w:semiHidden/>
    <w:qFormat/>
    <w:rPr>
      <w:rFonts w:cs="Times New Roman"/>
      <w:sz w:val="36"/>
      <w:szCs w:val="36"/>
    </w:rPr>
  </w:style>
  <w:style w:type="character" w:styleId="ZkladntextChar112" w:customStyle="1">
    <w:name w:val="Základný text Char112"/>
    <w:uiPriority w:val="99"/>
    <w:semiHidden/>
    <w:qFormat/>
    <w:rPr>
      <w:rFonts w:cs="Times New Roman"/>
      <w:sz w:val="36"/>
      <w:szCs w:val="36"/>
    </w:rPr>
  </w:style>
  <w:style w:type="character" w:styleId="ZkladntextChar111" w:customStyle="1">
    <w:name w:val="Základný text Char111"/>
    <w:uiPriority w:val="99"/>
    <w:semiHidden/>
    <w:qFormat/>
    <w:rPr>
      <w:rFonts w:cs="Times New Roman"/>
      <w:sz w:val="36"/>
      <w:szCs w:val="36"/>
    </w:rPr>
  </w:style>
  <w:style w:type="character" w:styleId="ZkladntextChar110" w:customStyle="1">
    <w:name w:val="Základný text Char110"/>
    <w:uiPriority w:val="99"/>
    <w:semiHidden/>
    <w:qFormat/>
    <w:rPr>
      <w:rFonts w:cs="Times New Roman"/>
      <w:sz w:val="36"/>
      <w:szCs w:val="36"/>
    </w:rPr>
  </w:style>
  <w:style w:type="character" w:styleId="ZkladntextChar19" w:customStyle="1">
    <w:name w:val="Základný text Char19"/>
    <w:uiPriority w:val="99"/>
    <w:semiHidden/>
    <w:qFormat/>
    <w:rPr>
      <w:rFonts w:cs="Times New Roman"/>
      <w:sz w:val="36"/>
      <w:szCs w:val="36"/>
    </w:rPr>
  </w:style>
  <w:style w:type="character" w:styleId="ZkladntextChar18" w:customStyle="1">
    <w:name w:val="Základný text Char18"/>
    <w:uiPriority w:val="99"/>
    <w:semiHidden/>
    <w:qFormat/>
    <w:rPr>
      <w:rFonts w:cs="Times New Roman"/>
      <w:sz w:val="36"/>
      <w:szCs w:val="36"/>
    </w:rPr>
  </w:style>
  <w:style w:type="character" w:styleId="ZkladntextChar17" w:customStyle="1">
    <w:name w:val="Základný text Char17"/>
    <w:uiPriority w:val="99"/>
    <w:semiHidden/>
    <w:qFormat/>
    <w:rPr>
      <w:rFonts w:cs="Times New Roman"/>
      <w:sz w:val="36"/>
      <w:szCs w:val="36"/>
    </w:rPr>
  </w:style>
  <w:style w:type="character" w:styleId="ZkladntextChar16" w:customStyle="1">
    <w:name w:val="Základný text Char16"/>
    <w:uiPriority w:val="99"/>
    <w:semiHidden/>
    <w:qFormat/>
    <w:rPr>
      <w:rFonts w:cs="Times New Roman"/>
      <w:sz w:val="36"/>
      <w:szCs w:val="36"/>
    </w:rPr>
  </w:style>
  <w:style w:type="character" w:styleId="ZkladntextChar15" w:customStyle="1">
    <w:name w:val="Základný text Char15"/>
    <w:uiPriority w:val="99"/>
    <w:semiHidden/>
    <w:qFormat/>
    <w:rPr>
      <w:rFonts w:cs="Times New Roman"/>
      <w:sz w:val="36"/>
      <w:szCs w:val="36"/>
    </w:rPr>
  </w:style>
  <w:style w:type="character" w:styleId="ZkladntextChar14" w:customStyle="1">
    <w:name w:val="Základný text Char14"/>
    <w:uiPriority w:val="99"/>
    <w:semiHidden/>
    <w:qFormat/>
    <w:rPr>
      <w:rFonts w:cs="Times New Roman"/>
      <w:sz w:val="36"/>
      <w:szCs w:val="36"/>
    </w:rPr>
  </w:style>
  <w:style w:type="character" w:styleId="ZkladntextChar13" w:customStyle="1">
    <w:name w:val="Základný text Char13"/>
    <w:uiPriority w:val="99"/>
    <w:semiHidden/>
    <w:qFormat/>
    <w:rPr>
      <w:rFonts w:cs="Times New Roman"/>
      <w:sz w:val="36"/>
      <w:szCs w:val="36"/>
    </w:rPr>
  </w:style>
  <w:style w:type="character" w:styleId="ZkladntextChar12" w:customStyle="1">
    <w:name w:val="Základný text Char12"/>
    <w:uiPriority w:val="99"/>
    <w:semiHidden/>
    <w:qFormat/>
    <w:rPr>
      <w:rFonts w:cs="Times New Roman"/>
      <w:sz w:val="36"/>
      <w:szCs w:val="36"/>
    </w:rPr>
  </w:style>
  <w:style w:type="character" w:styleId="ZkladntextChar11" w:customStyle="1">
    <w:name w:val="Základný text Char11"/>
    <w:uiPriority w:val="99"/>
    <w:semiHidden/>
    <w:qFormat/>
    <w:rPr>
      <w:rFonts w:cs="Times New Roman"/>
      <w:sz w:val="36"/>
      <w:szCs w:val="36"/>
    </w:rPr>
  </w:style>
  <w:style w:type="character" w:styleId="PodtitulChar128" w:customStyle="1">
    <w:name w:val="Podtitul Char128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" w:customStyle="1">
    <w:name w:val="Podtitul Char"/>
    <w:link w:val="Podtitul"/>
    <w:uiPriority w:val="11"/>
    <w:qFormat/>
    <w:locked/>
    <w:rPr>
      <w:rFonts w:ascii="Cambria" w:hAnsi="Cambria" w:eastAsia="Times New Roman" w:cs="Times New Roman"/>
      <w:sz w:val="24"/>
      <w:szCs w:val="24"/>
    </w:rPr>
  </w:style>
  <w:style w:type="character" w:styleId="PodtitulChar127" w:customStyle="1">
    <w:name w:val="Podtitul Char127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6" w:customStyle="1">
    <w:name w:val="Podtitul Char126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5" w:customStyle="1">
    <w:name w:val="Podtitul Char125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4" w:customStyle="1">
    <w:name w:val="Podtitul Char124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3" w:customStyle="1">
    <w:name w:val="Podtitul Char123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2" w:customStyle="1">
    <w:name w:val="Podtitul Char122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1" w:customStyle="1">
    <w:name w:val="Podtitul Char121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0" w:customStyle="1">
    <w:name w:val="Podtitul Char120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9" w:customStyle="1">
    <w:name w:val="Podtitul Char119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8" w:customStyle="1">
    <w:name w:val="Podtitul Char118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7" w:customStyle="1">
    <w:name w:val="Podtitul Char117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6" w:customStyle="1">
    <w:name w:val="Podtitul Char116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5" w:customStyle="1">
    <w:name w:val="Podtitul Char115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4" w:customStyle="1">
    <w:name w:val="Podtitul Char114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3" w:customStyle="1">
    <w:name w:val="Podtitul Char113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2" w:customStyle="1">
    <w:name w:val="Podtitul Char112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1" w:customStyle="1">
    <w:name w:val="Podtitul Char111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0" w:customStyle="1">
    <w:name w:val="Podtitul Char110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9" w:customStyle="1">
    <w:name w:val="Podtitul Char19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8" w:customStyle="1">
    <w:name w:val="Podtitul Char18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7" w:customStyle="1">
    <w:name w:val="Podtitul Char17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6" w:customStyle="1">
    <w:name w:val="Podtitul Char16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5" w:customStyle="1">
    <w:name w:val="Podtitul Char15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4" w:customStyle="1">
    <w:name w:val="Podtitul Char14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3" w:customStyle="1">
    <w:name w:val="Podtitul Char13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" w:customStyle="1">
    <w:name w:val="Podtitul Char12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" w:customStyle="1">
    <w:name w:val="Podtitul Char11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Zkladntext2Char128" w:customStyle="1">
    <w:name w:val="Základný text 2 Char128"/>
    <w:uiPriority w:val="99"/>
    <w:semiHidden/>
    <w:qFormat/>
    <w:rPr>
      <w:rFonts w:cs="Times New Roman"/>
      <w:sz w:val="36"/>
      <w:szCs w:val="36"/>
    </w:rPr>
  </w:style>
  <w:style w:type="character" w:styleId="Zkladntext2Char" w:customStyle="1">
    <w:name w:val="Základný text 2 Char"/>
    <w:link w:val="Zkladntext2"/>
    <w:uiPriority w:val="99"/>
    <w:semiHidden/>
    <w:qFormat/>
    <w:locked/>
    <w:rPr>
      <w:rFonts w:cs="Times New Roman"/>
      <w:sz w:val="36"/>
      <w:szCs w:val="36"/>
    </w:rPr>
  </w:style>
  <w:style w:type="character" w:styleId="Zkladntext2Char127" w:customStyle="1">
    <w:name w:val="Základný text 2 Char127"/>
    <w:uiPriority w:val="99"/>
    <w:semiHidden/>
    <w:qFormat/>
    <w:rPr>
      <w:rFonts w:cs="Times New Roman"/>
      <w:sz w:val="36"/>
      <w:szCs w:val="36"/>
    </w:rPr>
  </w:style>
  <w:style w:type="character" w:styleId="Zkladntext2Char126" w:customStyle="1">
    <w:name w:val="Základný text 2 Char126"/>
    <w:uiPriority w:val="99"/>
    <w:semiHidden/>
    <w:qFormat/>
    <w:rPr>
      <w:rFonts w:cs="Times New Roman"/>
      <w:sz w:val="36"/>
      <w:szCs w:val="36"/>
    </w:rPr>
  </w:style>
  <w:style w:type="character" w:styleId="Zkladntext2Char125" w:customStyle="1">
    <w:name w:val="Základný text 2 Char125"/>
    <w:uiPriority w:val="99"/>
    <w:semiHidden/>
    <w:qFormat/>
    <w:rPr>
      <w:rFonts w:cs="Times New Roman"/>
      <w:sz w:val="36"/>
      <w:szCs w:val="36"/>
    </w:rPr>
  </w:style>
  <w:style w:type="character" w:styleId="Zkladntext2Char124" w:customStyle="1">
    <w:name w:val="Základný text 2 Char124"/>
    <w:uiPriority w:val="99"/>
    <w:semiHidden/>
    <w:qFormat/>
    <w:rPr>
      <w:rFonts w:cs="Times New Roman"/>
      <w:sz w:val="36"/>
      <w:szCs w:val="36"/>
    </w:rPr>
  </w:style>
  <w:style w:type="character" w:styleId="Zkladntext2Char123" w:customStyle="1">
    <w:name w:val="Základný text 2 Char123"/>
    <w:uiPriority w:val="99"/>
    <w:semiHidden/>
    <w:qFormat/>
    <w:rPr>
      <w:rFonts w:cs="Times New Roman"/>
      <w:sz w:val="36"/>
      <w:szCs w:val="36"/>
    </w:rPr>
  </w:style>
  <w:style w:type="character" w:styleId="Zkladntext2Char122" w:customStyle="1">
    <w:name w:val="Základný text 2 Char122"/>
    <w:uiPriority w:val="99"/>
    <w:semiHidden/>
    <w:qFormat/>
    <w:rPr>
      <w:rFonts w:cs="Times New Roman"/>
      <w:sz w:val="36"/>
      <w:szCs w:val="36"/>
    </w:rPr>
  </w:style>
  <w:style w:type="character" w:styleId="Zkladntext2Char121" w:customStyle="1">
    <w:name w:val="Základný text 2 Char121"/>
    <w:uiPriority w:val="99"/>
    <w:semiHidden/>
    <w:qFormat/>
    <w:rPr>
      <w:rFonts w:cs="Times New Roman"/>
      <w:sz w:val="36"/>
      <w:szCs w:val="36"/>
    </w:rPr>
  </w:style>
  <w:style w:type="character" w:styleId="Zkladntext2Char120" w:customStyle="1">
    <w:name w:val="Základný text 2 Char120"/>
    <w:uiPriority w:val="99"/>
    <w:semiHidden/>
    <w:qFormat/>
    <w:rPr>
      <w:rFonts w:cs="Times New Roman"/>
      <w:sz w:val="36"/>
      <w:szCs w:val="36"/>
    </w:rPr>
  </w:style>
  <w:style w:type="character" w:styleId="Zkladntext2Char119" w:customStyle="1">
    <w:name w:val="Základný text 2 Char119"/>
    <w:uiPriority w:val="99"/>
    <w:semiHidden/>
    <w:qFormat/>
    <w:rPr>
      <w:rFonts w:cs="Times New Roman"/>
      <w:sz w:val="36"/>
      <w:szCs w:val="36"/>
    </w:rPr>
  </w:style>
  <w:style w:type="character" w:styleId="Zkladntext2Char118" w:customStyle="1">
    <w:name w:val="Základný text 2 Char118"/>
    <w:uiPriority w:val="99"/>
    <w:semiHidden/>
    <w:qFormat/>
    <w:rPr>
      <w:rFonts w:cs="Times New Roman"/>
      <w:sz w:val="36"/>
      <w:szCs w:val="36"/>
    </w:rPr>
  </w:style>
  <w:style w:type="character" w:styleId="Zkladntext2Char117" w:customStyle="1">
    <w:name w:val="Základný text 2 Char117"/>
    <w:uiPriority w:val="99"/>
    <w:semiHidden/>
    <w:qFormat/>
    <w:rPr>
      <w:rFonts w:cs="Times New Roman"/>
      <w:sz w:val="36"/>
      <w:szCs w:val="36"/>
    </w:rPr>
  </w:style>
  <w:style w:type="character" w:styleId="Zkladntext2Char116" w:customStyle="1">
    <w:name w:val="Základný text 2 Char116"/>
    <w:uiPriority w:val="99"/>
    <w:semiHidden/>
    <w:qFormat/>
    <w:rPr>
      <w:rFonts w:cs="Times New Roman"/>
      <w:sz w:val="36"/>
      <w:szCs w:val="36"/>
    </w:rPr>
  </w:style>
  <w:style w:type="character" w:styleId="Zkladntext2Char115" w:customStyle="1">
    <w:name w:val="Základný text 2 Char115"/>
    <w:uiPriority w:val="99"/>
    <w:semiHidden/>
    <w:qFormat/>
    <w:rPr>
      <w:rFonts w:cs="Times New Roman"/>
      <w:sz w:val="36"/>
      <w:szCs w:val="36"/>
    </w:rPr>
  </w:style>
  <w:style w:type="character" w:styleId="Zkladntext2Char114" w:customStyle="1">
    <w:name w:val="Základný text 2 Char114"/>
    <w:uiPriority w:val="99"/>
    <w:semiHidden/>
    <w:qFormat/>
    <w:rPr>
      <w:rFonts w:cs="Times New Roman"/>
      <w:sz w:val="36"/>
      <w:szCs w:val="36"/>
    </w:rPr>
  </w:style>
  <w:style w:type="character" w:styleId="Zkladntext2Char113" w:customStyle="1">
    <w:name w:val="Základný text 2 Char113"/>
    <w:uiPriority w:val="99"/>
    <w:semiHidden/>
    <w:qFormat/>
    <w:rPr>
      <w:rFonts w:cs="Times New Roman"/>
      <w:sz w:val="36"/>
      <w:szCs w:val="36"/>
    </w:rPr>
  </w:style>
  <w:style w:type="character" w:styleId="Zkladntext2Char112" w:customStyle="1">
    <w:name w:val="Základný text 2 Char112"/>
    <w:uiPriority w:val="99"/>
    <w:semiHidden/>
    <w:qFormat/>
    <w:rPr>
      <w:rFonts w:cs="Times New Roman"/>
      <w:sz w:val="36"/>
      <w:szCs w:val="36"/>
    </w:rPr>
  </w:style>
  <w:style w:type="character" w:styleId="Zkladntext2Char111" w:customStyle="1">
    <w:name w:val="Základný text 2 Char111"/>
    <w:uiPriority w:val="99"/>
    <w:semiHidden/>
    <w:qFormat/>
    <w:rPr>
      <w:rFonts w:cs="Times New Roman"/>
      <w:sz w:val="36"/>
      <w:szCs w:val="36"/>
    </w:rPr>
  </w:style>
  <w:style w:type="character" w:styleId="Zkladntext2Char110" w:customStyle="1">
    <w:name w:val="Základný text 2 Char110"/>
    <w:uiPriority w:val="99"/>
    <w:semiHidden/>
    <w:qFormat/>
    <w:rPr>
      <w:rFonts w:cs="Times New Roman"/>
      <w:sz w:val="36"/>
      <w:szCs w:val="36"/>
    </w:rPr>
  </w:style>
  <w:style w:type="character" w:styleId="Zkladntext2Char19" w:customStyle="1">
    <w:name w:val="Základný text 2 Char19"/>
    <w:uiPriority w:val="99"/>
    <w:semiHidden/>
    <w:qFormat/>
    <w:rPr>
      <w:rFonts w:cs="Times New Roman"/>
      <w:sz w:val="36"/>
      <w:szCs w:val="36"/>
    </w:rPr>
  </w:style>
  <w:style w:type="character" w:styleId="Zkladntext2Char18" w:customStyle="1">
    <w:name w:val="Základný text 2 Char18"/>
    <w:uiPriority w:val="99"/>
    <w:semiHidden/>
    <w:qFormat/>
    <w:rPr>
      <w:rFonts w:cs="Times New Roman"/>
      <w:sz w:val="36"/>
      <w:szCs w:val="36"/>
    </w:rPr>
  </w:style>
  <w:style w:type="character" w:styleId="Zkladntext2Char17" w:customStyle="1">
    <w:name w:val="Základný text 2 Char17"/>
    <w:uiPriority w:val="99"/>
    <w:semiHidden/>
    <w:qFormat/>
    <w:rPr>
      <w:rFonts w:cs="Times New Roman"/>
      <w:sz w:val="36"/>
      <w:szCs w:val="36"/>
    </w:rPr>
  </w:style>
  <w:style w:type="character" w:styleId="Zkladntext2Char16" w:customStyle="1">
    <w:name w:val="Základný text 2 Char16"/>
    <w:uiPriority w:val="99"/>
    <w:semiHidden/>
    <w:qFormat/>
    <w:rPr>
      <w:rFonts w:cs="Times New Roman"/>
      <w:sz w:val="36"/>
      <w:szCs w:val="36"/>
    </w:rPr>
  </w:style>
  <w:style w:type="character" w:styleId="Zkladntext2Char15" w:customStyle="1">
    <w:name w:val="Základný text 2 Char15"/>
    <w:uiPriority w:val="99"/>
    <w:semiHidden/>
    <w:qFormat/>
    <w:rPr>
      <w:rFonts w:cs="Times New Roman"/>
      <w:sz w:val="36"/>
      <w:szCs w:val="36"/>
    </w:rPr>
  </w:style>
  <w:style w:type="character" w:styleId="Zkladntext2Char14" w:customStyle="1">
    <w:name w:val="Základný text 2 Char14"/>
    <w:uiPriority w:val="99"/>
    <w:semiHidden/>
    <w:qFormat/>
    <w:rPr>
      <w:rFonts w:cs="Times New Roman"/>
      <w:sz w:val="36"/>
      <w:szCs w:val="36"/>
    </w:rPr>
  </w:style>
  <w:style w:type="character" w:styleId="Zkladntext2Char13" w:customStyle="1">
    <w:name w:val="Základný text 2 Char13"/>
    <w:uiPriority w:val="99"/>
    <w:semiHidden/>
    <w:qFormat/>
    <w:rPr>
      <w:rFonts w:cs="Times New Roman"/>
      <w:sz w:val="36"/>
      <w:szCs w:val="36"/>
    </w:rPr>
  </w:style>
  <w:style w:type="character" w:styleId="Zkladntext2Char12" w:customStyle="1">
    <w:name w:val="Základný text 2 Char12"/>
    <w:uiPriority w:val="99"/>
    <w:semiHidden/>
    <w:qFormat/>
    <w:rPr>
      <w:rFonts w:cs="Times New Roman"/>
      <w:sz w:val="36"/>
      <w:szCs w:val="36"/>
    </w:rPr>
  </w:style>
  <w:style w:type="character" w:styleId="Zkladntext2Char11" w:customStyle="1">
    <w:name w:val="Základný text 2 Char11"/>
    <w:uiPriority w:val="99"/>
    <w:semiHidden/>
    <w:qFormat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uiPriority w:val="99"/>
    <w:semiHidden/>
    <w:qFormat/>
    <w:rPr>
      <w:rFonts w:cs="Times New Roman"/>
      <w:sz w:val="36"/>
      <w:szCs w:val="36"/>
    </w:rPr>
  </w:style>
  <w:style w:type="character" w:styleId="Zarkazkladnhotextu2Char" w:customStyle="1">
    <w:name w:val="Zarážka základného textu 2 Char"/>
    <w:link w:val="Zarkazkladnhotextu2"/>
    <w:uiPriority w:val="99"/>
    <w:semiHidden/>
    <w:qFormat/>
    <w:locked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uiPriority w:val="99"/>
    <w:semiHidden/>
    <w:qFormat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uiPriority w:val="99"/>
    <w:semiHidden/>
    <w:qFormat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uiPriority w:val="99"/>
    <w:semiHidden/>
    <w:qFormat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uiPriority w:val="99"/>
    <w:semiHidden/>
    <w:qFormat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uiPriority w:val="99"/>
    <w:semiHidden/>
    <w:qFormat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uiPriority w:val="99"/>
    <w:semiHidden/>
    <w:qFormat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uiPriority w:val="99"/>
    <w:semiHidden/>
    <w:qFormat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uiPriority w:val="99"/>
    <w:semiHidden/>
    <w:qFormat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uiPriority w:val="99"/>
    <w:semiHidden/>
    <w:qFormat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uiPriority w:val="99"/>
    <w:semiHidden/>
    <w:qFormat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uiPriority w:val="99"/>
    <w:semiHidden/>
    <w:qFormat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uiPriority w:val="99"/>
    <w:semiHidden/>
    <w:qFormat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uiPriority w:val="99"/>
    <w:semiHidden/>
    <w:qFormat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uiPriority w:val="99"/>
    <w:semiHidden/>
    <w:qFormat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uiPriority w:val="99"/>
    <w:semiHidden/>
    <w:qFormat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uiPriority w:val="99"/>
    <w:semiHidden/>
    <w:qFormat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uiPriority w:val="99"/>
    <w:semiHidden/>
    <w:qFormat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uiPriority w:val="99"/>
    <w:semiHidden/>
    <w:qFormat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uiPriority w:val="99"/>
    <w:semiHidden/>
    <w:qFormat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uiPriority w:val="99"/>
    <w:semiHidden/>
    <w:qFormat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uiPriority w:val="99"/>
    <w:semiHidden/>
    <w:qFormat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uiPriority w:val="99"/>
    <w:semiHidden/>
    <w:qFormat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uiPriority w:val="99"/>
    <w:semiHidden/>
    <w:qFormat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uiPriority w:val="99"/>
    <w:semiHidden/>
    <w:qFormat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uiPriority w:val="99"/>
    <w:semiHidden/>
    <w:qFormat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uiPriority w:val="99"/>
    <w:semiHidden/>
    <w:qFormat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uiPriority w:val="99"/>
    <w:semiHidden/>
    <w:qFormat/>
    <w:rPr>
      <w:rFonts w:cs="Times New Roman"/>
      <w:sz w:val="36"/>
      <w:szCs w:val="36"/>
    </w:rPr>
  </w:style>
  <w:style w:type="character" w:styleId="Zarkazkladnhotextu3Char128" w:customStyle="1">
    <w:name w:val="Zarážka základného textu 3 Char128"/>
    <w:uiPriority w:val="99"/>
    <w:semiHidden/>
    <w:qFormat/>
    <w:rPr>
      <w:rFonts w:cs="Times New Roman"/>
      <w:sz w:val="16"/>
      <w:szCs w:val="16"/>
    </w:rPr>
  </w:style>
  <w:style w:type="character" w:styleId="Zarkazkladnhotextu3Char" w:customStyle="1">
    <w:name w:val="Zarážka základného textu 3 Char"/>
    <w:link w:val="Zarkazkladnhotextu3"/>
    <w:uiPriority w:val="99"/>
    <w:semiHidden/>
    <w:qFormat/>
    <w:locked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uiPriority w:val="99"/>
    <w:semiHidden/>
    <w:qFormat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uiPriority w:val="99"/>
    <w:semiHidden/>
    <w:qFormat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uiPriority w:val="99"/>
    <w:semiHidden/>
    <w:qFormat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uiPriority w:val="99"/>
    <w:semiHidden/>
    <w:qFormat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uiPriority w:val="99"/>
    <w:semiHidden/>
    <w:qFormat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uiPriority w:val="99"/>
    <w:semiHidden/>
    <w:qFormat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uiPriority w:val="99"/>
    <w:semiHidden/>
    <w:qFormat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uiPriority w:val="99"/>
    <w:semiHidden/>
    <w:qFormat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uiPriority w:val="99"/>
    <w:semiHidden/>
    <w:qFormat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uiPriority w:val="99"/>
    <w:semiHidden/>
    <w:qFormat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uiPriority w:val="99"/>
    <w:semiHidden/>
    <w:qFormat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uiPriority w:val="99"/>
    <w:semiHidden/>
    <w:qFormat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uiPriority w:val="99"/>
    <w:semiHidden/>
    <w:qFormat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uiPriority w:val="99"/>
    <w:semiHidden/>
    <w:qFormat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uiPriority w:val="99"/>
    <w:semiHidden/>
    <w:qFormat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uiPriority w:val="99"/>
    <w:semiHidden/>
    <w:qFormat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uiPriority w:val="99"/>
    <w:semiHidden/>
    <w:qFormat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uiPriority w:val="99"/>
    <w:semiHidden/>
    <w:qFormat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uiPriority w:val="99"/>
    <w:semiHidden/>
    <w:qFormat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uiPriority w:val="99"/>
    <w:semiHidden/>
    <w:qFormat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uiPriority w:val="99"/>
    <w:semiHidden/>
    <w:qFormat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uiPriority w:val="99"/>
    <w:semiHidden/>
    <w:qFormat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uiPriority w:val="99"/>
    <w:semiHidden/>
    <w:qFormat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uiPriority w:val="99"/>
    <w:semiHidden/>
    <w:qFormat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uiPriority w:val="99"/>
    <w:semiHidden/>
    <w:qFormat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uiPriority w:val="99"/>
    <w:semiHidden/>
    <w:qFormat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uiPriority w:val="99"/>
    <w:semiHidden/>
    <w:qFormat/>
    <w:rPr>
      <w:rFonts w:cs="Times New Roman"/>
      <w:sz w:val="16"/>
      <w:szCs w:val="16"/>
    </w:rPr>
  </w:style>
  <w:style w:type="character" w:styleId="TextbublinyChar128" w:customStyle="1">
    <w:name w:val="Text bubliny Char128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link w:val="Textbubliny"/>
    <w:uiPriority w:val="99"/>
    <w:semiHidden/>
    <w:qFormat/>
    <w:locked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uiPriority w:val="99"/>
    <w:semiHidden/>
    <w:qFormat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uiPriority w:val="99"/>
    <w:semiHidden/>
    <w:qFormat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uiPriority w:val="99"/>
    <w:semiHidden/>
    <w:qFormat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uiPriority w:val="99"/>
    <w:semiHidden/>
    <w:qFormat/>
    <w:rPr>
      <w:rFonts w:ascii="Tahoma" w:hAnsi="Tahoma" w:cs="Tahoma"/>
      <w:sz w:val="16"/>
      <w:szCs w:val="16"/>
    </w:rPr>
  </w:style>
  <w:style w:type="character" w:styleId="Ukotveniepoznmkypodiarou">
    <w:name w:val="Ukotvenie poznámky pod čiarou"/>
    <w:rPr>
      <w:vertAlign w:val="superscript"/>
    </w:rPr>
  </w:style>
  <w:style w:type="character" w:styleId="FootnoteCharacters">
    <w:name w:val="Footnote Characters"/>
    <w:uiPriority w:val="99"/>
    <w:qFormat/>
    <w:rsid w:val="00686076"/>
    <w:rPr>
      <w:vertAlign w:val="superscript"/>
    </w:rPr>
  </w:style>
  <w:style w:type="character" w:styleId="ListLabel1">
    <w:name w:val="ListLabel 1"/>
    <w:qFormat/>
    <w:rPr>
      <w:rFonts w:cs="Times New Roman"/>
      <w:b/>
    </w:rPr>
  </w:style>
  <w:style w:type="character" w:styleId="ListLabel2">
    <w:name w:val="ListLabel 2"/>
    <w:qFormat/>
    <w:rPr>
      <w:rFonts w:cs="Times New Roman"/>
    </w:rPr>
  </w:style>
  <w:style w:type="character" w:styleId="ListLabel3">
    <w:name w:val="ListLabel 3"/>
    <w:qFormat/>
    <w:rPr>
      <w:rFonts w:cs="Times New Roman"/>
    </w:rPr>
  </w:style>
  <w:style w:type="character" w:styleId="ListLabel4">
    <w:name w:val="ListLabel 4"/>
    <w:qFormat/>
    <w:rPr>
      <w:rFonts w:cs="Times New Roman"/>
    </w:rPr>
  </w:style>
  <w:style w:type="character" w:styleId="ListLabel5">
    <w:name w:val="ListLabel 5"/>
    <w:qFormat/>
    <w:rPr>
      <w:rFonts w:cs="Times New Roman"/>
    </w:rPr>
  </w:style>
  <w:style w:type="character" w:styleId="ListLabel6">
    <w:name w:val="ListLabel 6"/>
    <w:qFormat/>
    <w:rPr>
      <w:rFonts w:cs="Times New Roman"/>
    </w:rPr>
  </w:style>
  <w:style w:type="character" w:styleId="ListLabel7">
    <w:name w:val="ListLabel 7"/>
    <w:qFormat/>
    <w:rPr>
      <w:rFonts w:cs="Times New Roman"/>
    </w:rPr>
  </w:style>
  <w:style w:type="character" w:styleId="ListLabel8">
    <w:name w:val="ListLabel 8"/>
    <w:qFormat/>
    <w:rPr>
      <w:rFonts w:cs="Times New Roman"/>
    </w:rPr>
  </w:style>
  <w:style w:type="character" w:styleId="ListLabel9">
    <w:name w:val="ListLabel 9"/>
    <w:qFormat/>
    <w:rPr>
      <w:rFonts w:cs="Times New Roman"/>
    </w:rPr>
  </w:style>
  <w:style w:type="character" w:styleId="ListLabel10">
    <w:name w:val="ListLabel 10"/>
    <w:qFormat/>
    <w:rPr>
      <w:rFonts w:cs="Times New Roman"/>
    </w:rPr>
  </w:style>
  <w:style w:type="character" w:styleId="ListLabel11">
    <w:name w:val="ListLabel 11"/>
    <w:qFormat/>
    <w:rPr>
      <w:b/>
      <w:sz w:val="20"/>
      <w:szCs w:val="20"/>
    </w:rPr>
  </w:style>
  <w:style w:type="character" w:styleId="ListLabel12">
    <w:name w:val="ListLabel 12"/>
    <w:qFormat/>
    <w:rPr>
      <w:b/>
      <w:sz w:val="20"/>
    </w:rPr>
  </w:style>
  <w:style w:type="character" w:styleId="ListLabel13">
    <w:name w:val="ListLabel 13"/>
    <w:qFormat/>
    <w:rPr>
      <w:rFonts w:cs="Times New Roman"/>
      <w:b w:val="false"/>
      <w:i w:val="false"/>
      <w:sz w:val="20"/>
      <w:szCs w:val="24"/>
    </w:rPr>
  </w:style>
  <w:style w:type="character" w:styleId="ListLabel14">
    <w:name w:val="ListLabel 14"/>
    <w:qFormat/>
    <w:rPr>
      <w:b w:val="false"/>
      <w:sz w:val="20"/>
      <w:szCs w:val="20"/>
    </w:rPr>
  </w:style>
  <w:style w:type="character" w:styleId="ListLabel15">
    <w:name w:val="ListLabel 15"/>
    <w:qFormat/>
    <w:rPr>
      <w:rFonts w:cs="Times New Roman"/>
      <w:b/>
      <w:sz w:val="22"/>
    </w:rPr>
  </w:style>
  <w:style w:type="character" w:styleId="ListLabel16">
    <w:name w:val="ListLabel 16"/>
    <w:qFormat/>
    <w:rPr>
      <w:b/>
    </w:rPr>
  </w:style>
  <w:style w:type="character" w:styleId="ListLabel17">
    <w:name w:val="ListLabel 17"/>
    <w:qFormat/>
    <w:rPr>
      <w:rFonts w:cs="Times New Roman"/>
      <w:sz w:val="22"/>
      <w:szCs w:val="22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">
    <w:name w:val="Header"/>
    <w:basedOn w:val="Normal"/>
    <w:link w:val="Hlavika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Pta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mkypodi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o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adpis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arkazkladnhotextu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arkazkladnhotextu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Odsekzoznamu1" w:customStyle="1">
    <w:name w:val="Odsek zoznamu1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/>
      <w:sz w:val="24"/>
      <w:szCs w:val="24"/>
      <w:lang w:eastAsia="sk-SK"/>
    </w:rPr>
  </w:style>
  <w:style w:type="paragraph" w:styleId="Default" w:customStyle="1">
    <w:name w:val="Default"/>
    <w:qFormat/>
    <w:rsid w:val="00236906"/>
    <w:pPr>
      <w:widowControl/>
      <w:bidi w:val="0"/>
      <w:jc w:val="left"/>
    </w:pPr>
    <w:rPr>
      <w:rFonts w:ascii="EUAlbertina" w:hAnsi="EUAlbertina" w:cs="EUAlbertina" w:eastAsia="Times New Roman"/>
      <w:color w:val="000000"/>
      <w:kern w:val="0"/>
      <w:sz w:val="24"/>
      <w:szCs w:val="24"/>
      <w:lang w:eastAsia="en-US" w:val="sk-SK" w:bidi="ar-SA"/>
    </w:rPr>
  </w:style>
  <w:style w:type="paragraph" w:styleId="Pismenka" w:customStyle="1">
    <w:name w:val="Pismenka"/>
    <w:basedOn w:val="Telotextu"/>
    <w:qFormat/>
    <w:rsid w:val="00710a71"/>
    <w:pPr/>
    <w:rPr>
      <w:bCs w:val="false"/>
      <w:sz w:val="18"/>
      <w:szCs w:val="20"/>
      <w:lang w:eastAsia="en-U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99"/>
    <w:rsid w:val="00b86fc2"/>
    <w:rPr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LibreOffice/6.2.4.2$Windows_X86_64 LibreOffice_project/2412653d852ce75f65fbfa83fb7e7b669a126d64</Application>
  <Pages>7</Pages>
  <Words>2307</Words>
  <Characters>13813</Characters>
  <CharactersWithSpaces>15948</CharactersWithSpaces>
  <Paragraphs>242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2022-12-12T21:05:00Z</dcterms:created>
  <dc:creator>Matulova Silvia</dc:creator>
  <dc:description/>
  <dc:language>sk-SK</dc:language>
  <cp:lastModifiedBy/>
  <cp:lastPrinted>2016-01-30T12:57:00Z</cp:lastPrinted>
  <dcterms:modified xsi:type="dcterms:W3CDTF">2024-01-03T09:01:18Z</dcterms:modified>
  <cp:revision>3</cp:revision>
  <dc:subject/>
  <dc:title>Čl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