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5733D" w14:textId="07594CAA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Poznámky Úč MÚJ 3 – 01</w:t>
      </w:r>
    </w:p>
    <w:p w14:paraId="07DEDC1F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71029977" w14:textId="70F263C6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IČO 31826407</w:t>
      </w:r>
      <w:r w:rsidR="0025696B" w:rsidRPr="0025696B">
        <w:rPr>
          <w:rFonts w:ascii="Times New Roman" w:hAnsi="Times New Roman" w:cs="Times New Roman"/>
          <w:sz w:val="20"/>
          <w:szCs w:val="20"/>
        </w:rPr>
        <w:t xml:space="preserve">                                                Účtovné obdobie: 1.1.202</w:t>
      </w:r>
      <w:r w:rsidR="009D3128">
        <w:rPr>
          <w:rFonts w:ascii="Times New Roman" w:hAnsi="Times New Roman" w:cs="Times New Roman"/>
          <w:sz w:val="20"/>
          <w:szCs w:val="20"/>
        </w:rPr>
        <w:t>3</w:t>
      </w:r>
      <w:r w:rsidR="0025696B" w:rsidRPr="0025696B">
        <w:rPr>
          <w:rFonts w:ascii="Times New Roman" w:hAnsi="Times New Roman" w:cs="Times New Roman"/>
          <w:sz w:val="20"/>
          <w:szCs w:val="20"/>
        </w:rPr>
        <w:t xml:space="preserve"> – 31.12.202</w:t>
      </w:r>
      <w:r w:rsidR="009D3128">
        <w:rPr>
          <w:rFonts w:ascii="Times New Roman" w:hAnsi="Times New Roman" w:cs="Times New Roman"/>
          <w:sz w:val="20"/>
          <w:szCs w:val="20"/>
        </w:rPr>
        <w:t>3</w:t>
      </w:r>
    </w:p>
    <w:p w14:paraId="0BC64DD0" w14:textId="14241C5B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DIČ</w:t>
      </w:r>
      <w:r w:rsidR="0025696B" w:rsidRPr="0025696B">
        <w:rPr>
          <w:rFonts w:ascii="Times New Roman" w:hAnsi="Times New Roman" w:cs="Times New Roman"/>
          <w:sz w:val="20"/>
          <w:szCs w:val="20"/>
        </w:rPr>
        <w:t xml:space="preserve"> </w:t>
      </w:r>
      <w:r w:rsidRPr="0025696B">
        <w:rPr>
          <w:rFonts w:ascii="Times New Roman" w:hAnsi="Times New Roman" w:cs="Times New Roman"/>
          <w:sz w:val="20"/>
          <w:szCs w:val="20"/>
        </w:rPr>
        <w:t>2022365466</w:t>
      </w:r>
    </w:p>
    <w:p w14:paraId="51A3E779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Čl. I</w:t>
      </w:r>
    </w:p>
    <w:p w14:paraId="17F3EEAB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Všeobecné údaje</w:t>
      </w:r>
    </w:p>
    <w:p w14:paraId="0417C435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(1) Názov právnickej osoby a jej sídlo: Lesná spoločnosť Tribeč, pozem. spol., Dudvážska 17, 821 07, Bratislava</w:t>
      </w:r>
    </w:p>
    <w:p w14:paraId="1ECECD91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(2) Údaje o konsolidovanom celku: nie je súčasťou konsolidovaného celku</w:t>
      </w:r>
    </w:p>
    <w:p w14:paraId="7EB102DF" w14:textId="0BAF33E2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(3) Priemerný prepočítaný počet zamestnancov: 0</w:t>
      </w:r>
    </w:p>
    <w:p w14:paraId="5B66156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</w:p>
    <w:p w14:paraId="67C824FD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Čl. II</w:t>
      </w:r>
    </w:p>
    <w:p w14:paraId="043FE10B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Informácie o prijatých postupoch</w:t>
      </w:r>
    </w:p>
    <w:p w14:paraId="21A92263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(1) Účtovná závierka Spoločnosti bola zostavená za predpokladu nepretržitého trvania jej činnosti v súlade so zákonom o účtovníctve platným v Slovenskej republike a nadväzujúcimi postupmi účtovania. </w:t>
      </w:r>
    </w:p>
    <w:p w14:paraId="7098FD10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14:paraId="38314B7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Peňažné údaje v účtovnej závierke sú uvedené v celých EUR, pokiaľ nie je určené inak. </w:t>
      </w:r>
    </w:p>
    <w:p w14:paraId="562A0434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(2) Spôsob oceňovania jednotlivých položiek majetku a záväzkov, a to</w:t>
      </w:r>
    </w:p>
    <w:p w14:paraId="24F01A28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Dlhodobý nehmotný a dlhodobý hmotný majetok </w:t>
      </w:r>
    </w:p>
    <w:p w14:paraId="3EF06068" w14:textId="5D5C529F" w:rsidR="00F46C6B" w:rsidRPr="0025696B" w:rsidRDefault="00C668CC" w:rsidP="00F46C6B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Nemá dlhodobý majetok.</w:t>
      </w:r>
    </w:p>
    <w:p w14:paraId="26AF4E59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Cenné papiere a podiely </w:t>
      </w:r>
    </w:p>
    <w:p w14:paraId="2E5D7AA2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Cenné papiere a podiely sa oceňujú pri nadobudnutí obstarávacími cenami, t.j. vrátane nákladov súvisiacich s obstaraním. </w:t>
      </w:r>
    </w:p>
    <w:p w14:paraId="53366B92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Ku dňu, ku ktorému sa zostavuje účtovná závierka, sa cenné papiere a podiely oceňujú takto: </w:t>
      </w:r>
    </w:p>
    <w:p w14:paraId="69C9AE42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Ďalej je nutné opísať spôsob ocenenia jednotlivých druhov cenných papierov a podielov, ktoré Spoločnosť eviduje: </w:t>
      </w:r>
    </w:p>
    <w:p w14:paraId="792EFB3B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Zmeny reálnej hodnoty cenných papierov a podielov, ktoré tvoria podiel na základnom imaní inej spoločnosti a nie sú cennými papiermi a podielmi v dcérskej spoločnosti alebo v spoločnosti s podstatným vplyvom, sa účtujú bez vplyvu na výsledok hospodárenia priamo do vlastného imania na účet Oceňovacie rozdiely z precenenia majetku a záväzkov. </w:t>
      </w:r>
    </w:p>
    <w:p w14:paraId="1A68FDCC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Zásoby </w:t>
      </w:r>
    </w:p>
    <w:p w14:paraId="48DD3C3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Zásoby nakupované sa oceňujú obstarávacou cenou, ktorá zahrňuje cenu, za ktorú sa majetok obstaral, a náklady súvisiace s obstaraním (clo, prepravu, poistné, provízie a pod.) znížené o zľavy z ceny. Zľava z ceny poskytnutá k už predaným alebo spotrebovaným zásobám sa účtuje ako zníženie nákladov na predané alebo spotrebované zásoby. Spoločnosť účtuje o zásobách spôsobom B. </w:t>
      </w:r>
    </w:p>
    <w:p w14:paraId="6A5C2AA0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 </w:t>
      </w:r>
    </w:p>
    <w:p w14:paraId="6CDC26BF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Zásoby nadobudnuté zámenou sa oceňujú reálnou hodnotou. Rozdiel medzi reálnou hodnotou nadobudnutých zásob a účtovnou hodnotou odovzdávaného majetku sa účtuje podľa charakteru tohto rozdielu na vecne príslušný </w:t>
      </w:r>
      <w:r w:rsidRPr="0025696B">
        <w:rPr>
          <w:rFonts w:ascii="Times New Roman" w:hAnsi="Times New Roman" w:cs="Times New Roman"/>
          <w:sz w:val="20"/>
          <w:szCs w:val="20"/>
        </w:rPr>
        <w:lastRenderedPageBreak/>
        <w:t>nákladový účet, na ktorom sa účtuje úbytok tohto majetku alebo na vecne príslušný výnosový účet, na ktorom sa účtuje dosiahnutie výnosu z tohto majetku.</w:t>
      </w:r>
    </w:p>
    <w:p w14:paraId="54C7596F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Pohľadávky </w:t>
      </w:r>
    </w:p>
    <w:p w14:paraId="7EBECE76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Pohľadávky sa pri ich vzniku oceňujú ich menovitou hodnotou (postúpené pohľadávky a pohľadávky nadobudnuté vkladom do základného imania sa oceňujú obstarávacou cenou, t.j. vrátane nákladov súvisiacich s obstaraním). Opravná položka sa vytvára k pochybným a nedobytným pohľadávkam, kde existuje riziko nevymožiteľnosti pohľadávok. </w:t>
      </w:r>
    </w:p>
    <w:p w14:paraId="5B244344" w14:textId="00560171" w:rsidR="002569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Ak je zostatková doba splatnosti pohľadávky dlhšia než jeden rok, vytvára sa opravná položka, ktorá predstavuje rozdiel medzi menovitou a súčasnou hodnotou pohľadávky. Súčasná hodnota pohľadávky sa počíta ako súčet súčinov budúcich peňažných príjmov a príslušných diskontných faktorov.</w:t>
      </w:r>
    </w:p>
    <w:p w14:paraId="1881E4F0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Finančné účty </w:t>
      </w:r>
    </w:p>
    <w:p w14:paraId="4A3899F0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Finančné účty tvorí peňažná hotovosť a zostatky na bankových, pričom riziko zmeny hodnoty tohto majetku je zanedbateľne nízke. </w:t>
      </w:r>
    </w:p>
    <w:p w14:paraId="7876625A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Náklady budúcich období a príjmy budúcich období </w:t>
      </w:r>
    </w:p>
    <w:p w14:paraId="70A8128D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Náklady budúcich období a príjmy budúcich období sú vykázané vo výške, ktorá je potrebná na dodržanie zásady vecnej a časovej súvislosti s účtovným obdobím. </w:t>
      </w:r>
    </w:p>
    <w:p w14:paraId="7ADC8ECD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Opravné položky </w:t>
      </w:r>
    </w:p>
    <w:p w14:paraId="7A5F37B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</w:t>
      </w:r>
    </w:p>
    <w:p w14:paraId="31EA7C2B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Rezervy </w:t>
      </w:r>
    </w:p>
    <w:p w14:paraId="0BAA591D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</w:t>
      </w:r>
    </w:p>
    <w:p w14:paraId="212958B2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A3C701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Rezerva na bonusy, rabaty, skontá a vrátenie kúpnej ceny pri reklamácii sa tvorí ako zníženie pôvodne dosiahnutých výnosov so súvzťažným zápisom v prospech účtu rezerv. </w:t>
      </w:r>
    </w:p>
    <w:p w14:paraId="0BA6055F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Záväzky </w:t>
      </w:r>
    </w:p>
    <w:p w14:paraId="7B28B226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63475530" w14:textId="58D47B31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Zamestnanecké požitky </w:t>
      </w:r>
      <w:r w:rsidR="0025696B"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>– bez náplne</w:t>
      </w:r>
    </w:p>
    <w:p w14:paraId="743FA064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Splatná daň z príjmu </w:t>
      </w:r>
    </w:p>
    <w:p w14:paraId="47F91530" w14:textId="6A86DA32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</w:t>
      </w:r>
      <w:r w:rsidRPr="0025696B">
        <w:rPr>
          <w:rFonts w:ascii="Times New Roman" w:hAnsi="Times New Roman" w:cs="Times New Roman"/>
          <w:sz w:val="20"/>
          <w:szCs w:val="20"/>
          <w:u w:val="single"/>
        </w:rPr>
        <w:t xml:space="preserve">dočasných úprav daňového základu a umorenia straty. </w:t>
      </w:r>
    </w:p>
    <w:p w14:paraId="39AEABD4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t xml:space="preserve">Výdavky budúcich období a výnosy budúcich období </w:t>
      </w:r>
    </w:p>
    <w:p w14:paraId="7D02B23D" w14:textId="7E81F9AE" w:rsidR="00F46C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14:paraId="5B5479CD" w14:textId="77777777" w:rsidR="00C668CC" w:rsidRPr="0025696B" w:rsidRDefault="00C668CC" w:rsidP="00F46C6B">
      <w:pPr>
        <w:rPr>
          <w:rFonts w:ascii="Times New Roman" w:hAnsi="Times New Roman" w:cs="Times New Roman"/>
          <w:sz w:val="20"/>
          <w:szCs w:val="20"/>
        </w:rPr>
      </w:pPr>
    </w:p>
    <w:p w14:paraId="6B7CC046" w14:textId="77777777" w:rsidR="00F46C6B" w:rsidRPr="0025696B" w:rsidRDefault="00F46C6B" w:rsidP="00F46C6B">
      <w:pPr>
        <w:rPr>
          <w:rFonts w:ascii="Times New Roman" w:hAnsi="Times New Roman" w:cs="Times New Roman"/>
          <w:i/>
          <w:iCs/>
          <w:sz w:val="20"/>
          <w:szCs w:val="20"/>
          <w:u w:val="single"/>
        </w:rPr>
      </w:pPr>
      <w:r w:rsidRPr="0025696B">
        <w:rPr>
          <w:rFonts w:ascii="Times New Roman" w:hAnsi="Times New Roman" w:cs="Times New Roman"/>
          <w:i/>
          <w:iCs/>
          <w:sz w:val="20"/>
          <w:szCs w:val="20"/>
          <w:u w:val="single"/>
        </w:rPr>
        <w:lastRenderedPageBreak/>
        <w:t xml:space="preserve">Vykazovanie výnosov </w:t>
      </w:r>
    </w:p>
    <w:p w14:paraId="2BE92FD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Výnosy z predaja výrobkov sa vykazujú v momente prenosu rizika a vlastníctva výrobku, obvykle po dodávke. Ak sa Spoločnosť zaviaže dopraviť výrobky na určité miesto, výnosy sa vykazujú v momente doručenia výrobku do cieľového miesta. </w:t>
      </w:r>
    </w:p>
    <w:p w14:paraId="2BDD5965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Výnosy z predaja služieb sa vykazujú v účtovnom období, v ktorom boli služby poskytnuté s ohľadom na stav rozpracovanosti danej služby. Tento je zistený na základe skutočne poskytnutých služieb ako pomernej časti k celkovému rozsahu dohodnutých služieb. </w:t>
      </w:r>
    </w:p>
    <w:p w14:paraId="35FFDFC2" w14:textId="77777777" w:rsidR="0025696B" w:rsidRPr="0025696B" w:rsidRDefault="0025696B" w:rsidP="00F46C6B">
      <w:pPr>
        <w:rPr>
          <w:rFonts w:ascii="Times New Roman" w:hAnsi="Times New Roman" w:cs="Times New Roman"/>
          <w:i/>
          <w:iCs/>
          <w:sz w:val="20"/>
          <w:szCs w:val="20"/>
        </w:rPr>
      </w:pPr>
    </w:p>
    <w:p w14:paraId="50C9BC90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Čl. III</w:t>
      </w:r>
    </w:p>
    <w:p w14:paraId="6653D38D" w14:textId="77777777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Informácie, ktoré vysvetľujú a dopĺňajú súvahu a výkaz ziskov a strát</w:t>
      </w:r>
    </w:p>
    <w:p w14:paraId="38E7B000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(1) Informácia o sume a dôvodoch vzniku jednotlivých položiek nákladov alebo výnosov,</w:t>
      </w:r>
    </w:p>
    <w:p w14:paraId="2B57B96E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ktoré majú výnimočný rozsah alebo výskyt, napríklad výnosy z predaja podniku alebo</w:t>
      </w:r>
    </w:p>
    <w:p w14:paraId="5F718B1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časti podniku, náklady z dôvodu predaja podniku alebo časti podniku, škody z dôvodu</w:t>
      </w:r>
    </w:p>
    <w:p w14:paraId="21F22BA1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živelných pohrôm.</w:t>
      </w:r>
    </w:p>
    <w:p w14:paraId="62808864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 xml:space="preserve">Nie sú. </w:t>
      </w:r>
    </w:p>
    <w:p w14:paraId="77FD5A6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(2) Informácie o záväzkoch, a to</w:t>
      </w:r>
    </w:p>
    <w:p w14:paraId="4D827889" w14:textId="7777777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a) celkovej sume záväzkov so zostatkovou dobou splatnosti dlhšou ako päť rokov: nie sú</w:t>
      </w:r>
    </w:p>
    <w:p w14:paraId="73ABBA84" w14:textId="09D62E0E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b) celkovej sume zabezpečených záväzkov, opis a spôsoby zabezpečenia záväzkov: nie sú</w:t>
      </w:r>
    </w:p>
    <w:p w14:paraId="78B175E5" w14:textId="4B04D5D7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</w:p>
    <w:p w14:paraId="138C787E" w14:textId="55AB4D2E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Č. IV</w:t>
      </w:r>
    </w:p>
    <w:p w14:paraId="27BCAF76" w14:textId="19B1957E" w:rsidR="00F46C6B" w:rsidRPr="0025696B" w:rsidRDefault="00F46C6B" w:rsidP="00F46C6B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5696B">
        <w:rPr>
          <w:rFonts w:ascii="Times New Roman" w:hAnsi="Times New Roman" w:cs="Times New Roman"/>
          <w:b/>
          <w:bCs/>
          <w:sz w:val="20"/>
          <w:szCs w:val="20"/>
        </w:rPr>
        <w:t>Informácie o skutočnostiach, ktoré nastali po dni, ku ktorému sa zostavuje účtovná závierka, do dňa zostavenia účtovnej závierky</w:t>
      </w:r>
    </w:p>
    <w:p w14:paraId="4CC0C72F" w14:textId="4CCEE91E" w:rsidR="00F46C6B" w:rsidRPr="0025696B" w:rsidRDefault="00F46C6B" w:rsidP="00F46C6B">
      <w:pPr>
        <w:rPr>
          <w:rFonts w:ascii="Times New Roman" w:hAnsi="Times New Roman" w:cs="Times New Roman"/>
          <w:sz w:val="20"/>
          <w:szCs w:val="20"/>
        </w:rPr>
      </w:pPr>
      <w:r w:rsidRPr="0025696B">
        <w:rPr>
          <w:rFonts w:ascii="Times New Roman" w:hAnsi="Times New Roman" w:cs="Times New Roman"/>
          <w:sz w:val="20"/>
          <w:szCs w:val="20"/>
        </w:rPr>
        <w:t>Po 31. decembri 20</w:t>
      </w:r>
      <w:r w:rsidR="0025696B" w:rsidRPr="0025696B">
        <w:rPr>
          <w:rFonts w:ascii="Times New Roman" w:hAnsi="Times New Roman" w:cs="Times New Roman"/>
          <w:sz w:val="20"/>
          <w:szCs w:val="20"/>
        </w:rPr>
        <w:t>2</w:t>
      </w:r>
      <w:r w:rsidR="009D3128">
        <w:rPr>
          <w:rFonts w:ascii="Times New Roman" w:hAnsi="Times New Roman" w:cs="Times New Roman"/>
          <w:sz w:val="20"/>
          <w:szCs w:val="20"/>
        </w:rPr>
        <w:t>3</w:t>
      </w:r>
      <w:r w:rsidRPr="0025696B">
        <w:rPr>
          <w:rFonts w:ascii="Times New Roman" w:hAnsi="Times New Roman" w:cs="Times New Roman"/>
          <w:sz w:val="20"/>
          <w:szCs w:val="20"/>
        </w:rPr>
        <w:t xml:space="preserve"> nenastali udalosti majúce významný vplyv na verné zobrazenie skutočností, ktoré sú predmetom účtovníctva.</w:t>
      </w:r>
    </w:p>
    <w:p w14:paraId="5C9A108A" w14:textId="72F6D951" w:rsidR="0027323A" w:rsidRPr="00F46C6B" w:rsidRDefault="0027323A" w:rsidP="0027323A">
      <w:pPr>
        <w:rPr>
          <w:rFonts w:ascii="Times New Roman" w:hAnsi="Times New Roman" w:cs="Times New Roman"/>
          <w:sz w:val="24"/>
          <w:szCs w:val="24"/>
        </w:rPr>
      </w:pPr>
    </w:p>
    <w:p w14:paraId="7AFD3685" w14:textId="02FBF15D" w:rsidR="00150475" w:rsidRPr="00F46C6B" w:rsidRDefault="00150475" w:rsidP="0027323A">
      <w:pPr>
        <w:rPr>
          <w:rFonts w:ascii="Times New Roman" w:hAnsi="Times New Roman" w:cs="Times New Roman"/>
          <w:sz w:val="24"/>
          <w:szCs w:val="24"/>
        </w:rPr>
      </w:pPr>
    </w:p>
    <w:sectPr w:rsidR="00150475" w:rsidRPr="00F46C6B" w:rsidSect="0025696B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23A"/>
    <w:rsid w:val="00150475"/>
    <w:rsid w:val="0025696B"/>
    <w:rsid w:val="0027323A"/>
    <w:rsid w:val="004A2D8F"/>
    <w:rsid w:val="00614FAB"/>
    <w:rsid w:val="009D3128"/>
    <w:rsid w:val="00C668CC"/>
    <w:rsid w:val="00F4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A93A8"/>
  <w15:chartTrackingRefBased/>
  <w15:docId w15:val="{B6BD8A9A-FB11-4561-BFD5-6A5AAA853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7323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46C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6C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1087</Words>
  <Characters>6197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Svoradova</dc:creator>
  <cp:keywords/>
  <dc:description/>
  <cp:lastModifiedBy>Režová Nikola</cp:lastModifiedBy>
  <cp:revision>7</cp:revision>
  <cp:lastPrinted>2022-01-22T20:45:00Z</cp:lastPrinted>
  <dcterms:created xsi:type="dcterms:W3CDTF">2020-02-02T21:42:00Z</dcterms:created>
  <dcterms:modified xsi:type="dcterms:W3CDTF">2024-01-14T12:57:00Z</dcterms:modified>
</cp:coreProperties>
</file>